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and PennyLane, we demonstrate that the hybrid QGCN framework successfully learns to classify hazardous grid conditions. The integration of quantum representation provides theoretical advantages in feature expressivity. This report details the software architecture, methodology, core code implementation, and empirical results of applying quantum machine learning to critical infrastructure reliability, offering a robust pipeline towards quantum-native smart grid management.</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br/>
        <w:t>CHAPTER 1</w:t>
        <w:tab/>
        <w:t>INTRODUCTION &amp; SYSTEM ARCHITECTURE</w:t>
        <w:tab/>
        <w:t>1</w:t>
      </w:r>
    </w:p>
    <w:p>
      <w:pPr>
        <w:spacing w:line="360" w:lineRule="auto"/>
        <w:jc w:val="both"/>
      </w:pPr>
      <w:r>
        <w:rPr>
          <w:sz w:val="24"/>
        </w:rPr>
        <w:t xml:space="preserve">  1.1 Overview of the Software Pipeline</w:t>
        <w:tab/>
        <w:tab/>
        <w:tab/>
        <w:tab/>
        <w:t>2</w:t>
      </w:r>
    </w:p>
    <w:p>
      <w:pPr>
        <w:spacing w:line="360" w:lineRule="auto"/>
        <w:jc w:val="both"/>
      </w:pPr>
      <w:r>
        <w:rPr>
          <w:sz w:val="24"/>
        </w:rPr>
        <w:t xml:space="preserve">  1.2 Core Dependencies and Simulation Stack</w:t>
        <w:tab/>
        <w:tab/>
        <w:tab/>
        <w:t>4</w:t>
      </w:r>
    </w:p>
    <w:p>
      <w:pPr>
        <w:spacing w:line="360" w:lineRule="auto"/>
        <w:jc w:val="both"/>
      </w:pPr>
      <w:r>
        <w:rPr>
          <w:sz w:val="24"/>
        </w:rPr>
        <w:t xml:space="preserve">  1.3 Project Implementation Goals</w:t>
        <w:tab/>
        <w:tab/>
        <w:tab/>
        <w:tab/>
        <w:t>6</w:t>
      </w:r>
    </w:p>
    <w:p>
      <w:pPr>
        <w:spacing w:line="360" w:lineRule="auto"/>
        <w:jc w:val="both"/>
      </w:pPr>
      <w:r>
        <w:rPr>
          <w:sz w:val="24"/>
        </w:rPr>
        <w:t>CHAPTER 2</w:t>
        <w:tab/>
        <w:t>DATA MODELING &amp; GRAPH CONSTRUCTION</w:t>
        <w:tab/>
        <w:t>8</w:t>
      </w:r>
    </w:p>
    <w:p>
      <w:pPr>
        <w:spacing w:line="360" w:lineRule="auto"/>
        <w:jc w:val="both"/>
      </w:pPr>
      <w:r>
        <w:rPr>
          <w:sz w:val="24"/>
        </w:rPr>
        <w:t xml:space="preserve">  2.1 IEEE 14-Bus Topology Instantiation</w:t>
        <w:tab/>
        <w:tab/>
        <w:tab/>
        <w:t>8</w:t>
      </w:r>
    </w:p>
    <w:p>
      <w:pPr>
        <w:spacing w:line="360" w:lineRule="auto"/>
        <w:jc w:val="both"/>
      </w:pPr>
      <w:r>
        <w:rPr>
          <w:sz w:val="24"/>
        </w:rPr>
        <w:t xml:space="preserve">  2.2 Telemetry Feature Normalization</w:t>
        <w:tab/>
        <w:tab/>
        <w:tab/>
        <w:tab/>
        <w:t>10</w:t>
      </w:r>
    </w:p>
    <w:p>
      <w:pPr>
        <w:spacing w:line="360" w:lineRule="auto"/>
        <w:jc w:val="both"/>
      </w:pPr>
      <w:r>
        <w:rPr>
          <w:sz w:val="24"/>
        </w:rPr>
        <w:t>CHAPTER 3</w:t>
        <w:tab/>
        <w:t>QUANTUM FEATURE ENCODER IMPLEMENTATION</w:t>
        <w:tab/>
        <w:t>13</w:t>
      </w:r>
    </w:p>
    <w:p>
      <w:pPr>
        <w:spacing w:line="360" w:lineRule="auto"/>
        <w:jc w:val="both"/>
      </w:pPr>
      <w:r>
        <w:rPr>
          <w:sz w:val="24"/>
        </w:rPr>
        <w:t xml:space="preserve">  3.1 PennyLane Simulator Configuration</w:t>
        <w:tab/>
        <w:tab/>
        <w:tab/>
        <w:tab/>
        <w:t>13</w:t>
      </w:r>
    </w:p>
    <w:p>
      <w:pPr>
        <w:spacing w:line="360" w:lineRule="auto"/>
        <w:jc w:val="both"/>
      </w:pPr>
      <w:r>
        <w:rPr>
          <w:sz w:val="24"/>
        </w:rPr>
        <w:t xml:space="preserve">  3.2 Core Code: Angle Encoding Circuit</w:t>
        <w:tab/>
        <w:tab/>
        <w:tab/>
        <w:tab/>
        <w:t>15</w:t>
      </w:r>
    </w:p>
    <w:p>
      <w:pPr>
        <w:spacing w:line="360" w:lineRule="auto"/>
        <w:jc w:val="both"/>
      </w:pPr>
      <w:r>
        <w:rPr>
          <w:sz w:val="24"/>
        </w:rPr>
        <w:t xml:space="preserve">  3.3 Core Code: IQP Encoding Architecture</w:t>
        <w:tab/>
        <w:tab/>
        <w:tab/>
        <w:t>18</w:t>
      </w:r>
    </w:p>
    <w:p>
      <w:pPr>
        <w:spacing w:line="360" w:lineRule="auto"/>
        <w:jc w:val="both"/>
      </w:pPr>
      <w:r>
        <w:rPr>
          <w:sz w:val="24"/>
        </w:rPr>
        <w:t>CHAPTER 4</w:t>
        <w:tab/>
        <w:t>CLASSICAL MESSAGE PASSING</w:t>
        <w:tab/>
        <w:tab/>
        <w:tab/>
        <w:t>22</w:t>
      </w:r>
    </w:p>
    <w:p>
      <w:pPr>
        <w:spacing w:line="360" w:lineRule="auto"/>
        <w:jc w:val="both"/>
      </w:pPr>
      <w:r>
        <w:rPr>
          <w:sz w:val="24"/>
        </w:rPr>
        <w:t xml:space="preserve">  4.1 Adjacency Matrix Multiplication</w:t>
        <w:tab/>
        <w:tab/>
        <w:tab/>
        <w:tab/>
        <w:t>22</w:t>
      </w:r>
    </w:p>
    <w:p>
      <w:pPr>
        <w:spacing w:line="360" w:lineRule="auto"/>
        <w:jc w:val="both"/>
      </w:pPr>
      <w:r>
        <w:rPr>
          <w:sz w:val="24"/>
        </w:rPr>
        <w:t xml:space="preserve">  4.2 Hybrid Gradient Computation</w:t>
        <w:tab/>
        <w:tab/>
        <w:tab/>
        <w:tab/>
        <w:t>25</w:t>
      </w:r>
    </w:p>
    <w:p>
      <w:pPr>
        <w:spacing w:line="360" w:lineRule="auto"/>
        <w:jc w:val="both"/>
      </w:pPr>
      <w:r>
        <w:rPr>
          <w:sz w:val="24"/>
        </w:rPr>
        <w:t>CHAPTER 5</w:t>
        <w:tab/>
        <w:t>RESULTS &amp; VISUALIZATIONS</w:t>
        <w:tab/>
        <w:tab/>
        <w:tab/>
        <w:t>28</w:t>
      </w:r>
    </w:p>
    <w:p>
      <w:pPr>
        <w:spacing w:line="360" w:lineRule="auto"/>
        <w:jc w:val="both"/>
      </w:pPr>
      <w:r>
        <w:rPr>
          <w:sz w:val="24"/>
        </w:rPr>
        <w:t xml:space="preserve">  5.1 Model Convergence Analysis</w:t>
        <w:tab/>
        <w:tab/>
        <w:tab/>
        <w:tab/>
        <w:t>28</w:t>
      </w:r>
    </w:p>
    <w:p>
      <w:pPr>
        <w:spacing w:line="360" w:lineRule="auto"/>
        <w:jc w:val="both"/>
      </w:pPr>
      <w:r>
        <w:rPr>
          <w:sz w:val="24"/>
        </w:rPr>
        <w:t xml:space="preserve">  5.2 Spatial Risk Visualization</w:t>
        <w:tab/>
        <w:tab/>
        <w:tab/>
        <w:tab/>
        <w:t>30</w:t>
      </w:r>
    </w:p>
    <w:p>
      <w:pPr>
        <w:spacing w:line="360" w:lineRule="auto"/>
        <w:jc w:val="both"/>
      </w:pPr>
      <w:r>
        <w:rPr>
          <w:sz w:val="24"/>
        </w:rPr>
        <w:t xml:space="preserve">  5.3 Baseline Comparison Analysis</w:t>
        <w:tab/>
        <w:tab/>
        <w:tab/>
        <w:tab/>
        <w:t>33</w:t>
      </w:r>
    </w:p>
    <w:p>
      <w:pPr>
        <w:spacing w:line="360" w:lineRule="auto"/>
        <w:jc w:val="both"/>
      </w:pPr>
      <w:r>
        <w:rPr>
          <w:sz w:val="24"/>
        </w:rPr>
        <w:br/>
        <w:t>REFERENCES</w:t>
        <w:tab/>
        <w:tab/>
        <w:tab/>
        <w:tab/>
        <w:tab/>
        <w:tab/>
        <w:tab/>
        <w:t>35</w:t>
      </w:r>
    </w:p>
    <w:p>
      <w:r>
        <w:br w:type="page"/>
      </w:r>
    </w:p>
    <w:p>
      <w:pPr>
        <w:pStyle w:val="Heading1"/>
        <w:spacing w:line="360" w:lineRule="auto"/>
        <w:jc w:val="center"/>
      </w:pPr>
      <w:r>
        <w:t>CHAPTER 1 - INTRODUCTION &amp; SYSTEM ARCHITECTURE</w:t>
      </w:r>
    </w:p>
    <w:p>
      <w:pPr>
        <w:pStyle w:val="Heading2"/>
        <w:spacing w:line="360" w:lineRule="auto"/>
        <w:jc w:val="both"/>
      </w:pPr>
      <w:r>
        <w:t>1.1 Overview of the Software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r>
        <w:br/>
      </w:r>
    </w:p>
    <w:p>
      <w:pPr>
        <w:jc w:val="center"/>
      </w:pPr>
      <w:r>
        <w:drawing>
          <wp:inline xmlns:a="http://schemas.openxmlformats.org/drawingml/2006/main" xmlns:pic="http://schemas.openxmlformats.org/drawingml/2006/picture">
            <wp:extent cx="4572000" cy="2970306"/>
            <wp:docPr id="1" name="Picture 1"/>
            <wp:cNvGraphicFramePr>
              <a:graphicFrameLocks noChangeAspect="1"/>
            </wp:cNvGraphicFramePr>
            <a:graphic>
              <a:graphicData uri="http://schemas.openxmlformats.org/drawingml/2006/picture">
                <pic:pic>
                  <pic:nvPicPr>
                    <pic:cNvPr id="0" name="08_architecture_flow.png"/>
                    <pic:cNvPicPr/>
                  </pic:nvPicPr>
                  <pic:blipFill>
                    <a:blip r:embed="rId9"/>
                    <a:stretch>
                      <a:fillRect/>
                    </a:stretch>
                  </pic:blipFill>
                  <pic:spPr>
                    <a:xfrm>
                      <a:off x="0" y="0"/>
                      <a:ext cx="4572000" cy="2970306"/>
                    </a:xfrm>
                    <a:prstGeom prst="rect"/>
                  </pic:spPr>
                </pic:pic>
              </a:graphicData>
            </a:graphic>
          </wp:inline>
        </w:drawing>
      </w:r>
    </w:p>
    <w:p>
      <w:pPr>
        <w:spacing w:line="360" w:lineRule="auto"/>
        <w:jc w:val="center"/>
      </w:pPr>
      <w:r>
        <w:rPr>
          <w:i/>
          <w:sz w:val="22"/>
        </w:rPr>
        <w:t>Figure 1.1: System Architecture and Pipeline Flow</w:t>
      </w:r>
    </w:p>
    <w:p>
      <w:r>
        <w:br/>
      </w:r>
    </w:p>
    <w:p>
      <w:pPr>
        <w:pStyle w:val="Heading2"/>
        <w:spacing w:line="360" w:lineRule="auto"/>
        <w:jc w:val="both"/>
      </w:pPr>
      <w:r>
        <w:t>1.2 Core Dependencies and Simulation Stack</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pStyle w:val="Heading2"/>
        <w:spacing w:line="360" w:lineRule="auto"/>
        <w:jc w:val="both"/>
      </w:pPr>
      <w:r>
        <w:t>1.3 Project Implementation Goals</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r>
        <w:br w:type="page"/>
      </w:r>
    </w:p>
    <w:p>
      <w:pPr>
        <w:pStyle w:val="Heading1"/>
        <w:spacing w:line="360" w:lineRule="auto"/>
        <w:jc w:val="center"/>
      </w:pPr>
      <w:r>
        <w:t>CHAPTER 2 - DATA MODELING &amp; GRAPH CONSTRUCTION</w:t>
      </w:r>
    </w:p>
    <w:p>
      <w:pPr>
        <w:pStyle w:val="Heading2"/>
        <w:spacing w:line="360" w:lineRule="auto"/>
        <w:jc w:val="both"/>
      </w:pPr>
      <w:r>
        <w:t>2.1 IEEE 14-Bus Topology Instantiation</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r>
        <w:br/>
      </w:r>
    </w:p>
    <w:p>
      <w:pPr>
        <w:jc w:val="center"/>
      </w:pPr>
      <w:r>
        <w:drawing>
          <wp:inline xmlns:a="http://schemas.openxmlformats.org/drawingml/2006/main" xmlns:pic="http://schemas.openxmlformats.org/drawingml/2006/picture">
            <wp:extent cx="4572000" cy="3911065"/>
            <wp:docPr id="2" name="Picture 2"/>
            <wp:cNvGraphicFramePr>
              <a:graphicFrameLocks noChangeAspect="1"/>
            </wp:cNvGraphicFramePr>
            <a:graphic>
              <a:graphicData uri="http://schemas.openxmlformats.org/drawingml/2006/picture">
                <pic:pic>
                  <pic:nvPicPr>
                    <pic:cNvPr id="0" name="01_grid_topology.png"/>
                    <pic:cNvPicPr/>
                  </pic:nvPicPr>
                  <pic:blipFill>
                    <a:blip r:embed="rId10"/>
                    <a:stretch>
                      <a:fillRect/>
                    </a:stretch>
                  </pic:blipFill>
                  <pic:spPr>
                    <a:xfrm>
                      <a:off x="0" y="0"/>
                      <a:ext cx="4572000" cy="3911065"/>
                    </a:xfrm>
                    <a:prstGeom prst="rect"/>
                  </pic:spPr>
                </pic:pic>
              </a:graphicData>
            </a:graphic>
          </wp:inline>
        </w:drawing>
      </w:r>
    </w:p>
    <w:p>
      <w:pPr>
        <w:spacing w:line="360" w:lineRule="auto"/>
        <w:jc w:val="center"/>
      </w:pPr>
      <w:r>
        <w:rPr>
          <w:i/>
          <w:sz w:val="22"/>
        </w:rPr>
        <w:t>Figure 2.1: IEEE 14-bus Grid Topology Extracted from networkx</w:t>
      </w:r>
    </w:p>
    <w:p>
      <w:r>
        <w:br/>
      </w:r>
    </w:p>
    <w:p>
      <w:pPr>
        <w:pStyle w:val="Heading2"/>
        <w:spacing w:line="360" w:lineRule="auto"/>
        <w:jc w:val="both"/>
      </w:pPr>
      <w:r>
        <w:t>2.2 Telemetry Feature Normalization</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r>
        <w:br w:type="page"/>
      </w:r>
    </w:p>
    <w:p>
      <w:pPr>
        <w:pStyle w:val="Heading1"/>
        <w:spacing w:line="360" w:lineRule="auto"/>
        <w:jc w:val="center"/>
      </w:pPr>
      <w:r>
        <w:t>CHAPTER 3 - QUANTUM FEATURE ENCODER IMPLEMENTATION</w:t>
      </w:r>
    </w:p>
    <w:p>
      <w:pPr>
        <w:pStyle w:val="Heading2"/>
        <w:spacing w:line="360" w:lineRule="auto"/>
        <w:jc w:val="both"/>
      </w:pPr>
      <w:r>
        <w:t>3.1 PennyLane Simulator Configuration</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r>
        <w:br/>
      </w:r>
    </w:p>
    <w:p>
      <w:pPr>
        <w:jc w:val="center"/>
      </w:pPr>
      <w:r>
        <w:drawing>
          <wp:inline xmlns:a="http://schemas.openxmlformats.org/drawingml/2006/main" xmlns:pic="http://schemas.openxmlformats.org/drawingml/2006/picture">
            <wp:extent cx="4572000" cy="3743900"/>
            <wp:docPr id="3" name="Picture 3"/>
            <wp:cNvGraphicFramePr>
              <a:graphicFrameLocks noChangeAspect="1"/>
            </wp:cNvGraphicFramePr>
            <a:graphic>
              <a:graphicData uri="http://schemas.openxmlformats.org/drawingml/2006/picture">
                <pic:pic>
                  <pic:nvPicPr>
                    <pic:cNvPr id="0" name="05_quantum_states.png"/>
                    <pic:cNvPicPr/>
                  </pic:nvPicPr>
                  <pic:blipFill>
                    <a:blip r:embed="rId11"/>
                    <a:stretch>
                      <a:fillRect/>
                    </a:stretch>
                  </pic:blipFill>
                  <pic:spPr>
                    <a:xfrm>
                      <a:off x="0" y="0"/>
                      <a:ext cx="4572000" cy="3743900"/>
                    </a:xfrm>
                    <a:prstGeom prst="rect"/>
                  </pic:spPr>
                </pic:pic>
              </a:graphicData>
            </a:graphic>
          </wp:inline>
        </w:drawing>
      </w:r>
    </w:p>
    <w:p>
      <w:pPr>
        <w:spacing w:line="360" w:lineRule="auto"/>
        <w:jc w:val="center"/>
      </w:pPr>
      <w:r>
        <w:rPr>
          <w:i/>
          <w:sz w:val="22"/>
        </w:rPr>
        <w:t>Figure 3.1: Visualization of Quantum States Post-Embedding</w:t>
      </w:r>
    </w:p>
    <w:p>
      <w:r>
        <w:br/>
      </w:r>
    </w:p>
    <w:p>
      <w:pPr>
        <w:pStyle w:val="Heading2"/>
        <w:spacing w:line="360" w:lineRule="auto"/>
        <w:jc w:val="both"/>
      </w:pPr>
      <w:r>
        <w:t>3.2 Core Code: Angle Encoding Circuit</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r>
        <w:br/>
      </w:r>
    </w:p>
    <w:p>
      <w:pPr>
        <w:spacing w:line="240" w:lineRule="auto"/>
        <w:ind w:left="720"/>
      </w:pPr>
    </w:p>
    <w:p>
      <w:pPr>
        <w:spacing w:line="240" w:lineRule="auto"/>
        <w:ind w:left="720"/>
      </w:pPr>
      <w:r>
        <w:rPr>
          <w:rFonts w:ascii="Courier New" w:hAnsi="Courier New"/>
          <w:sz w:val="20"/>
        </w:rPr>
        <w:t xml:space="preserve">    def angle_encoding(self, features: np.ndarray) -&gt; np.ndarray:</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Angle Encoding: Map feature values to rotation angles.</w:t>
      </w:r>
    </w:p>
    <w:p>
      <w:pPr>
        <w:spacing w:line="240" w:lineRule="auto"/>
        <w:ind w:left="720"/>
      </w:pPr>
      <w:r>
        <w:rPr>
          <w:rFonts w:ascii="Courier New" w:hAnsi="Courier New"/>
          <w:sz w:val="20"/>
        </w:rPr>
        <w:t xml:space="preserve">        Each qubit rotates by an angle proportional to a feature.</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@qml.qnode(self.dev)</w:t>
      </w:r>
    </w:p>
    <w:p>
      <w:pPr>
        <w:spacing w:line="240" w:lineRule="auto"/>
        <w:ind w:left="720"/>
      </w:pPr>
      <w:r>
        <w:rPr>
          <w:rFonts w:ascii="Courier New" w:hAnsi="Courier New"/>
          <w:sz w:val="20"/>
        </w:rPr>
        <w:t xml:space="preserve">        def encoded_circuit(x):</w:t>
      </w:r>
    </w:p>
    <w:p>
      <w:pPr>
        <w:spacing w:line="240" w:lineRule="auto"/>
        <w:ind w:left="720"/>
      </w:pPr>
      <w:r>
        <w:rPr>
          <w:rFonts w:ascii="Courier New" w:hAnsi="Courier New"/>
          <w:sz w:val="20"/>
        </w:rPr>
        <w:t xml:space="preserve">            # Normalize features to [-π, π]</w:t>
      </w:r>
    </w:p>
    <w:p>
      <w:pPr>
        <w:spacing w:line="240" w:lineRule="auto"/>
        <w:ind w:left="720"/>
      </w:pPr>
      <w:r>
        <w:rPr>
          <w:rFonts w:ascii="Courier New" w:hAnsi="Courier New"/>
          <w:sz w:val="20"/>
        </w:rPr>
        <w:t xml:space="preserve">            x_normalized = np.clip(x, -1, 1) * np.pi</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Use non-commuting rotations so Z-basis measurements carry feature signal.</w:t>
      </w:r>
    </w:p>
    <w:p>
      <w:pPr>
        <w:spacing w:line="240" w:lineRule="auto"/>
        <w:ind w:left="720"/>
      </w:pPr>
      <w:r>
        <w:rPr>
          <w:rFonts w:ascii="Courier New" w:hAnsi="Courier New"/>
          <w:sz w:val="20"/>
        </w:rPr>
        <w:t xml:space="preserve">            for i in range(self.n_qubits):</w:t>
      </w:r>
    </w:p>
    <w:p>
      <w:pPr>
        <w:spacing w:line="240" w:lineRule="auto"/>
        <w:ind w:left="720"/>
      </w:pPr>
      <w:r>
        <w:rPr>
          <w:rFonts w:ascii="Courier New" w:hAnsi="Courier New"/>
          <w:sz w:val="20"/>
        </w:rPr>
        <w:t xml:space="preserve">                theta = x_normalized[i % len(x_normalized)]</w:t>
      </w:r>
    </w:p>
    <w:p>
      <w:pPr>
        <w:spacing w:line="240" w:lineRule="auto"/>
        <w:ind w:left="720"/>
      </w:pPr>
      <w:r>
        <w:rPr>
          <w:rFonts w:ascii="Courier New" w:hAnsi="Courier New"/>
          <w:sz w:val="20"/>
        </w:rPr>
        <w:t xml:space="preserve">                phi = x_normalized[(i + 1) % len(x_normalized)] if len(x_normalized) &gt; 1 else theta</w:t>
      </w:r>
    </w:p>
    <w:p>
      <w:pPr>
        <w:spacing w:line="240" w:lineRule="auto"/>
        <w:ind w:left="720"/>
      </w:pPr>
      <w:r>
        <w:rPr>
          <w:rFonts w:ascii="Courier New" w:hAnsi="Courier New"/>
          <w:sz w:val="20"/>
        </w:rPr>
        <w:t xml:space="preserve">                qml.RX(theta, wires=i)</w:t>
      </w:r>
    </w:p>
    <w:p>
      <w:pPr>
        <w:spacing w:line="240" w:lineRule="auto"/>
        <w:ind w:left="720"/>
      </w:pPr>
      <w:r>
        <w:rPr>
          <w:rFonts w:ascii="Courier New" w:hAnsi="Courier New"/>
          <w:sz w:val="20"/>
        </w:rPr>
        <w:t xml:space="preserve">                qml.RY(phi, wires=i)</w:t>
      </w:r>
    </w:p>
    <w:p>
      <w:pPr>
        <w:spacing w:line="240" w:lineRule="auto"/>
        <w:ind w:left="720"/>
      </w:pPr>
    </w:p>
    <w:p>
      <w:pPr>
        <w:spacing w:line="240" w:lineRule="auto"/>
        <w:ind w:left="720"/>
      </w:pPr>
      <w:r>
        <w:rPr>
          <w:rFonts w:ascii="Courier New" w:hAnsi="Courier New"/>
          <w:sz w:val="20"/>
        </w:rPr>
        <w:t xml:space="preserve">            if self.n_qubits &gt; 1:</w:t>
      </w:r>
    </w:p>
    <w:p>
      <w:pPr>
        <w:spacing w:line="240" w:lineRule="auto"/>
        <w:ind w:left="720"/>
      </w:pPr>
      <w:r>
        <w:rPr>
          <w:rFonts w:ascii="Courier New" w:hAnsi="Courier New"/>
          <w:sz w:val="20"/>
        </w:rPr>
        <w:t xml:space="preserve">                for i in range(self.n_qubits - 1):</w:t>
      </w:r>
    </w:p>
    <w:p>
      <w:pPr>
        <w:spacing w:line="240" w:lineRule="auto"/>
        <w:ind w:left="720"/>
      </w:pPr>
      <w:r>
        <w:rPr>
          <w:rFonts w:ascii="Courier New" w:hAnsi="Courier New"/>
          <w:sz w:val="20"/>
        </w:rPr>
        <w:t xml:space="preserve">                    qml.CNOT(wires=[i, i + 1])</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Apply X-basis measurement for feature extraction</w:t>
      </w:r>
    </w:p>
    <w:p>
      <w:pPr>
        <w:spacing w:line="240" w:lineRule="auto"/>
        <w:ind w:left="720"/>
      </w:pPr>
      <w:r>
        <w:rPr>
          <w:rFonts w:ascii="Courier New" w:hAnsi="Courier New"/>
          <w:sz w:val="20"/>
        </w:rPr>
        <w:t xml:space="preserve">            return [qml.expval(qml.PauliZ(i)) for i in range(self.n_qubits)]</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return np.array(encoded_circuit(features))</w:t>
      </w:r>
    </w:p>
    <w:p>
      <w:pPr>
        <w:spacing w:line="240" w:lineRule="auto"/>
        <w:ind w:left="720"/>
      </w:pPr>
      <w:r>
        <w:rPr>
          <w:rFonts w:ascii="Courier New" w:hAnsi="Courier New"/>
          <w:sz w:val="20"/>
        </w:rPr>
        <w:t xml:space="preserve">    </w:t>
      </w:r>
    </w:p>
    <w:p>
      <w:r>
        <w:br/>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pStyle w:val="Heading2"/>
        <w:spacing w:line="360" w:lineRule="auto"/>
        <w:jc w:val="both"/>
      </w:pPr>
      <w:r>
        <w:t>3.3 Core Code: IQP Encoding Architecture</w:t>
      </w:r>
    </w:p>
    <w:p>
      <w:r>
        <w:br/>
      </w:r>
    </w:p>
    <w:p>
      <w:pPr>
        <w:jc w:val="center"/>
      </w:pPr>
      <w:r>
        <w:drawing>
          <wp:inline xmlns:a="http://schemas.openxmlformats.org/drawingml/2006/main" xmlns:pic="http://schemas.openxmlformats.org/drawingml/2006/picture">
            <wp:extent cx="4572000" cy="2126110"/>
            <wp:docPr id="4" name="Picture 4"/>
            <wp:cNvGraphicFramePr>
              <a:graphicFrameLocks noChangeAspect="1"/>
            </wp:cNvGraphicFramePr>
            <a:graphic>
              <a:graphicData uri="http://schemas.openxmlformats.org/drawingml/2006/picture">
                <pic:pic>
                  <pic:nvPicPr>
                    <pic:cNvPr id="0" name="09_quantum_circuit_diagram.png"/>
                    <pic:cNvPicPr/>
                  </pic:nvPicPr>
                  <pic:blipFill>
                    <a:blip r:embed="rId12"/>
                    <a:stretch>
                      <a:fillRect/>
                    </a:stretch>
                  </pic:blipFill>
                  <pic:spPr>
                    <a:xfrm>
                      <a:off x="0" y="0"/>
                      <a:ext cx="4572000" cy="2126110"/>
                    </a:xfrm>
                    <a:prstGeom prst="rect"/>
                  </pic:spPr>
                </pic:pic>
              </a:graphicData>
            </a:graphic>
          </wp:inline>
        </w:drawing>
      </w:r>
    </w:p>
    <w:p>
      <w:pPr>
        <w:spacing w:line="360" w:lineRule="auto"/>
        <w:jc w:val="center"/>
      </w:pPr>
      <w:r>
        <w:rPr>
          <w:i/>
          <w:sz w:val="22"/>
        </w:rPr>
        <w:t>Figure 3.2: IQP Encoding Circuit Abstraction</w:t>
      </w:r>
    </w:p>
    <w:p>
      <w:r>
        <w:br/>
      </w:r>
    </w:p>
    <w:p>
      <w:r>
        <w:br/>
      </w:r>
    </w:p>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qkernel_entangled.png"/>
                    <pic:cNvPicPr/>
                  </pic:nvPicPr>
                  <pic:blipFill>
                    <a:blip r:embed="rId13"/>
                    <a:stretch>
                      <a:fillRect/>
                    </a:stretch>
                  </pic:blipFill>
                  <pic:spPr>
                    <a:xfrm>
                      <a:off x="0" y="0"/>
                      <a:ext cx="4572000" cy="3810000"/>
                    </a:xfrm>
                    <a:prstGeom prst="rect"/>
                  </pic:spPr>
                </pic:pic>
              </a:graphicData>
            </a:graphic>
          </wp:inline>
        </w:drawing>
      </w:r>
    </w:p>
    <w:p>
      <w:pPr>
        <w:spacing w:line="360" w:lineRule="auto"/>
        <w:jc w:val="center"/>
      </w:pPr>
      <w:r>
        <w:rPr>
          <w:i/>
          <w:sz w:val="22"/>
        </w:rPr>
        <w:t>Figure 3.3: Entangled Quantum Kernel Matrix Representation</w:t>
      </w:r>
    </w:p>
    <w:p>
      <w:r>
        <w:br/>
      </w:r>
    </w:p>
    <w:p>
      <w:r>
        <w:br w:type="page"/>
      </w:r>
    </w:p>
    <w:p>
      <w:pPr>
        <w:pStyle w:val="Heading1"/>
        <w:spacing w:line="360" w:lineRule="auto"/>
        <w:jc w:val="center"/>
      </w:pPr>
      <w:r>
        <w:t>CHAPTER 4 - CLASSICAL MESSAGE PASSING</w:t>
      </w:r>
    </w:p>
    <w:p>
      <w:pPr>
        <w:pStyle w:val="Heading2"/>
        <w:spacing w:line="360" w:lineRule="auto"/>
        <w:jc w:val="both"/>
      </w:pPr>
      <w:r>
        <w:t>4.1 Adjacency Matrix Multiplication</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pStyle w:val="Heading2"/>
        <w:spacing w:line="360" w:lineRule="auto"/>
        <w:jc w:val="both"/>
      </w:pPr>
      <w:r>
        <w:t>4.2 Hybrid Gradient Computation</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r>
        <w:br w:type="page"/>
      </w:r>
    </w:p>
    <w:p>
      <w:pPr>
        <w:pStyle w:val="Heading1"/>
        <w:spacing w:line="360" w:lineRule="auto"/>
        <w:jc w:val="center"/>
      </w:pPr>
      <w:r>
        <w:t>CHAPTER 5 - RESULTS &amp; VISUALIZATIONS</w:t>
      </w:r>
    </w:p>
    <w:p>
      <w:pPr>
        <w:pStyle w:val="Heading2"/>
        <w:spacing w:line="360" w:lineRule="auto"/>
        <w:jc w:val="both"/>
      </w:pPr>
      <w:r>
        <w:t>5.1 Model Convergence Analysis</w:t>
      </w:r>
    </w:p>
    <w:p>
      <w:r>
        <w:br/>
      </w:r>
    </w:p>
    <w:p>
      <w:pPr>
        <w:jc w:val="center"/>
      </w:pPr>
      <w:r>
        <w:drawing>
          <wp:inline xmlns:a="http://schemas.openxmlformats.org/drawingml/2006/main" xmlns:pic="http://schemas.openxmlformats.org/drawingml/2006/picture">
            <wp:extent cx="4572000" cy="1607327"/>
            <wp:docPr id="6" name="Picture 6"/>
            <wp:cNvGraphicFramePr>
              <a:graphicFrameLocks noChangeAspect="1"/>
            </wp:cNvGraphicFramePr>
            <a:graphic>
              <a:graphicData uri="http://schemas.openxmlformats.org/drawingml/2006/picture">
                <pic:pic>
                  <pic:nvPicPr>
                    <pic:cNvPr id="0" name="02_training_history.png"/>
                    <pic:cNvPicPr/>
                  </pic:nvPicPr>
                  <pic:blipFill>
                    <a:blip r:embed="rId14"/>
                    <a:stretch>
                      <a:fillRect/>
                    </a:stretch>
                  </pic:blipFill>
                  <pic:spPr>
                    <a:xfrm>
                      <a:off x="0" y="0"/>
                      <a:ext cx="4572000" cy="1607327"/>
                    </a:xfrm>
                    <a:prstGeom prst="rect"/>
                  </pic:spPr>
                </pic:pic>
              </a:graphicData>
            </a:graphic>
          </wp:inline>
        </w:drawing>
      </w:r>
    </w:p>
    <w:p>
      <w:pPr>
        <w:spacing w:line="360" w:lineRule="auto"/>
        <w:jc w:val="center"/>
      </w:pPr>
      <w:r>
        <w:rPr>
          <w:i/>
          <w:sz w:val="22"/>
        </w:rPr>
        <w:t>Figure 5.1: Model Training History and Loss Convergence</w:t>
      </w:r>
    </w:p>
    <w:p>
      <w:r>
        <w:br/>
      </w:r>
    </w:p>
    <w:p>
      <w:pPr>
        <w:pStyle w:val="Heading2"/>
        <w:spacing w:line="360" w:lineRule="auto"/>
        <w:jc w:val="both"/>
      </w:pPr>
      <w:r>
        <w:t>5.2 Spatial Risk Visualization</w:t>
      </w:r>
    </w:p>
    <w:p>
      <w:r>
        <w:br/>
      </w:r>
    </w:p>
    <w:p>
      <w:pPr>
        <w:jc w:val="center"/>
      </w:pPr>
      <w:r>
        <w:drawing>
          <wp:inline xmlns:a="http://schemas.openxmlformats.org/drawingml/2006/main" xmlns:pic="http://schemas.openxmlformats.org/drawingml/2006/picture">
            <wp:extent cx="4572000" cy="3703125"/>
            <wp:docPr id="7" name="Picture 7"/>
            <wp:cNvGraphicFramePr>
              <a:graphicFrameLocks noChangeAspect="1"/>
            </wp:cNvGraphicFramePr>
            <a:graphic>
              <a:graphicData uri="http://schemas.openxmlformats.org/drawingml/2006/picture">
                <pic:pic>
                  <pic:nvPicPr>
                    <pic:cNvPr id="0" name="04_grid_risk_heatmap.png"/>
                    <pic:cNvPicPr/>
                  </pic:nvPicPr>
                  <pic:blipFill>
                    <a:blip r:embed="rId15"/>
                    <a:stretch>
                      <a:fillRect/>
                    </a:stretch>
                  </pic:blipFill>
                  <pic:spPr>
                    <a:xfrm>
                      <a:off x="0" y="0"/>
                      <a:ext cx="4572000" cy="3703125"/>
                    </a:xfrm>
                    <a:prstGeom prst="rect"/>
                  </pic:spPr>
                </pic:pic>
              </a:graphicData>
            </a:graphic>
          </wp:inline>
        </w:drawing>
      </w:r>
    </w:p>
    <w:p>
      <w:pPr>
        <w:spacing w:line="360" w:lineRule="auto"/>
        <w:jc w:val="center"/>
      </w:pPr>
      <w:r>
        <w:rPr>
          <w:i/>
          <w:sz w:val="22"/>
        </w:rPr>
        <w:t>Figure 5.2: High-fidelity Grid Risk Heatmap</w:t>
      </w:r>
    </w:p>
    <w:p>
      <w:r>
        <w:br/>
      </w:r>
    </w:p>
    <w:p>
      <w:r>
        <w:br/>
      </w:r>
    </w:p>
    <w:p>
      <w:pPr>
        <w:jc w:val="center"/>
      </w:pPr>
      <w:r>
        <w:drawing>
          <wp:inline xmlns:a="http://schemas.openxmlformats.org/drawingml/2006/main" xmlns:pic="http://schemas.openxmlformats.org/drawingml/2006/picture">
            <wp:extent cx="4572000" cy="2714818"/>
            <wp:docPr id="8" name="Picture 8"/>
            <wp:cNvGraphicFramePr>
              <a:graphicFrameLocks noChangeAspect="1"/>
            </wp:cNvGraphicFramePr>
            <a:graphic>
              <a:graphicData uri="http://schemas.openxmlformats.org/drawingml/2006/picture">
                <pic:pic>
                  <pic:nvPicPr>
                    <pic:cNvPr id="0" name="03_prediction_distribution.png"/>
                    <pic:cNvPicPr/>
                  </pic:nvPicPr>
                  <pic:blipFill>
                    <a:blip r:embed="rId16"/>
                    <a:stretch>
                      <a:fillRect/>
                    </a:stretch>
                  </pic:blipFill>
                  <pic:spPr>
                    <a:xfrm>
                      <a:off x="0" y="0"/>
                      <a:ext cx="4572000" cy="2714818"/>
                    </a:xfrm>
                    <a:prstGeom prst="rect"/>
                  </pic:spPr>
                </pic:pic>
              </a:graphicData>
            </a:graphic>
          </wp:inline>
        </w:drawing>
      </w:r>
    </w:p>
    <w:p>
      <w:pPr>
        <w:spacing w:line="360" w:lineRule="auto"/>
        <w:jc w:val="center"/>
      </w:pPr>
      <w:r>
        <w:rPr>
          <w:i/>
          <w:sz w:val="22"/>
        </w:rPr>
        <w:t>Figure 5.3: Prediction Distribution Density</w:t>
      </w:r>
    </w:p>
    <w:p>
      <w:r>
        <w:br/>
      </w:r>
    </w:p>
    <w:p>
      <w:pPr>
        <w:pStyle w:val="Heading2"/>
        <w:spacing w:line="360" w:lineRule="auto"/>
        <w:jc w:val="both"/>
      </w:pPr>
      <w:r>
        <w:t>5.3 Baseline Comparison Analysis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4050270"/>
            <wp:docPr id="9" name="Picture 9"/>
            <wp:cNvGraphicFramePr>
              <a:graphicFrameLocks noChangeAspect="1"/>
            </wp:cNvGraphicFramePr>
            <a:graphic>
              <a:graphicData uri="http://schemas.openxmlformats.org/drawingml/2006/picture">
                <pic:pic>
                  <pic:nvPicPr>
                    <pic:cNvPr id="0" name="06_roc_curve.png"/>
                    <pic:cNvPicPr/>
                  </pic:nvPicPr>
                  <pic:blipFill>
                    <a:blip r:embed="rId17"/>
                    <a:stretch>
                      <a:fillRect/>
                    </a:stretch>
                  </pic:blipFill>
                  <pic:spPr>
                    <a:xfrm>
                      <a:off x="0" y="0"/>
                      <a:ext cx="4572000" cy="4050270"/>
                    </a:xfrm>
                    <a:prstGeom prst="rect"/>
                  </pic:spPr>
                </pic:pic>
              </a:graphicData>
            </a:graphic>
          </wp:inline>
        </w:drawing>
      </w:r>
    </w:p>
    <w:p>
      <w:pPr>
        <w:spacing w:line="360" w:lineRule="auto"/>
        <w:jc w:val="center"/>
      </w:pPr>
      <w:r>
        <w:rPr>
          <w:i/>
          <w:sz w:val="22"/>
        </w:rPr>
        <w:t>Figure 5.4: Receiver Operating Characteristic (ROC)</w:t>
      </w:r>
    </w:p>
    <w:p>
      <w:r>
        <w:br/>
      </w:r>
    </w:p>
    <w:p>
      <w:r>
        <w:br/>
      </w:r>
    </w:p>
    <w:p>
      <w:pPr>
        <w:jc w:val="center"/>
      </w:pPr>
      <w:r>
        <w:drawing>
          <wp:inline xmlns:a="http://schemas.openxmlformats.org/drawingml/2006/main" xmlns:pic="http://schemas.openxmlformats.org/drawingml/2006/picture">
            <wp:extent cx="4572000" cy="2724073"/>
            <wp:docPr id="10" name="Picture 10"/>
            <wp:cNvGraphicFramePr>
              <a:graphicFrameLocks noChangeAspect="1"/>
            </wp:cNvGraphicFramePr>
            <a:graphic>
              <a:graphicData uri="http://schemas.openxmlformats.org/drawingml/2006/picture">
                <pic:pic>
                  <pic:nvPicPr>
                    <pic:cNvPr id="0" name="07_baseline_comparison.png"/>
                    <pic:cNvPicPr/>
                  </pic:nvPicPr>
                  <pic:blipFill>
                    <a:blip r:embed="rId18"/>
                    <a:stretch>
                      <a:fillRect/>
                    </a:stretch>
                  </pic:blipFill>
                  <pic:spPr>
                    <a:xfrm>
                      <a:off x="0" y="0"/>
                      <a:ext cx="4572000" cy="2724073"/>
                    </a:xfrm>
                    <a:prstGeom prst="rect"/>
                  </pic:spPr>
                </pic:pic>
              </a:graphicData>
            </a:graphic>
          </wp:inline>
        </w:drawing>
      </w:r>
    </w:p>
    <w:p>
      <w:pPr>
        <w:spacing w:line="360" w:lineRule="auto"/>
        <w:jc w:val="center"/>
      </w:pPr>
      <w:r>
        <w:rPr>
          <w:i/>
          <w:sz w:val="22"/>
        </w:rPr>
        <w:t>Figure 5.5: Classical GCN vs Quantum GCN Baselines</w:t>
      </w:r>
    </w:p>
    <w:p>
      <w:r>
        <w:br/>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pPr>
        <w:spacing w:line="360" w:lineRule="auto"/>
        <w:jc w:val="both"/>
      </w:pPr>
      <w:r>
        <w:t>[6] A. Abbas et al., "The power of quantum neural networks," Nature Computational Science, vol. 1, pp. 403-409, 2021.</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