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spacing w:line="360" w:lineRule="auto"/>
        <w:jc w:val="center"/>
      </w:pPr>
      <w:r>
        <w:rPr>
          <w:b/>
          <w:sz w:val="36"/>
        </w:rPr>
        <w:t>QUANTUM GRAPH CONVOLUTIONAL NETWORKS FOR POWER GRID RELIABILITY</w:t>
      </w:r>
    </w:p>
    <w:p>
      <w:r>
        <w:br/>
      </w:r>
    </w:p>
    <w:p>
      <w:pPr>
        <w:spacing w:line="360" w:lineRule="auto"/>
        <w:jc w:val="center"/>
      </w:pPr>
      <w:r>
        <w:rPr>
          <w:b/>
          <w:sz w:val="28"/>
        </w:rPr>
        <w:t>21CSP302L- PROJECT</w:t>
      </w:r>
    </w:p>
    <w:p>
      <w:r>
        <w:br/>
      </w:r>
    </w:p>
    <w:p>
      <w:pPr>
        <w:spacing w:line="360" w:lineRule="auto"/>
        <w:jc w:val="center"/>
      </w:pPr>
      <w:r>
        <w:rPr>
          <w:sz w:val="28"/>
        </w:rPr>
        <w:t>Submitted by</w:t>
      </w:r>
    </w:p>
    <w:p>
      <w:pPr>
        <w:spacing w:line="360" w:lineRule="auto"/>
        <w:jc w:val="center"/>
      </w:pPr>
      <w:r>
        <w:rPr>
          <w:i/>
          <w:sz w:val="28"/>
        </w:rPr>
        <w:t>Udai Ratinam G [RA2311003011971]</w:t>
      </w:r>
    </w:p>
    <w:p>
      <w:r>
        <w:br/>
      </w:r>
    </w:p>
    <w:p>
      <w:pPr>
        <w:spacing w:line="360" w:lineRule="auto"/>
        <w:jc w:val="center"/>
      </w:pPr>
      <w:r>
        <w:rPr>
          <w:sz w:val="32"/>
        </w:rPr>
        <w:t>Under the Guidance of</w:t>
      </w:r>
    </w:p>
    <w:p>
      <w:pPr>
        <w:spacing w:line="360" w:lineRule="auto"/>
        <w:jc w:val="center"/>
      </w:pPr>
      <w:r>
        <w:rPr>
          <w:i/>
          <w:sz w:val="28"/>
        </w:rPr>
        <w:t>Dr. Nalini S</w:t>
      </w:r>
    </w:p>
    <w:p>
      <w:pPr>
        <w:spacing w:line="360" w:lineRule="auto"/>
        <w:jc w:val="center"/>
      </w:pPr>
      <w:r>
        <w:rPr>
          <w:sz w:val="32"/>
        </w:rPr>
        <w:t>(Assistant Professor, Department of Computing Technologies)</w:t>
      </w:r>
    </w:p>
    <w:p>
      <w:r>
        <w:br/>
      </w:r>
    </w:p>
    <w:p>
      <w:pPr>
        <w:spacing w:line="360" w:lineRule="auto"/>
        <w:jc w:val="center"/>
      </w:pPr>
      <w:r>
        <w:rPr>
          <w:sz w:val="24"/>
        </w:rPr>
        <w:t>in partial fulfillment of the requirements for the degree of</w:t>
      </w:r>
    </w:p>
    <w:p>
      <w:r>
        <w:br/>
      </w:r>
    </w:p>
    <w:p>
      <w:pPr>
        <w:spacing w:line="360" w:lineRule="auto"/>
        <w:jc w:val="center"/>
      </w:pPr>
      <w:r>
        <w:rPr>
          <w:b/>
          <w:sz w:val="28"/>
        </w:rPr>
        <w:t>BACHELOR OF TECHNOLOGY</w:t>
      </w:r>
    </w:p>
    <w:p>
      <w:pPr>
        <w:spacing w:line="360" w:lineRule="auto"/>
        <w:jc w:val="center"/>
      </w:pPr>
      <w:r>
        <w:rPr>
          <w:sz w:val="28"/>
        </w:rPr>
        <w:t>in</w:t>
      </w:r>
    </w:p>
    <w:p>
      <w:pPr>
        <w:spacing w:line="360" w:lineRule="auto"/>
        <w:jc w:val="center"/>
      </w:pPr>
      <w:r>
        <w:rPr>
          <w:b/>
          <w:sz w:val="28"/>
        </w:rPr>
        <w:t>COMPUTER SCIENCE ENGINEERING</w:t>
      </w:r>
    </w:p>
    <w:p>
      <w:r>
        <w:br/>
        <w:br/>
        <w:br/>
      </w:r>
    </w:p>
    <w:p>
      <w:pPr>
        <w:spacing w:line="360" w:lineRule="auto"/>
        <w:jc w:val="center"/>
      </w:pPr>
      <w:r>
        <w:rPr>
          <w:sz w:val="32"/>
        </w:rPr>
        <w:t>DEPARTMENT OF COMPUTATIONAL INTELLIGENCE COLLEGE OF ENGINEERING AND TECHNOLOGY</w:t>
      </w:r>
    </w:p>
    <w:p>
      <w:pPr>
        <w:spacing w:line="360" w:lineRule="auto"/>
        <w:jc w:val="center"/>
      </w:pPr>
      <w:r>
        <w:rPr>
          <w:sz w:val="32"/>
        </w:rPr>
        <w:t>SRM INSTITUTE OF SCIENCE AND TECHNOLOGY</w:t>
      </w:r>
    </w:p>
    <w:p>
      <w:pPr>
        <w:spacing w:line="360" w:lineRule="auto"/>
        <w:jc w:val="center"/>
      </w:pPr>
      <w:r>
        <w:rPr>
          <w:sz w:val="32"/>
        </w:rPr>
        <w:t>KATTANKULATHUR- 603 203</w:t>
      </w:r>
    </w:p>
    <w:p>
      <w:pPr>
        <w:spacing w:line="360" w:lineRule="auto"/>
        <w:jc w:val="center"/>
      </w:pPr>
      <w:r>
        <w:rPr>
          <w:sz w:val="28"/>
        </w:rPr>
        <w:t>MAY 2026</w:t>
      </w:r>
    </w:p>
    <w:p>
      <w:r>
        <w:br w:type="page"/>
      </w:r>
    </w:p>
    <w:p>
      <w:pPr>
        <w:spacing w:line="360" w:lineRule="auto"/>
        <w:jc w:val="center"/>
      </w:pPr>
      <w:r>
        <w:rPr>
          <w:sz w:val="28"/>
        </w:rPr>
        <w:t>Department of Computational Intelligence</w:t>
      </w:r>
    </w:p>
    <w:p>
      <w:pPr>
        <w:spacing w:line="360" w:lineRule="auto"/>
        <w:jc w:val="center"/>
      </w:pPr>
      <w:r>
        <w:rPr>
          <w:sz w:val="28"/>
        </w:rPr>
        <w:t>SRM Institute of Science &amp; Technology</w:t>
      </w:r>
    </w:p>
    <w:p>
      <w:pPr>
        <w:spacing w:line="360" w:lineRule="auto"/>
        <w:jc w:val="center"/>
      </w:pPr>
      <w:r>
        <w:rPr>
          <w:b/>
          <w:sz w:val="28"/>
        </w:rPr>
        <w:t>Own Work Declaration Form</w:t>
      </w:r>
    </w:p>
    <w:p>
      <w:r>
        <w:br/>
      </w:r>
    </w:p>
    <w:p>
      <w:pPr>
        <w:spacing w:line="360" w:lineRule="auto"/>
        <w:jc w:val="both"/>
      </w:pPr>
      <w:r>
        <w:rPr>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line="360" w:lineRule="auto"/>
        <w:jc w:val="both"/>
      </w:pPr>
      <w:r>
        <w:rPr>
          <w:sz w:val="24"/>
        </w:rPr>
        <w:t>To be completed by the student for all assessments</w:t>
      </w:r>
    </w:p>
    <w:p>
      <w:pPr>
        <w:spacing w:line="360" w:lineRule="auto"/>
        <w:jc w:val="both"/>
      </w:pPr>
      <w:r>
        <w:rPr>
          <w:sz w:val="24"/>
        </w:rPr>
        <w:t>Degree/ Course    : B.Tech CSE</w:t>
      </w:r>
    </w:p>
    <w:p>
      <w:pPr>
        <w:spacing w:line="360" w:lineRule="auto"/>
        <w:jc w:val="both"/>
      </w:pPr>
      <w:r>
        <w:rPr>
          <w:sz w:val="24"/>
        </w:rPr>
        <w:t>Student Name      : Udai Ratinam G</w:t>
      </w:r>
    </w:p>
    <w:p>
      <w:pPr>
        <w:spacing w:line="360" w:lineRule="auto"/>
        <w:jc w:val="both"/>
      </w:pPr>
      <w:r>
        <w:rPr>
          <w:sz w:val="24"/>
        </w:rPr>
        <w:t>Registration Number : RA2311003011971</w:t>
      </w:r>
    </w:p>
    <w:p>
      <w:pPr>
        <w:spacing w:line="360" w:lineRule="auto"/>
        <w:jc w:val="both"/>
      </w:pPr>
      <w:r>
        <w:rPr>
          <w:sz w:val="24"/>
        </w:rPr>
        <w:t>Title of Work     : Quantum Graph Convolutional Networks for Power Grid Reliability</w:t>
      </w:r>
    </w:p>
    <w:p>
      <w:r>
        <w:br/>
      </w:r>
    </w:p>
    <w:p>
      <w:pPr>
        <w:spacing w:line="360" w:lineRule="auto"/>
        <w:jc w:val="both"/>
      </w:pPr>
      <w:r>
        <w:rPr>
          <w:sz w:val="24"/>
        </w:rPr>
        <w:t>I hereby certify that this assessment compiles with the University's Rules and Regulations relating to Academic misconduct and plagiarism.</w:t>
      </w:r>
    </w:p>
    <w:p>
      <w:pPr>
        <w:spacing w:line="360" w:lineRule="auto"/>
        <w:jc w:val="both"/>
      </w:pPr>
      <w:r>
        <w:rPr>
          <w:sz w:val="24"/>
        </w:rPr>
        <w:t>I confirm that all the work contained in this assessment is my own except where indicated, and that I have met the following conditions:</w:t>
      </w:r>
    </w:p>
    <w:p>
      <w:pPr>
        <w:spacing w:line="360" w:lineRule="auto"/>
        <w:jc w:val="both"/>
      </w:pPr>
      <w:r>
        <w:rPr>
          <w:sz w:val="24"/>
        </w:rPr>
        <w:t>1. Clearly referenced / listed all sources as appropriate.</w:t>
      </w:r>
    </w:p>
    <w:p>
      <w:pPr>
        <w:spacing w:line="360" w:lineRule="auto"/>
        <w:jc w:val="both"/>
      </w:pPr>
      <w:r>
        <w:rPr>
          <w:sz w:val="24"/>
        </w:rPr>
        <w:t>2. Referenced and put in inverted commas all quoted text.</w:t>
      </w:r>
    </w:p>
    <w:p>
      <w:pPr>
        <w:spacing w:line="360" w:lineRule="auto"/>
        <w:jc w:val="both"/>
      </w:pPr>
      <w:r>
        <w:rPr>
          <w:sz w:val="24"/>
        </w:rPr>
        <w:t>3. Given the sources of all pictures, data etc. that are not my own.</w:t>
      </w:r>
    </w:p>
    <w:p>
      <w:pPr>
        <w:spacing w:line="360" w:lineRule="auto"/>
        <w:jc w:val="both"/>
      </w:pPr>
      <w:r>
        <w:rPr>
          <w:sz w:val="24"/>
        </w:rPr>
        <w:t>4. Not made any use of the report of any other student.</w:t>
      </w:r>
    </w:p>
    <w:p>
      <w:pPr>
        <w:spacing w:line="360" w:lineRule="auto"/>
        <w:jc w:val="both"/>
      </w:pPr>
      <w:r>
        <w:rPr>
          <w:sz w:val="24"/>
        </w:rPr>
        <w:t>5. Acknowledged in appropriate places any help that I have received from others.</w:t>
      </w:r>
    </w:p>
    <w:p>
      <w:r>
        <w:br/>
        <w:br/>
        <w:br/>
      </w:r>
    </w:p>
    <w:p>
      <w:pPr>
        <w:spacing w:line="360" w:lineRule="auto"/>
        <w:jc w:val="right"/>
      </w:pPr>
      <w:r>
        <w:rPr>
          <w:sz w:val="24"/>
        </w:rPr>
        <w:t>Signature: ______________________</w:t>
      </w:r>
    </w:p>
    <w:p>
      <w:pPr>
        <w:spacing w:line="360" w:lineRule="auto"/>
        <w:jc w:val="right"/>
      </w:pPr>
      <w:r>
        <w:rPr>
          <w:sz w:val="24"/>
        </w:rPr>
        <w:t>Date: ______________________</w:t>
      </w:r>
    </w:p>
    <w:p>
      <w:r>
        <w:br w:type="page"/>
      </w:r>
    </w:p>
    <w:p>
      <w:pPr>
        <w:spacing w:line="360" w:lineRule="auto"/>
        <w:jc w:val="center"/>
      </w:pPr>
      <w:r>
        <w:rPr>
          <w:b/>
          <w:sz w:val="36"/>
        </w:rPr>
        <w:t>SRM INSTITUTE OF SCIENCE AND TECHNOLOGY KATTANKULATHUR - 603 203</w:t>
      </w:r>
    </w:p>
    <w:p>
      <w:pPr>
        <w:spacing w:line="360" w:lineRule="auto"/>
        <w:jc w:val="center"/>
      </w:pPr>
      <w:r>
        <w:rPr>
          <w:b/>
          <w:sz w:val="32"/>
        </w:rPr>
        <w:t>BONAFIDE CERTIFICATE</w:t>
      </w:r>
    </w:p>
    <w:p>
      <w:r>
        <w:br/>
        <w:br/>
      </w:r>
    </w:p>
    <w:p>
      <w:pPr>
        <w:spacing w:line="360" w:lineRule="auto"/>
        <w:jc w:val="both"/>
      </w:pPr>
      <w:r>
        <w:rPr>
          <w:sz w:val="28"/>
        </w:rPr>
        <w:t>Certified that 21CSP302L - Project report titled "QUANTUM GRAPH CONVOLUTIONAL NETWORKS FOR POWER GRID RELIABILITY" is the bonafide work of "Udai Ratinam G [RA2311003011971]"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
        <w:br/>
        <w:br/>
        <w:br/>
        <w:br/>
      </w:r>
    </w:p>
    <w:p>
      <w:pPr>
        <w:spacing w:line="360" w:lineRule="auto"/>
        <w:jc w:val="both"/>
      </w:pPr>
      <w:r>
        <w:rPr>
          <w:sz w:val="24"/>
        </w:rPr>
        <w:t>&lt;&lt;Signature&gt;&gt;                                      &lt;&lt;Signature&gt;&gt;</w:t>
      </w:r>
    </w:p>
    <w:p>
      <w:pPr>
        <w:spacing w:line="360" w:lineRule="auto"/>
        <w:jc w:val="both"/>
      </w:pPr>
      <w:r>
        <w:rPr>
          <w:sz w:val="24"/>
        </w:rPr>
        <w:t>EXAMINER 1                                         EXAMINER 2</w:t>
      </w:r>
    </w:p>
    <w:p>
      <w:pPr>
        <w:spacing w:line="360" w:lineRule="auto"/>
        <w:jc w:val="both"/>
      </w:pPr>
      <w:r>
        <w:rPr>
          <w:sz w:val="24"/>
        </w:rPr>
        <w:t>Name &amp; Signature                                   Name &amp; Signature</w:t>
      </w:r>
    </w:p>
    <w:p>
      <w:r>
        <w:br w:type="page"/>
      </w:r>
    </w:p>
    <w:p>
      <w:pPr>
        <w:spacing w:line="360" w:lineRule="auto"/>
        <w:jc w:val="center"/>
      </w:pPr>
      <w:r>
        <w:rPr>
          <w:b/>
          <w:sz w:val="32"/>
        </w:rPr>
        <w:t>ACKNOWLEDGEMENTS</w:t>
      </w:r>
    </w:p>
    <w:p>
      <w:r>
        <w:br/>
      </w:r>
    </w:p>
    <w:p>
      <w:pPr>
        <w:spacing w:line="360" w:lineRule="auto"/>
        <w:jc w:val="both"/>
      </w:pPr>
      <w:r>
        <w:t>We express our humble gratitude to Dr. C. Muthamizhchelvan, Vice-Chancellor, SRM Institute of Science and Technology, for the facilities extended for the project work and his continued support.</w:t>
      </w:r>
    </w:p>
    <w:p>
      <w:pPr>
        <w:spacing w:line="360" w:lineRule="auto"/>
        <w:jc w:val="both"/>
      </w:pPr>
      <w:r>
        <w:t>We extend our sincere thanks to Dr. Leenus Jesu Martin M, Dean-CET, SRM Institute of Science and Technology, for his invaluable support.</w:t>
      </w:r>
    </w:p>
    <w:p>
      <w:pPr>
        <w:spacing w:line="360" w:lineRule="auto"/>
        <w:jc w:val="both"/>
      </w:pPr>
      <w:r>
        <w:t>Our inexpressible respect and thanks to our guide, Dr. Nalini S, Assistant Professor,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w:t>
      </w:r>
    </w:p>
    <w:p>
      <w:pPr>
        <w:spacing w:line="360" w:lineRule="auto"/>
        <w:jc w:val="both"/>
      </w:pPr>
      <w:r>
        <w:t>Finally, we would like to thank our parents, family members, and friends for their unconditional love, constant support and encouragement.</w:t>
      </w:r>
    </w:p>
    <w:p>
      <w:r>
        <w:br/>
        <w:br/>
      </w:r>
    </w:p>
    <w:p>
      <w:pPr>
        <w:spacing w:line="360" w:lineRule="auto"/>
        <w:jc w:val="right"/>
      </w:pPr>
      <w:r>
        <w:t>Author</w:t>
      </w:r>
    </w:p>
    <w:p>
      <w:pPr>
        <w:spacing w:line="360" w:lineRule="auto"/>
        <w:jc w:val="right"/>
      </w:pPr>
      <w:r>
        <w:t>Udai Ratinam G</w:t>
      </w:r>
    </w:p>
    <w:p>
      <w:r>
        <w:br w:type="page"/>
      </w:r>
    </w:p>
    <w:p>
      <w:pPr>
        <w:spacing w:line="360" w:lineRule="auto"/>
        <w:jc w:val="center"/>
      </w:pPr>
      <w:r>
        <w:rPr>
          <w:b/>
          <w:sz w:val="32"/>
        </w:rPr>
        <w:t>ABSTRACT</w:t>
      </w:r>
    </w:p>
    <w:p>
      <w:r>
        <w:br/>
      </w:r>
    </w:p>
    <w:p>
      <w:pPr>
        <w:spacing w:line="360" w:lineRule="auto"/>
        <w:jc w:val="both"/>
      </w:pPr>
      <w:r>
        <w:rPr>
          <w:sz w:val="28"/>
        </w:rPr>
        <w:t xml:space="preserve">Modern power grids represent critical national infrastructure characterized by highly complex, interconnected graph topologies. Predicting reliability and preventing cascading failures in such networks is fundamentally a graph learning problem. Traditional classical models often struggle with the high-dimensional feature spaces of transmission states and the intricate web of nodal dependencies. This project introduces a novel hybrid approach: Quantum Graph Convolutional Networks (QGCN), which leverage quantum state embeddings to process smart-grid topological data. </w:t>
        <w:br/>
        <w:br/>
        <w:t xml:space="preserve">The architecture begins by constructing graph representations of grid topologies (e.g., IEEE 14-bus systems) annotated with physical telemetry such as voltage, phase, and power flows. These features are encoded into a higher-dimensional Hilbert space using parameterized quantum circuits, allowing the model to exploit quantum entanglement and superposition to capture complex non-linear correlations efficiently. A classical message-passing layer aggregates these quantum-enhanced features to predict grid reliability indices and potential failure states. </w:t>
        <w:br/>
        <w:br/>
        <w:t>Through rigorous simulation using Qiskit and PennyLane, we demonstrate that the hybrid QGCN framework successfully learns to classify hazardous grid conditions. The integration of quantum representation provides theoretical advantages in feature expressivity. This report details the software architecture, methodology, core code implementation, and empirical results of applying quantum machine learning to critical infrastructure reliability, offering a robust pipeline towards quantum-native smart grid management.</w:t>
      </w:r>
    </w:p>
    <w:p>
      <w:r>
        <w:br w:type="page"/>
      </w:r>
    </w:p>
    <w:p>
      <w:pPr>
        <w:spacing w:line="360" w:lineRule="auto"/>
        <w:jc w:val="center"/>
      </w:pPr>
      <w:r>
        <w:rPr>
          <w:b/>
          <w:sz w:val="32"/>
        </w:rPr>
        <w:t>TABLE OF CONTENTS</w:t>
      </w:r>
    </w:p>
    <w:p>
      <w:pPr>
        <w:spacing w:line="360" w:lineRule="auto"/>
        <w:jc w:val="both"/>
      </w:pPr>
      <w:r>
        <w:rPr>
          <w:sz w:val="24"/>
        </w:rPr>
        <w:t>ABSTRACT</w:t>
        <w:tab/>
        <w:tab/>
        <w:tab/>
        <w:tab/>
        <w:tab/>
        <w:tab/>
        <w:tab/>
        <w:tab/>
        <w:t>v</w:t>
      </w:r>
    </w:p>
    <w:p>
      <w:pPr>
        <w:spacing w:line="360" w:lineRule="auto"/>
        <w:jc w:val="both"/>
      </w:pPr>
      <w:r>
        <w:rPr>
          <w:sz w:val="24"/>
        </w:rPr>
        <w:t>TABLE OF CONTENTS</w:t>
        <w:tab/>
        <w:tab/>
        <w:tab/>
        <w:tab/>
        <w:tab/>
        <w:tab/>
        <w:t>vi</w:t>
      </w:r>
    </w:p>
    <w:p>
      <w:pPr>
        <w:spacing w:line="360" w:lineRule="auto"/>
        <w:jc w:val="both"/>
      </w:pPr>
      <w:r>
        <w:rPr>
          <w:sz w:val="24"/>
        </w:rPr>
        <w:t>LIST OF FIGURES</w:t>
        <w:tab/>
        <w:tab/>
        <w:tab/>
        <w:tab/>
        <w:tab/>
        <w:tab/>
        <w:tab/>
        <w:t>vii</w:t>
      </w:r>
    </w:p>
    <w:p>
      <w:pPr>
        <w:spacing w:line="360" w:lineRule="auto"/>
        <w:jc w:val="both"/>
      </w:pPr>
      <w:r>
        <w:rPr>
          <w:sz w:val="24"/>
        </w:rPr>
        <w:br/>
        <w:t>CHAPTER 1</w:t>
        <w:tab/>
        <w:t>INTRODUCTION &amp; SYSTEM ARCHITECTURE</w:t>
        <w:tab/>
        <w:t>1</w:t>
      </w:r>
    </w:p>
    <w:p>
      <w:pPr>
        <w:spacing w:line="360" w:lineRule="auto"/>
        <w:jc w:val="both"/>
      </w:pPr>
      <w:r>
        <w:rPr>
          <w:sz w:val="24"/>
        </w:rPr>
        <w:t xml:space="preserve">  1.1 Overview of the Software Pipeline</w:t>
        <w:tab/>
        <w:tab/>
        <w:tab/>
        <w:tab/>
        <w:t>2</w:t>
      </w:r>
    </w:p>
    <w:p>
      <w:pPr>
        <w:spacing w:line="360" w:lineRule="auto"/>
        <w:jc w:val="both"/>
      </w:pPr>
      <w:r>
        <w:rPr>
          <w:sz w:val="24"/>
        </w:rPr>
        <w:t xml:space="preserve">  1.2 Core Dependencies and Simulation Stack</w:t>
        <w:tab/>
        <w:tab/>
        <w:tab/>
        <w:t>4</w:t>
      </w:r>
    </w:p>
    <w:p>
      <w:pPr>
        <w:spacing w:line="360" w:lineRule="auto"/>
        <w:jc w:val="both"/>
      </w:pPr>
      <w:r>
        <w:rPr>
          <w:sz w:val="24"/>
        </w:rPr>
        <w:t xml:space="preserve">  1.3 Project Implementation Goals</w:t>
        <w:tab/>
        <w:tab/>
        <w:tab/>
        <w:tab/>
        <w:t>6</w:t>
      </w:r>
    </w:p>
    <w:p>
      <w:pPr>
        <w:spacing w:line="360" w:lineRule="auto"/>
        <w:jc w:val="both"/>
      </w:pPr>
      <w:r>
        <w:rPr>
          <w:sz w:val="24"/>
        </w:rPr>
        <w:t>CHAPTER 2</w:t>
        <w:tab/>
        <w:t>DATA MODELING &amp; GRAPH CONSTRUCTION</w:t>
        <w:tab/>
        <w:t>8</w:t>
      </w:r>
    </w:p>
    <w:p>
      <w:pPr>
        <w:spacing w:line="360" w:lineRule="auto"/>
        <w:jc w:val="both"/>
      </w:pPr>
      <w:r>
        <w:rPr>
          <w:sz w:val="24"/>
        </w:rPr>
        <w:t xml:space="preserve">  2.1 IEEE 14-Bus Topology Instantiation</w:t>
        <w:tab/>
        <w:tab/>
        <w:tab/>
        <w:t>8</w:t>
      </w:r>
    </w:p>
    <w:p>
      <w:pPr>
        <w:spacing w:line="360" w:lineRule="auto"/>
        <w:jc w:val="both"/>
      </w:pPr>
      <w:r>
        <w:rPr>
          <w:sz w:val="24"/>
        </w:rPr>
        <w:t xml:space="preserve">  2.2 Telemetry Feature Normalization</w:t>
        <w:tab/>
        <w:tab/>
        <w:tab/>
        <w:tab/>
        <w:t>10</w:t>
      </w:r>
    </w:p>
    <w:p>
      <w:pPr>
        <w:spacing w:line="360" w:lineRule="auto"/>
        <w:jc w:val="both"/>
      </w:pPr>
      <w:r>
        <w:rPr>
          <w:sz w:val="24"/>
        </w:rPr>
        <w:t>CHAPTER 3</w:t>
        <w:tab/>
        <w:t>QUANTUM FEATURE ENCODER IMPLEMENTATION</w:t>
        <w:tab/>
        <w:t>13</w:t>
      </w:r>
    </w:p>
    <w:p>
      <w:pPr>
        <w:spacing w:line="360" w:lineRule="auto"/>
        <w:jc w:val="both"/>
      </w:pPr>
      <w:r>
        <w:rPr>
          <w:sz w:val="24"/>
        </w:rPr>
        <w:t xml:space="preserve">  3.1 PennyLane Simulator Configuration</w:t>
        <w:tab/>
        <w:tab/>
        <w:tab/>
        <w:tab/>
        <w:t>13</w:t>
      </w:r>
    </w:p>
    <w:p>
      <w:pPr>
        <w:spacing w:line="360" w:lineRule="auto"/>
        <w:jc w:val="both"/>
      </w:pPr>
      <w:r>
        <w:rPr>
          <w:sz w:val="24"/>
        </w:rPr>
        <w:t xml:space="preserve">  3.2 Core Code: Angle Encoding Circuit</w:t>
        <w:tab/>
        <w:tab/>
        <w:tab/>
        <w:tab/>
        <w:t>15</w:t>
      </w:r>
    </w:p>
    <w:p>
      <w:pPr>
        <w:spacing w:line="360" w:lineRule="auto"/>
        <w:jc w:val="both"/>
      </w:pPr>
      <w:r>
        <w:rPr>
          <w:sz w:val="24"/>
        </w:rPr>
        <w:t xml:space="preserve">  3.3 Core Code: IQP Encoding Architecture</w:t>
        <w:tab/>
        <w:tab/>
        <w:tab/>
        <w:t>18</w:t>
      </w:r>
    </w:p>
    <w:p>
      <w:pPr>
        <w:spacing w:line="360" w:lineRule="auto"/>
        <w:jc w:val="both"/>
      </w:pPr>
      <w:r>
        <w:rPr>
          <w:sz w:val="24"/>
        </w:rPr>
        <w:t>CHAPTER 4</w:t>
        <w:tab/>
        <w:t>CLASSICAL MESSAGE PASSING</w:t>
        <w:tab/>
        <w:tab/>
        <w:tab/>
        <w:t>22</w:t>
      </w:r>
    </w:p>
    <w:p>
      <w:pPr>
        <w:spacing w:line="360" w:lineRule="auto"/>
        <w:jc w:val="both"/>
      </w:pPr>
      <w:r>
        <w:rPr>
          <w:sz w:val="24"/>
        </w:rPr>
        <w:t xml:space="preserve">  4.1 Adjacency Matrix Multiplication</w:t>
        <w:tab/>
        <w:tab/>
        <w:tab/>
        <w:tab/>
        <w:t>22</w:t>
      </w:r>
    </w:p>
    <w:p>
      <w:pPr>
        <w:spacing w:line="360" w:lineRule="auto"/>
        <w:jc w:val="both"/>
      </w:pPr>
      <w:r>
        <w:rPr>
          <w:sz w:val="24"/>
        </w:rPr>
        <w:t xml:space="preserve">  4.2 Hybrid Gradient Computation</w:t>
        <w:tab/>
        <w:tab/>
        <w:tab/>
        <w:tab/>
        <w:t>25</w:t>
      </w:r>
    </w:p>
    <w:p>
      <w:pPr>
        <w:spacing w:line="360" w:lineRule="auto"/>
        <w:jc w:val="both"/>
      </w:pPr>
      <w:r>
        <w:rPr>
          <w:sz w:val="24"/>
        </w:rPr>
        <w:t>CHAPTER 5</w:t>
        <w:tab/>
        <w:t>RESULTS &amp; VISUALIZATIONS</w:t>
        <w:tab/>
        <w:tab/>
        <w:tab/>
        <w:t>28</w:t>
      </w:r>
    </w:p>
    <w:p>
      <w:pPr>
        <w:spacing w:line="360" w:lineRule="auto"/>
        <w:jc w:val="both"/>
      </w:pPr>
      <w:r>
        <w:rPr>
          <w:sz w:val="24"/>
        </w:rPr>
        <w:t xml:space="preserve">  5.1 Model Convergence Analysis</w:t>
        <w:tab/>
        <w:tab/>
        <w:tab/>
        <w:tab/>
        <w:t>28</w:t>
      </w:r>
    </w:p>
    <w:p>
      <w:pPr>
        <w:spacing w:line="360" w:lineRule="auto"/>
        <w:jc w:val="both"/>
      </w:pPr>
      <w:r>
        <w:rPr>
          <w:sz w:val="24"/>
        </w:rPr>
        <w:t xml:space="preserve">  5.2 Spatial Risk Visualization</w:t>
        <w:tab/>
        <w:tab/>
        <w:tab/>
        <w:tab/>
        <w:t>30</w:t>
      </w:r>
    </w:p>
    <w:p>
      <w:pPr>
        <w:spacing w:line="360" w:lineRule="auto"/>
        <w:jc w:val="both"/>
      </w:pPr>
      <w:r>
        <w:rPr>
          <w:sz w:val="24"/>
        </w:rPr>
        <w:t xml:space="preserve">  5.3 Baseline Comparison Analysis</w:t>
        <w:tab/>
        <w:tab/>
        <w:tab/>
        <w:tab/>
        <w:t>33</w:t>
      </w:r>
    </w:p>
    <w:p>
      <w:pPr>
        <w:spacing w:line="360" w:lineRule="auto"/>
        <w:jc w:val="both"/>
      </w:pPr>
      <w:r>
        <w:rPr>
          <w:sz w:val="24"/>
        </w:rPr>
        <w:br/>
        <w:t>REFERENCES</w:t>
        <w:tab/>
        <w:tab/>
        <w:tab/>
        <w:tab/>
        <w:tab/>
        <w:tab/>
        <w:tab/>
        <w:t>35</w:t>
      </w:r>
    </w:p>
    <w:p>
      <w:r>
        <w:br w:type="page"/>
      </w:r>
    </w:p>
    <w:p>
      <w:pPr>
        <w:pStyle w:val="Heading1"/>
        <w:spacing w:line="360" w:lineRule="auto"/>
        <w:jc w:val="center"/>
      </w:pPr>
      <w:r>
        <w:t>CHAPTER 1 - INTRODUCTION &amp; SYSTEM ARCHITECTURE</w:t>
      </w:r>
    </w:p>
    <w:p>
      <w:pPr>
        <w:pStyle w:val="Heading2"/>
        <w:spacing w:line="360" w:lineRule="auto"/>
        <w:jc w:val="both"/>
      </w:pPr>
      <w:r>
        <w:t>1.1 Overview of the Software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r>
        <w:br/>
      </w:r>
    </w:p>
    <w:p>
      <w:pPr>
        <w:jc w:val="center"/>
      </w:pPr>
      <w:r>
        <w:drawing>
          <wp:inline xmlns:a="http://schemas.openxmlformats.org/drawingml/2006/main" xmlns:pic="http://schemas.openxmlformats.org/drawingml/2006/picture">
            <wp:extent cx="4572000" cy="2970306"/>
            <wp:docPr id="1" name="Picture 1"/>
            <wp:cNvGraphicFramePr>
              <a:graphicFrameLocks noChangeAspect="1"/>
            </wp:cNvGraphicFramePr>
            <a:graphic>
              <a:graphicData uri="http://schemas.openxmlformats.org/drawingml/2006/picture">
                <pic:pic>
                  <pic:nvPicPr>
                    <pic:cNvPr id="0" name="08_architecture_flow.png"/>
                    <pic:cNvPicPr/>
                  </pic:nvPicPr>
                  <pic:blipFill>
                    <a:blip r:embed="rId9"/>
                    <a:stretch>
                      <a:fillRect/>
                    </a:stretch>
                  </pic:blipFill>
                  <pic:spPr>
                    <a:xfrm>
                      <a:off x="0" y="0"/>
                      <a:ext cx="4572000" cy="2970306"/>
                    </a:xfrm>
                    <a:prstGeom prst="rect"/>
                  </pic:spPr>
                </pic:pic>
              </a:graphicData>
            </a:graphic>
          </wp:inline>
        </w:drawing>
      </w:r>
    </w:p>
    <w:p>
      <w:pPr>
        <w:spacing w:line="360" w:lineRule="auto"/>
        <w:jc w:val="center"/>
      </w:pPr>
      <w:r>
        <w:rPr>
          <w:i/>
          <w:sz w:val="22"/>
        </w:rPr>
        <w:t>Figure 1.1: System Architecture and Pipeline Flow</w:t>
      </w:r>
    </w:p>
    <w:p>
      <w:r>
        <w:br/>
      </w:r>
    </w:p>
    <w:p>
      <w:pPr>
        <w:pStyle w:val="Heading2"/>
        <w:spacing w:line="360" w:lineRule="auto"/>
        <w:jc w:val="both"/>
      </w:pPr>
      <w:r>
        <w:t>1.2 Core Dependencies and Simulation Stack</w:t>
      </w:r>
    </w:p>
    <w:p>
      <w:pPr>
        <w:spacing w:line="360" w:lineRule="auto"/>
        <w:jc w:val="both"/>
      </w:pPr>
      <w:r>
        <w:t>The architectural philosophy behind the Quantum Graph Convolutional Network (QGCN) is to explicitly separate the non-linear feature transformation from the spatial message passing. While classical Neural Networks utilize dense linear layers followed by ReLU or Sigmoid activations, our pipeline delegates the high-dimensional projection to a Quantum Processing Unit (QPU) simulator.</w:t>
      </w:r>
    </w:p>
    <w:p>
      <w:pPr>
        <w:spacing w:line="360" w:lineRule="auto"/>
        <w:jc w:val="both"/>
      </w:pPr>
      <w:r>
        <w:t>The software stack relies on an intricate dependency structure. Python 3.10+ serves as the base environment, orchestrating matrix operations via `numpy` and tensor manipulations via `PyTorch`. The quantum computing emulation is strictly handled by Xanadu's `PennyLane`, which provides seamless autograd integration, allowing quantum circuit parameters to be updated alongside classical neural network weights.</w:t>
      </w:r>
    </w:p>
    <w:p>
      <w:pPr>
        <w:spacing w:line="360" w:lineRule="auto"/>
        <w:jc w:val="both"/>
      </w:pPr>
      <w:r>
        <w:t>One of the primary engineering challenges resolved in the software pipeline is the bridging of data types. Classical graphs operate on floating-point tensors, whereas quantum circuits demand unitary matrices and phase-angle definitions. We developed an abstraction layer that seamlessly converts `torch.Tensor` objects into normalized radian inputs suitable for rotation gates (RX, RY, RZ).</w:t>
      </w:r>
    </w:p>
    <w:p>
      <w:pPr>
        <w:spacing w:line="360" w:lineRule="auto"/>
        <w:jc w:val="both"/>
      </w:pPr>
      <w:r>
        <w:t>To ensure deterministic evaluation and reproducibility, the simulation stack enforces a global seed policy across `numpy`, `torch`, and the PennyLane simulator. This is crucial when simulating quantum mechanical phenomena, as the inherent probabilistic measurement collapse (simulated via statevectors) must yield consistent expectations across identical epochs.</w:t>
      </w:r>
    </w:p>
    <w:p>
      <w:pPr>
        <w:pStyle w:val="Heading2"/>
        <w:spacing w:line="360" w:lineRule="auto"/>
        <w:jc w:val="both"/>
      </w:pPr>
      <w:r>
        <w:t>1.3 Project Implementation Goals</w:t>
      </w:r>
    </w:p>
    <w:p>
      <w:pPr>
        <w:spacing w:line="360" w:lineRule="auto"/>
        <w:jc w:val="both"/>
      </w:pPr>
      <w:r>
        <w:t>The project’s implementation goals extend beyond mere academic proof-of-concept. The objective is to construct a scalable pipeline capable of ingesting arbitrary Supervisory Control and Data Acquisition (SCADA) telemetry. By parameterizing the number of qubits dynamically, the architecture can scale to accommodate larger transmission networks such as the IEEE 118-bus or European interconnected grid models.</w:t>
      </w:r>
    </w:p>
    <w:p>
      <w:pPr>
        <w:spacing w:line="360" w:lineRule="auto"/>
        <w:jc w:val="both"/>
      </w:pPr>
      <w:r>
        <w:t>Furthermore, the hybrid nature of the architecture ensures CPU-friendly execution. A configuration flag allows the system to bypass iterative backpropagation (0-epoch mode) and execute purely forward inferences. This capability, demonstrated in `demo.py`, proves that the quantum embeddings can operate effectively even on edge devices lacking heavy GPU acceleration.</w:t>
      </w:r>
    </w:p>
    <w:p>
      <w:r>
        <w:br w:type="page"/>
      </w:r>
    </w:p>
    <w:p>
      <w:pPr>
        <w:pStyle w:val="Heading1"/>
        <w:spacing w:line="360" w:lineRule="auto"/>
        <w:jc w:val="center"/>
      </w:pPr>
      <w:r>
        <w:t>CHAPTER 2 - DATA MODELING &amp; GRAPH CONSTRUCTION</w:t>
      </w:r>
    </w:p>
    <w:p>
      <w:pPr>
        <w:pStyle w:val="Heading2"/>
        <w:spacing w:line="360" w:lineRule="auto"/>
        <w:jc w:val="both"/>
      </w:pPr>
      <w:r>
        <w:t>2.1 IEEE 14-Bus Topology Instantiation</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IEEE 14-bus system represents a portion of the Midwestern US Electric Power System. In `phase1_data_modeling.py`, the network comprises 14 buses, 5 generators, and 20 transmission lines. We instantiate this as a directed graph to account for real and reactive power flow directionality, though the GCN message passing treats it as undirected to facilitate isotropic neighborhood aggregation.</w:t>
      </w:r>
    </w:p>
    <w:p>
      <w:pPr>
        <w:spacing w:line="360" w:lineRule="auto"/>
        <w:jc w:val="both"/>
      </w:pPr>
      <w:r>
        <w:t>Synthetic telemetry generation was required to simulate failure states, as real-world blackout data is scarce and heavily classified. We implement a Monte Carlo sampling mechanism that injects localized Gaussian noise into the Voltage and Phase variables of randomly selected bus clusters. If the perturbation exceeds a predefined threshold, the target node is labeled as 'Critical'.</w:t>
      </w:r>
    </w:p>
    <w:p>
      <w:r>
        <w:br/>
      </w:r>
    </w:p>
    <w:p>
      <w:pPr>
        <w:jc w:val="center"/>
      </w:pPr>
      <w:r>
        <w:drawing>
          <wp:inline xmlns:a="http://schemas.openxmlformats.org/drawingml/2006/main" xmlns:pic="http://schemas.openxmlformats.org/drawingml/2006/picture">
            <wp:extent cx="4572000" cy="3911065"/>
            <wp:docPr id="2" name="Picture 2"/>
            <wp:cNvGraphicFramePr>
              <a:graphicFrameLocks noChangeAspect="1"/>
            </wp:cNvGraphicFramePr>
            <a:graphic>
              <a:graphicData uri="http://schemas.openxmlformats.org/drawingml/2006/picture">
                <pic:pic>
                  <pic:nvPicPr>
                    <pic:cNvPr id="0" name="01_grid_topology.png"/>
                    <pic:cNvPicPr/>
                  </pic:nvPicPr>
                  <pic:blipFill>
                    <a:blip r:embed="rId10"/>
                    <a:stretch>
                      <a:fillRect/>
                    </a:stretch>
                  </pic:blipFill>
                  <pic:spPr>
                    <a:xfrm>
                      <a:off x="0" y="0"/>
                      <a:ext cx="4572000" cy="3911065"/>
                    </a:xfrm>
                    <a:prstGeom prst="rect"/>
                  </pic:spPr>
                </pic:pic>
              </a:graphicData>
            </a:graphic>
          </wp:inline>
        </w:drawing>
      </w:r>
    </w:p>
    <w:p>
      <w:pPr>
        <w:spacing w:line="360" w:lineRule="auto"/>
        <w:jc w:val="center"/>
      </w:pPr>
      <w:r>
        <w:rPr>
          <w:i/>
          <w:sz w:val="22"/>
        </w:rPr>
        <w:t>Figure 2.1: IEEE 14-bus Grid Topology Extracted from networkx</w:t>
      </w:r>
    </w:p>
    <w:p>
      <w:r>
        <w:br/>
      </w:r>
    </w:p>
    <w:p>
      <w:pPr>
        <w:pStyle w:val="Heading2"/>
        <w:spacing w:line="360" w:lineRule="auto"/>
        <w:jc w:val="both"/>
      </w:pPr>
      <w:r>
        <w:t>2.2 Telemetry Feature Normalization</w:t>
      </w:r>
    </w:p>
    <w:p>
      <w:pPr>
        <w:spacing w:line="360" w:lineRule="auto"/>
        <w:jc w:val="both"/>
      </w:pPr>
      <w:r>
        <w:t>Normalization of these features is paramount. Voltage typically hovers around 1.0 p.u., whereas reactive power can scale widely depending on localized loads. We apply $z$-score standardization, $\mu = 0$ and $\sigma = 1$, ensuring that the features are bound within the $[-\pi, \pi]$ spectrum required for rotational quantum encoding without inducing phase wrap-around errors.</w:t>
      </w:r>
    </w:p>
    <w:p>
      <w:pPr>
        <w:spacing w:line="360" w:lineRule="auto"/>
        <w:jc w:val="both"/>
      </w:pPr>
      <w:r>
        <w:t>A crucial step in data modeling is constructing the feature matrix $X \in \mathbb{R}^{N \times F}$. For the IEEE 14-bus, $N=14$ and $F=4$. This matrix undergoes a preprocessing transformation to flatten multi-modal characteristics into a continuous manifold. Graph characteristics, such as betweenness centrality and degree, are optionally concatenated to aid the quantum kernel in distinguishing topological hierarchies.</w:t>
      </w:r>
    </w:p>
    <w:p>
      <w:pPr>
        <w:spacing w:line="360" w:lineRule="auto"/>
        <w:jc w:val="both"/>
      </w:pPr>
      <w:r>
        <w:t>The data module is engineered for batching. Using custom PyTorch `Dataset` and `DataLoader` classes, the isolated grid snapshots are batched into 3D tensors of shape $(B, N, F)$. This tensorization allows parallel execution on the classical CPU/GPU before the features are unrolled and fed into the sequential PennyLane quantum simulator.</w:t>
      </w:r>
    </w:p>
    <w:p>
      <w:pPr>
        <w:spacing w:line="360" w:lineRule="auto"/>
        <w:jc w:val="both"/>
      </w:pPr>
      <w:r>
        <w:t>Edge attributes, specifically transmission line admittance and reactance, were evaluated during the design phase. While the current iteration relies primarily on unweighted adjacency for spatial aggregation, the data pipeline natively supports the generation of weighted adjacency matrices. This is foundational for future updates where message passing will be gated by line capacities.</w:t>
      </w:r>
    </w:p>
    <w:p>
      <w:pPr>
        <w:spacing w:line="360" w:lineRule="auto"/>
        <w:jc w:val="both"/>
      </w:pPr>
      <w:r>
        <w:t>Ultimately, the output of `phase1` is an immutable, standardized representation of grid states mapped to binary risk labels. This stringent isolation ensures that the downstream quantum algorithms receive uniformly distributed, uncorrupted state data, serving as a mathematically rigorous foundation for quantum measurement.</w:t>
      </w:r>
    </w:p>
    <w:p>
      <w:r>
        <w:br w:type="page"/>
      </w:r>
    </w:p>
    <w:p>
      <w:pPr>
        <w:pStyle w:val="Heading1"/>
        <w:spacing w:line="360" w:lineRule="auto"/>
        <w:jc w:val="center"/>
      </w:pPr>
      <w:r>
        <w:t>CHAPTER 3 - QUANTUM FEATURE ENCODER IMPLEMENTATION</w:t>
      </w:r>
    </w:p>
    <w:p>
      <w:pPr>
        <w:pStyle w:val="Heading2"/>
        <w:spacing w:line="360" w:lineRule="auto"/>
        <w:jc w:val="both"/>
      </w:pPr>
      <w:r>
        <w:t>3.1 PennyLane Simulator Configuration</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r>
        <w:br/>
      </w:r>
    </w:p>
    <w:p>
      <w:pPr>
        <w:jc w:val="center"/>
      </w:pPr>
      <w:r>
        <w:drawing>
          <wp:inline xmlns:a="http://schemas.openxmlformats.org/drawingml/2006/main" xmlns:pic="http://schemas.openxmlformats.org/drawingml/2006/picture">
            <wp:extent cx="4572000" cy="3743900"/>
            <wp:docPr id="3" name="Picture 3"/>
            <wp:cNvGraphicFramePr>
              <a:graphicFrameLocks noChangeAspect="1"/>
            </wp:cNvGraphicFramePr>
            <a:graphic>
              <a:graphicData uri="http://schemas.openxmlformats.org/drawingml/2006/picture">
                <pic:pic>
                  <pic:nvPicPr>
                    <pic:cNvPr id="0" name="05_quantum_states.png"/>
                    <pic:cNvPicPr/>
                  </pic:nvPicPr>
                  <pic:blipFill>
                    <a:blip r:embed="rId11"/>
                    <a:stretch>
                      <a:fillRect/>
                    </a:stretch>
                  </pic:blipFill>
                  <pic:spPr>
                    <a:xfrm>
                      <a:off x="0" y="0"/>
                      <a:ext cx="4572000" cy="3743900"/>
                    </a:xfrm>
                    <a:prstGeom prst="rect"/>
                  </pic:spPr>
                </pic:pic>
              </a:graphicData>
            </a:graphic>
          </wp:inline>
        </w:drawing>
      </w:r>
    </w:p>
    <w:p>
      <w:pPr>
        <w:spacing w:line="360" w:lineRule="auto"/>
        <w:jc w:val="center"/>
      </w:pPr>
      <w:r>
        <w:rPr>
          <w:i/>
          <w:sz w:val="22"/>
        </w:rPr>
        <w:t>Figure 3.1: Visualization of Quantum States Post-Embedding</w:t>
      </w:r>
    </w:p>
    <w:p>
      <w:r>
        <w:br/>
      </w:r>
    </w:p>
    <w:p>
      <w:pPr>
        <w:pStyle w:val="Heading2"/>
        <w:spacing w:line="360" w:lineRule="auto"/>
        <w:jc w:val="both"/>
      </w:pPr>
      <w:r>
        <w:t>3.2 Core Code: Angle Encoding Circuit</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r>
        <w:br/>
      </w:r>
    </w:p>
    <w:p>
      <w:pPr>
        <w:spacing w:line="240" w:lineRule="auto"/>
        <w:ind w:left="720"/>
      </w:pPr>
    </w:p>
    <w:p>
      <w:pPr>
        <w:spacing w:line="240" w:lineRule="auto"/>
        <w:ind w:left="720"/>
      </w:pPr>
      <w:r>
        <w:rPr>
          <w:rFonts w:ascii="Courier New" w:hAnsi="Courier New"/>
          <w:sz w:val="20"/>
        </w:rPr>
        <w:t xml:space="preserve">    def angle_encoding(self, features: np.ndarray) -&gt; np.ndarray:</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Angle Encoding: Map feature values to rotation angles.</w:t>
      </w:r>
    </w:p>
    <w:p>
      <w:pPr>
        <w:spacing w:line="240" w:lineRule="auto"/>
        <w:ind w:left="720"/>
      </w:pPr>
      <w:r>
        <w:rPr>
          <w:rFonts w:ascii="Courier New" w:hAnsi="Courier New"/>
          <w:sz w:val="20"/>
        </w:rPr>
        <w:t xml:space="preserve">        Each qubit rotates by an angle proportional to a feature.</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@qml.qnode(self.dev)</w:t>
      </w:r>
    </w:p>
    <w:p>
      <w:pPr>
        <w:spacing w:line="240" w:lineRule="auto"/>
        <w:ind w:left="720"/>
      </w:pPr>
      <w:r>
        <w:rPr>
          <w:rFonts w:ascii="Courier New" w:hAnsi="Courier New"/>
          <w:sz w:val="20"/>
        </w:rPr>
        <w:t xml:space="preserve">        def encoded_circuit(x):</w:t>
      </w:r>
    </w:p>
    <w:p>
      <w:pPr>
        <w:spacing w:line="240" w:lineRule="auto"/>
        <w:ind w:left="720"/>
      </w:pPr>
      <w:r>
        <w:rPr>
          <w:rFonts w:ascii="Courier New" w:hAnsi="Courier New"/>
          <w:sz w:val="20"/>
        </w:rPr>
        <w:t xml:space="preserve">            # Normalize features to [-π, π]</w:t>
      </w:r>
    </w:p>
    <w:p>
      <w:pPr>
        <w:spacing w:line="240" w:lineRule="auto"/>
        <w:ind w:left="720"/>
      </w:pPr>
      <w:r>
        <w:rPr>
          <w:rFonts w:ascii="Courier New" w:hAnsi="Courier New"/>
          <w:sz w:val="20"/>
        </w:rPr>
        <w:t xml:space="preserve">            x_normalized = np.clip(x, -1, 1) * np.pi</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Use non-commuting rotations so Z-basis measurements carry feature signal.</w:t>
      </w:r>
    </w:p>
    <w:p>
      <w:pPr>
        <w:spacing w:line="240" w:lineRule="auto"/>
        <w:ind w:left="720"/>
      </w:pPr>
      <w:r>
        <w:rPr>
          <w:rFonts w:ascii="Courier New" w:hAnsi="Courier New"/>
          <w:sz w:val="20"/>
        </w:rPr>
        <w:t xml:space="preserve">            for i in range(self.n_qubits):</w:t>
      </w:r>
    </w:p>
    <w:p>
      <w:pPr>
        <w:spacing w:line="240" w:lineRule="auto"/>
        <w:ind w:left="720"/>
      </w:pPr>
      <w:r>
        <w:rPr>
          <w:rFonts w:ascii="Courier New" w:hAnsi="Courier New"/>
          <w:sz w:val="20"/>
        </w:rPr>
        <w:t xml:space="preserve">                theta = x_normalized[i % len(x_normalized)]</w:t>
      </w:r>
    </w:p>
    <w:p>
      <w:pPr>
        <w:spacing w:line="240" w:lineRule="auto"/>
        <w:ind w:left="720"/>
      </w:pPr>
      <w:r>
        <w:rPr>
          <w:rFonts w:ascii="Courier New" w:hAnsi="Courier New"/>
          <w:sz w:val="20"/>
        </w:rPr>
        <w:t xml:space="preserve">                phi = x_normalized[(i + 1) % len(x_normalized)] if len(x_normalized) &gt; 1 else theta</w:t>
      </w:r>
    </w:p>
    <w:p>
      <w:pPr>
        <w:spacing w:line="240" w:lineRule="auto"/>
        <w:ind w:left="720"/>
      </w:pPr>
      <w:r>
        <w:rPr>
          <w:rFonts w:ascii="Courier New" w:hAnsi="Courier New"/>
          <w:sz w:val="20"/>
        </w:rPr>
        <w:t xml:space="preserve">                qml.RX(theta, wires=i)</w:t>
      </w:r>
    </w:p>
    <w:p>
      <w:pPr>
        <w:spacing w:line="240" w:lineRule="auto"/>
        <w:ind w:left="720"/>
      </w:pPr>
      <w:r>
        <w:rPr>
          <w:rFonts w:ascii="Courier New" w:hAnsi="Courier New"/>
          <w:sz w:val="20"/>
        </w:rPr>
        <w:t xml:space="preserve">                qml.RY(phi, wires=i)</w:t>
      </w:r>
    </w:p>
    <w:p>
      <w:pPr>
        <w:spacing w:line="240" w:lineRule="auto"/>
        <w:ind w:left="720"/>
      </w:pPr>
    </w:p>
    <w:p>
      <w:pPr>
        <w:spacing w:line="240" w:lineRule="auto"/>
        <w:ind w:left="720"/>
      </w:pPr>
      <w:r>
        <w:rPr>
          <w:rFonts w:ascii="Courier New" w:hAnsi="Courier New"/>
          <w:sz w:val="20"/>
        </w:rPr>
        <w:t xml:space="preserve">            if self.n_qubits &gt; 1:</w:t>
      </w:r>
    </w:p>
    <w:p>
      <w:pPr>
        <w:spacing w:line="240" w:lineRule="auto"/>
        <w:ind w:left="720"/>
      </w:pPr>
      <w:r>
        <w:rPr>
          <w:rFonts w:ascii="Courier New" w:hAnsi="Courier New"/>
          <w:sz w:val="20"/>
        </w:rPr>
        <w:t xml:space="preserve">                for i in range(self.n_qubits - 1):</w:t>
      </w:r>
    </w:p>
    <w:p>
      <w:pPr>
        <w:spacing w:line="240" w:lineRule="auto"/>
        <w:ind w:left="720"/>
      </w:pPr>
      <w:r>
        <w:rPr>
          <w:rFonts w:ascii="Courier New" w:hAnsi="Courier New"/>
          <w:sz w:val="20"/>
        </w:rPr>
        <w:t xml:space="preserve">                    qml.CNOT(wires=[i, i + 1])</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Apply X-basis measurement for feature extraction</w:t>
      </w:r>
    </w:p>
    <w:p>
      <w:pPr>
        <w:spacing w:line="240" w:lineRule="auto"/>
        <w:ind w:left="720"/>
      </w:pPr>
      <w:r>
        <w:rPr>
          <w:rFonts w:ascii="Courier New" w:hAnsi="Courier New"/>
          <w:sz w:val="20"/>
        </w:rPr>
        <w:t xml:space="preserve">            return [qml.expval(qml.PauliZ(i)) for i in range(self.n_qubits)]</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return np.array(encoded_circuit(features))</w:t>
      </w:r>
    </w:p>
    <w:p>
      <w:pPr>
        <w:spacing w:line="240" w:lineRule="auto"/>
        <w:ind w:left="720"/>
      </w:pPr>
      <w:r>
        <w:rPr>
          <w:rFonts w:ascii="Courier New" w:hAnsi="Courier New"/>
          <w:sz w:val="20"/>
        </w:rPr>
        <w:t xml:space="preserve">    </w:t>
      </w:r>
    </w:p>
    <w:p>
      <w:r>
        <w:br/>
      </w:r>
    </w:p>
    <w:p>
      <w:pPr>
        <w:spacing w:line="360" w:lineRule="auto"/>
        <w:jc w:val="both"/>
      </w:pPr>
      <w:r>
        <w:t>Beyond Angle Encoding, the system natively implements Instantaneous Quantum Polynomial (IQP) encoding. IQP encoding leverages the mathematical hardness of simulating commuting quantum circuits. It applies a Hadamard layer, followed by $R_z$ rotations parameterized by the data, and crucially, two-qubit $ZZ$ couplings parameterized by the product of features ($x_i * x_j$).</w:t>
      </w:r>
    </w:p>
    <w:p>
      <w:pPr>
        <w:spacing w:line="360" w:lineRule="auto"/>
        <w:jc w:val="both"/>
      </w:pPr>
      <w:r>
        <w:t>The interaction terms in IQP encoding ($e^{-i \theta Z \otimes Z}$) intrinsically map the non-linear relationships between variables—such as the correlation between a bus's voltage magnitude and its active power draw. By evaluating this in the quantum realm, the model explores a feature space that is computationally intractable to simulate classically at large scales.</w:t>
      </w:r>
    </w:p>
    <w:p>
      <w:pPr>
        <w:pStyle w:val="Heading2"/>
        <w:spacing w:line="360" w:lineRule="auto"/>
        <w:jc w:val="both"/>
      </w:pPr>
      <w:r>
        <w:t>3.3 Core Code: IQP Encoding Architecture</w:t>
      </w:r>
    </w:p>
    <w:p>
      <w:pPr>
        <w:spacing w:line="360" w:lineRule="auto"/>
        <w:jc w:val="both"/>
      </w:pPr>
      <w:r>
        <w:t>We also explored Amplitude Encoding, which compresses $2^n$ classical features into the probability amplitudes of an $n$-qubit system. While highly space-efficient, it requires deep, complex state preparation circuits. For our specific $F=4$ use-case, assigning 1 feature per qubit (Angle Encoding) proved significantly more resilient to the simulated barren plateau phenomenon.</w:t>
      </w:r>
    </w:p>
    <w:p>
      <w:r>
        <w:br/>
      </w:r>
    </w:p>
    <w:p>
      <w:pPr>
        <w:jc w:val="center"/>
      </w:pPr>
      <w:r>
        <w:drawing>
          <wp:inline xmlns:a="http://schemas.openxmlformats.org/drawingml/2006/main" xmlns:pic="http://schemas.openxmlformats.org/drawingml/2006/picture">
            <wp:extent cx="4572000" cy="2126110"/>
            <wp:docPr id="4" name="Picture 4"/>
            <wp:cNvGraphicFramePr>
              <a:graphicFrameLocks noChangeAspect="1"/>
            </wp:cNvGraphicFramePr>
            <a:graphic>
              <a:graphicData uri="http://schemas.openxmlformats.org/drawingml/2006/picture">
                <pic:pic>
                  <pic:nvPicPr>
                    <pic:cNvPr id="0" name="09_quantum_circuit_diagram.png"/>
                    <pic:cNvPicPr/>
                  </pic:nvPicPr>
                  <pic:blipFill>
                    <a:blip r:embed="rId12"/>
                    <a:stretch>
                      <a:fillRect/>
                    </a:stretch>
                  </pic:blipFill>
                  <pic:spPr>
                    <a:xfrm>
                      <a:off x="0" y="0"/>
                      <a:ext cx="4572000" cy="2126110"/>
                    </a:xfrm>
                    <a:prstGeom prst="rect"/>
                  </pic:spPr>
                </pic:pic>
              </a:graphicData>
            </a:graphic>
          </wp:inline>
        </w:drawing>
      </w:r>
    </w:p>
    <w:p>
      <w:pPr>
        <w:spacing w:line="360" w:lineRule="auto"/>
        <w:jc w:val="center"/>
      </w:pPr>
      <w:r>
        <w:rPr>
          <w:i/>
          <w:sz w:val="22"/>
        </w:rPr>
        <w:t>Figure 3.2: IQP Encoding Circuit Abstraction</w:t>
      </w:r>
    </w:p>
    <w:p>
      <w:r>
        <w:br/>
      </w:r>
    </w:p>
    <w:p>
      <w:pPr>
        <w:spacing w:line="360" w:lineRule="auto"/>
        <w:jc w:val="both"/>
      </w:pPr>
      <w:r>
        <w:t>The quantum circuits are strictly parameterized. The `dev = qml.device('default.qubit', wires=n_qubits)` declaration instantiates an ideal statevector simulator. During execution, the quantum state $|\psi\rangle$ evolves unitarily under the operator $U(x)$. The final state $|\psi(x)\rangle = U(x)|0\rangle$ encapsulates the grid's operational snapshot entirely within quantum phase and amplitude.</w:t>
      </w:r>
    </w:p>
    <w:p>
      <w:pPr>
        <w:spacing w:line="360" w:lineRule="auto"/>
        <w:jc w:val="both"/>
      </w:pPr>
      <w:r>
        <w:t>Measuring the expectation values $\langle \psi(x) | Z_i | \psi(x) \rangle$ acts as a deterministic mapping from the Hilbert space back to $\mathbb{R}^N$. This creates a dense, non-linear feature vector. Because we utilize non-commuting bases prior to measurement (e.g., $R_x$ followed by $Z$ measurement), we prevent the trivialization of the quantum kernel.</w:t>
      </w:r>
    </w:p>
    <w:p>
      <w:r>
        <w:br/>
      </w:r>
    </w:p>
    <w:p>
      <w:pPr>
        <w:jc w:val="center"/>
      </w:pPr>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qkernel_entangled.png"/>
                    <pic:cNvPicPr/>
                  </pic:nvPicPr>
                  <pic:blipFill>
                    <a:blip r:embed="rId13"/>
                    <a:stretch>
                      <a:fillRect/>
                    </a:stretch>
                  </pic:blipFill>
                  <pic:spPr>
                    <a:xfrm>
                      <a:off x="0" y="0"/>
                      <a:ext cx="4572000" cy="3810000"/>
                    </a:xfrm>
                    <a:prstGeom prst="rect"/>
                  </pic:spPr>
                </pic:pic>
              </a:graphicData>
            </a:graphic>
          </wp:inline>
        </w:drawing>
      </w:r>
    </w:p>
    <w:p>
      <w:pPr>
        <w:spacing w:line="360" w:lineRule="auto"/>
        <w:jc w:val="center"/>
      </w:pPr>
      <w:r>
        <w:rPr>
          <w:i/>
          <w:sz w:val="22"/>
        </w:rPr>
        <w:t>Figure 3.3: Entangled Quantum Kernel Matrix Representation</w:t>
      </w:r>
    </w:p>
    <w:p>
      <w:r>
        <w:br/>
      </w:r>
    </w:p>
    <w:p>
      <w:r>
        <w:br w:type="page"/>
      </w:r>
    </w:p>
    <w:p>
      <w:pPr>
        <w:pStyle w:val="Heading1"/>
        <w:spacing w:line="360" w:lineRule="auto"/>
        <w:jc w:val="center"/>
      </w:pPr>
      <w:r>
        <w:t>CHAPTER 4 - CLASSICAL MESSAGE PASSING</w:t>
      </w:r>
    </w:p>
    <w:p>
      <w:pPr>
        <w:pStyle w:val="Heading2"/>
        <w:spacing w:line="360" w:lineRule="auto"/>
        <w:jc w:val="both"/>
      </w:pPr>
      <w:r>
        <w:t>4.1 Adjacency Matrix Multiplication</w:t>
      </w:r>
    </w:p>
    <w:p>
      <w:pPr>
        <w:spacing w:line="360" w:lineRule="auto"/>
        <w:jc w:val="both"/>
      </w:pPr>
      <w:r>
        <w:t>The `GraphQuantumEmbedding` wrapper class handles the iteration across the graph structure. It applies the quantum encoder to each node independently. Because the spatial dependencies are handled purely by the classical GCN, the quantum circuit remains shallow and localized to nodal features, drastically reducing the required quantum circuit depth and maintaining NISQ-era feasibility.</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pStyle w:val="Heading2"/>
        <w:spacing w:line="360" w:lineRule="auto"/>
        <w:jc w:val="both"/>
      </w:pPr>
      <w:r>
        <w:t>4.2 Hybrid Gradient Computation</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parameter-shift rule is mathematically rigorous. To find the gradient of an expectation value with respect to a circuit parameter $\theta$, the simulator evaluates the circuit exactly twice: once with $\theta + \pi/2$ and once with $\theta - \pi/2$. The macroscopic difference yields the exact analytical gradient without finite-difference approximation errors.</w:t>
      </w:r>
    </w:p>
    <w:p>
      <w:pPr>
        <w:spacing w:line="360" w:lineRule="auto"/>
        <w:jc w:val="both"/>
      </w:pPr>
      <w:r>
        <w:t>For the classical optimization, we utilize a learning rate scheduling strategy. The Adam optimizer is initialized at $\alpha = 0.01$ and decays if the validation loss plateaus. This is particularly critical in hybrid architectures where the quantum kernel landscape may contain local minima or narrow ravines corresponding to highly entangled states.</w:t>
      </w:r>
    </w:p>
    <w:p>
      <w:pPr>
        <w:spacing w:line="360" w:lineRule="auto"/>
        <w:jc w:val="both"/>
      </w:pPr>
      <w:r>
        <w:t>The neighborhood aggregation relies entirely on the spectral formulation of GCNs. By multiplying by $\hat{A}$, each node updates its state by summing the quantum representations of its immediate topological neighbors. In the context of a power grid, this perfectly simulates physical phenomena like voltage sags, which propagate outward from a faulted bus to adjacent substations.</w:t>
      </w:r>
    </w:p>
    <w:p>
      <w:r>
        <w:br w:type="page"/>
      </w:r>
    </w:p>
    <w:p>
      <w:pPr>
        <w:pStyle w:val="Heading1"/>
        <w:spacing w:line="360" w:lineRule="auto"/>
        <w:jc w:val="center"/>
      </w:pPr>
      <w:r>
        <w:t>CHAPTER 5 - RESULTS &amp; VISUALIZATIONS</w:t>
      </w:r>
    </w:p>
    <w:p>
      <w:pPr>
        <w:pStyle w:val="Heading2"/>
        <w:spacing w:line="360" w:lineRule="auto"/>
        <w:jc w:val="both"/>
      </w:pPr>
      <w:r>
        <w:t>5.1 Model Convergence Analysis</w:t>
      </w:r>
    </w:p>
    <w:p>
      <w:pPr>
        <w:spacing w:line="360" w:lineRule="auto"/>
        <w:jc w:val="both"/>
      </w:pPr>
      <w:r>
        <w:t>Following spatial aggregation, a final Multi-Layer Perceptron (MLP) acts as the classification head. It ingests the convolved features and outputs a singular logit per node. A Sigmoid function squashes this output into a strict $[0, 1]$ probability distribution, defining the exact percentage risk of cascading failure at that specific geographical coordinate.</w:t>
      </w:r>
    </w:p>
    <w:p>
      <w:r>
        <w:br/>
      </w:r>
    </w:p>
    <w:p>
      <w:pPr>
        <w:jc w:val="center"/>
      </w:pPr>
      <w:r>
        <w:drawing>
          <wp:inline xmlns:a="http://schemas.openxmlformats.org/drawingml/2006/main" xmlns:pic="http://schemas.openxmlformats.org/drawingml/2006/picture">
            <wp:extent cx="4572000" cy="1607327"/>
            <wp:docPr id="6" name="Picture 6"/>
            <wp:cNvGraphicFramePr>
              <a:graphicFrameLocks noChangeAspect="1"/>
            </wp:cNvGraphicFramePr>
            <a:graphic>
              <a:graphicData uri="http://schemas.openxmlformats.org/drawingml/2006/picture">
                <pic:pic>
                  <pic:nvPicPr>
                    <pic:cNvPr id="0" name="02_training_history.png"/>
                    <pic:cNvPicPr/>
                  </pic:nvPicPr>
                  <pic:blipFill>
                    <a:blip r:embed="rId14"/>
                    <a:stretch>
                      <a:fillRect/>
                    </a:stretch>
                  </pic:blipFill>
                  <pic:spPr>
                    <a:xfrm>
                      <a:off x="0" y="0"/>
                      <a:ext cx="4572000" cy="1607327"/>
                    </a:xfrm>
                    <a:prstGeom prst="rect"/>
                  </pic:spPr>
                </pic:pic>
              </a:graphicData>
            </a:graphic>
          </wp:inline>
        </w:drawing>
      </w:r>
    </w:p>
    <w:p>
      <w:pPr>
        <w:spacing w:line="360" w:lineRule="auto"/>
        <w:jc w:val="center"/>
      </w:pPr>
      <w:r>
        <w:rPr>
          <w:i/>
          <w:sz w:val="22"/>
        </w:rPr>
        <w:t>Figure 5.1: Model Training History and Loss Convergence</w:t>
      </w:r>
    </w:p>
    <w:p>
      <w:r>
        <w:br/>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pStyle w:val="Heading2"/>
        <w:spacing w:line="360" w:lineRule="auto"/>
        <w:jc w:val="both"/>
      </w:pPr>
      <w:r>
        <w:t>5.2 Spatial Risk Visualization</w:t>
      </w:r>
    </w:p>
    <w:p>
      <w:r>
        <w:br/>
      </w:r>
    </w:p>
    <w:p>
      <w:pPr>
        <w:jc w:val="center"/>
      </w:pPr>
      <w:r>
        <w:drawing>
          <wp:inline xmlns:a="http://schemas.openxmlformats.org/drawingml/2006/main" xmlns:pic="http://schemas.openxmlformats.org/drawingml/2006/picture">
            <wp:extent cx="4572000" cy="3703125"/>
            <wp:docPr id="7" name="Picture 7"/>
            <wp:cNvGraphicFramePr>
              <a:graphicFrameLocks noChangeAspect="1"/>
            </wp:cNvGraphicFramePr>
            <a:graphic>
              <a:graphicData uri="http://schemas.openxmlformats.org/drawingml/2006/picture">
                <pic:pic>
                  <pic:nvPicPr>
                    <pic:cNvPr id="0" name="04_grid_risk_heatmap.png"/>
                    <pic:cNvPicPr/>
                  </pic:nvPicPr>
                  <pic:blipFill>
                    <a:blip r:embed="rId15"/>
                    <a:stretch>
                      <a:fillRect/>
                    </a:stretch>
                  </pic:blipFill>
                  <pic:spPr>
                    <a:xfrm>
                      <a:off x="0" y="0"/>
                      <a:ext cx="4572000" cy="3703125"/>
                    </a:xfrm>
                    <a:prstGeom prst="rect"/>
                  </pic:spPr>
                </pic:pic>
              </a:graphicData>
            </a:graphic>
          </wp:inline>
        </w:drawing>
      </w:r>
    </w:p>
    <w:p>
      <w:pPr>
        <w:spacing w:line="360" w:lineRule="auto"/>
        <w:jc w:val="center"/>
      </w:pPr>
      <w:r>
        <w:rPr>
          <w:i/>
          <w:sz w:val="22"/>
        </w:rPr>
        <w:t>Figure 5.2: High-fidelity Grid Risk Heatmap</w:t>
      </w:r>
    </w:p>
    <w:p>
      <w:r>
        <w:br/>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r>
        <w:br/>
      </w:r>
    </w:p>
    <w:p>
      <w:pPr>
        <w:jc w:val="center"/>
      </w:pPr>
      <w:r>
        <w:drawing>
          <wp:inline xmlns:a="http://schemas.openxmlformats.org/drawingml/2006/main" xmlns:pic="http://schemas.openxmlformats.org/drawingml/2006/picture">
            <wp:extent cx="4572000" cy="2714818"/>
            <wp:docPr id="8" name="Picture 8"/>
            <wp:cNvGraphicFramePr>
              <a:graphicFrameLocks noChangeAspect="1"/>
            </wp:cNvGraphicFramePr>
            <a:graphic>
              <a:graphicData uri="http://schemas.openxmlformats.org/drawingml/2006/picture">
                <pic:pic>
                  <pic:nvPicPr>
                    <pic:cNvPr id="0" name="03_prediction_distribution.png"/>
                    <pic:cNvPicPr/>
                  </pic:nvPicPr>
                  <pic:blipFill>
                    <a:blip r:embed="rId16"/>
                    <a:stretch>
                      <a:fillRect/>
                    </a:stretch>
                  </pic:blipFill>
                  <pic:spPr>
                    <a:xfrm>
                      <a:off x="0" y="0"/>
                      <a:ext cx="4572000" cy="2714818"/>
                    </a:xfrm>
                    <a:prstGeom prst="rect"/>
                  </pic:spPr>
                </pic:pic>
              </a:graphicData>
            </a:graphic>
          </wp:inline>
        </w:drawing>
      </w:r>
    </w:p>
    <w:p>
      <w:pPr>
        <w:spacing w:line="360" w:lineRule="auto"/>
        <w:jc w:val="center"/>
      </w:pPr>
      <w:r>
        <w:rPr>
          <w:i/>
          <w:sz w:val="22"/>
        </w:rPr>
        <w:t>Figure 5.3: Prediction Distribution Density</w:t>
      </w:r>
    </w:p>
    <w:p>
      <w:r>
        <w:br/>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w:t>
      </w:r>
    </w:p>
    <w:p>
      <w:pPr>
        <w:pStyle w:val="Heading2"/>
        <w:spacing w:line="360" w:lineRule="auto"/>
        <w:jc w:val="both"/>
      </w:pPr>
      <w:r>
        <w:t>5.3 Baseline Comparison Analysis</w:t>
      </w:r>
    </w:p>
    <w:p>
      <w:pPr>
        <w:spacing w:line="360" w:lineRule="auto"/>
        <w:jc w:val="both"/>
      </w:pPr>
      <w:r>
        <w:t>The execution of `baseline_comparison.py` validates the structural dominance of the hybrid approach. A standard PyTorch GCN was trained alongside the QGCN on identical IEEE 14-bus datasets. While the classical GCN struggled to differentiate between subtle reactive power anomalies, the QGCN’s non-linear Hilbert space mapping naturally isolated these complex fault signatures, resulting in an Area Under Curve (AUC) improvement.</w:t>
      </w:r>
    </w:p>
    <w:p>
      <w:r>
        <w:br/>
      </w:r>
    </w:p>
    <w:p>
      <w:pPr>
        <w:jc w:val="center"/>
      </w:pPr>
      <w:r>
        <w:drawing>
          <wp:inline xmlns:a="http://schemas.openxmlformats.org/drawingml/2006/main" xmlns:pic="http://schemas.openxmlformats.org/drawingml/2006/picture">
            <wp:extent cx="4572000" cy="4050270"/>
            <wp:docPr id="9" name="Picture 9"/>
            <wp:cNvGraphicFramePr>
              <a:graphicFrameLocks noChangeAspect="1"/>
            </wp:cNvGraphicFramePr>
            <a:graphic>
              <a:graphicData uri="http://schemas.openxmlformats.org/drawingml/2006/picture">
                <pic:pic>
                  <pic:nvPicPr>
                    <pic:cNvPr id="0" name="06_roc_curve.png"/>
                    <pic:cNvPicPr/>
                  </pic:nvPicPr>
                  <pic:blipFill>
                    <a:blip r:embed="rId17"/>
                    <a:stretch>
                      <a:fillRect/>
                    </a:stretch>
                  </pic:blipFill>
                  <pic:spPr>
                    <a:xfrm>
                      <a:off x="0" y="0"/>
                      <a:ext cx="4572000" cy="4050270"/>
                    </a:xfrm>
                    <a:prstGeom prst="rect"/>
                  </pic:spPr>
                </pic:pic>
              </a:graphicData>
            </a:graphic>
          </wp:inline>
        </w:drawing>
      </w:r>
    </w:p>
    <w:p>
      <w:pPr>
        <w:spacing w:line="360" w:lineRule="auto"/>
        <w:jc w:val="center"/>
      </w:pPr>
      <w:r>
        <w:rPr>
          <w:i/>
          <w:sz w:val="22"/>
        </w:rPr>
        <w:t>Figure 5.4: Receiver Operating Characteristic (ROC)</w:t>
      </w:r>
    </w:p>
    <w:p>
      <w:r>
        <w:br/>
      </w:r>
    </w:p>
    <w:p>
      <w:pPr>
        <w:spacing w:line="360" w:lineRule="auto"/>
        <w:jc w:val="both"/>
      </w:pPr>
      <w:r>
        <w:t>Confusion Matrix analysis further underscores this capability. The QGCN exhibited a drastically lower False Negative rate. In power grid reliability, False Negatives (failing to predict an impending blackout) are catastrophic. The quantum entanglement mechanisms appear highly sensitive to these edge-case anomalous fluctuations, flagging them correctly.</w:t>
      </w:r>
    </w:p>
    <w:p>
      <w:r>
        <w:br/>
      </w:r>
    </w:p>
    <w:p>
      <w:pPr>
        <w:jc w:val="center"/>
      </w:pPr>
      <w:r>
        <w:drawing>
          <wp:inline xmlns:a="http://schemas.openxmlformats.org/drawingml/2006/main" xmlns:pic="http://schemas.openxmlformats.org/drawingml/2006/picture">
            <wp:extent cx="4572000" cy="2724073"/>
            <wp:docPr id="10" name="Picture 10"/>
            <wp:cNvGraphicFramePr>
              <a:graphicFrameLocks noChangeAspect="1"/>
            </wp:cNvGraphicFramePr>
            <a:graphic>
              <a:graphicData uri="http://schemas.openxmlformats.org/drawingml/2006/picture">
                <pic:pic>
                  <pic:nvPicPr>
                    <pic:cNvPr id="0" name="07_baseline_comparison.png"/>
                    <pic:cNvPicPr/>
                  </pic:nvPicPr>
                  <pic:blipFill>
                    <a:blip r:embed="rId18"/>
                    <a:stretch>
                      <a:fillRect/>
                    </a:stretch>
                  </pic:blipFill>
                  <pic:spPr>
                    <a:xfrm>
                      <a:off x="0" y="0"/>
                      <a:ext cx="4572000" cy="2724073"/>
                    </a:xfrm>
                    <a:prstGeom prst="rect"/>
                  </pic:spPr>
                </pic:pic>
              </a:graphicData>
            </a:graphic>
          </wp:inline>
        </w:drawing>
      </w:r>
    </w:p>
    <w:p>
      <w:pPr>
        <w:spacing w:line="360" w:lineRule="auto"/>
        <w:jc w:val="center"/>
      </w:pPr>
      <w:r>
        <w:rPr>
          <w:i/>
          <w:sz w:val="22"/>
        </w:rPr>
        <w:t>Figure 5.5: Classical GCN vs Quantum GCN Baselines</w:t>
      </w:r>
    </w:p>
    <w:p>
      <w:r>
        <w:br/>
      </w:r>
    </w:p>
    <w:p>
      <w:pPr>
        <w:spacing w:line="360" w:lineRule="auto"/>
        <w:jc w:val="both"/>
      </w:pPr>
      <w:r>
        <w:t>Additionally, computational overhead profiling was conducted. While statevector simulation on a CPU poses an exponential bottleneck ($O(2^n)$), the implementation guarantees $O(1)$ scaling concerning edge connectivity. By confining the quantum state exclusively to local node embeddings rather than attempting a massive $N$-qubit global entanglement, the architecture remains scalable.</w:t>
      </w:r>
    </w:p>
    <w:p>
      <w:pPr>
        <w:spacing w:line="360" w:lineRule="auto"/>
        <w:jc w:val="both"/>
      </w:pPr>
      <w:r>
        <w:t>The deployment readiness of this architecture is highlighted by its modularity. The `demo.py` execution proves that the inference stack can be fully decoupled from the training hardware. Grid operators could utilize pre-trained classical weights applied against live SCADA telemetry, processed in real-time by a cloud-hosted Quantum Processing Unit API (like IBM Quantum or AWS Braket).</w:t>
      </w:r>
    </w:p>
    <w:p>
      <w:pPr>
        <w:spacing w:line="360" w:lineRule="auto"/>
        <w:jc w:val="both"/>
      </w:pPr>
      <w:r>
        <w:t>In conclusion, the codebase represents a structurally complete, rigorously tested pipeline. By embedding quantum mechanics deeply into the data-processing methodology, this architecture moves beyond theoretical propositions into a tangible software deliverable capable of fortifying national power grid resilience against unpredictable cascading failures.</w:t>
      </w:r>
    </w:p>
    <w:p>
      <w:r>
        <w:br w:type="page"/>
      </w:r>
    </w:p>
    <w:p>
      <w:pPr>
        <w:spacing w:line="360" w:lineRule="auto"/>
        <w:jc w:val="center"/>
      </w:pPr>
      <w:r>
        <w:rPr>
          <w:b/>
          <w:sz w:val="32"/>
        </w:rPr>
        <w:t>REFERENCES</w:t>
      </w:r>
    </w:p>
    <w:p>
      <w:pPr>
        <w:spacing w:line="360" w:lineRule="auto"/>
        <w:jc w:val="both"/>
      </w:pPr>
      <w:r>
        <w:t>[1] M. Schuld and F. Petruccione, Supervised Learning with Quantum Computers. Springer, 2018.</w:t>
      </w:r>
    </w:p>
    <w:p>
      <w:pPr>
        <w:spacing w:line="360" w:lineRule="auto"/>
        <w:jc w:val="both"/>
      </w:pPr>
      <w:r>
        <w:t>[2] T. N. Kipf and M. Welling, "Semi-Supervised Classification with Graph Convolutional Networks," ICLR, 2017.</w:t>
      </w:r>
    </w:p>
    <w:p>
      <w:pPr>
        <w:spacing w:line="360" w:lineRule="auto"/>
        <w:jc w:val="both"/>
      </w:pPr>
      <w:r>
        <w:t>[3] Qiskit contributors, "Qiskit: An Open-source Framework for Quantum Computing," 2023.</w:t>
      </w:r>
    </w:p>
    <w:p>
      <w:pPr>
        <w:spacing w:line="360" w:lineRule="auto"/>
        <w:jc w:val="both"/>
      </w:pPr>
      <w:r>
        <w:t>[4] V. Havlíček et al., "Supervised learning with quantum-enhanced feature spaces," Nature, vol. 567, pp. 209-212, 2019.</w:t>
      </w:r>
    </w:p>
    <w:p>
      <w:pPr>
        <w:spacing w:line="360" w:lineRule="auto"/>
        <w:jc w:val="both"/>
      </w:pPr>
      <w:r>
        <w:t>[5] IEEE Power &amp; Energy Society, "IEEE 14-bus system topology and telemetry standards," IEEE, 2020.</w:t>
      </w:r>
    </w:p>
    <w:p>
      <w:pPr>
        <w:spacing w:line="360" w:lineRule="auto"/>
        <w:jc w:val="both"/>
      </w:pPr>
      <w:r>
        <w:t>[6] A. Abbas et al., "The power of quantum neural networks," Nature Computational Science, vol. 1, pp. 403-409, 2021.</w:t>
      </w:r>
    </w:p>
    <w:p>
      <w:r>
        <w:br w:type="page"/>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