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and PennyLane, we demonstrate that the hybrid QGCN framework successfully learns to classify hazardous grid conditions. The integration of quantum representation provides theoretical advantages in feature expressivity. This report details the software architecture, methodology, core code implementation, and empirical results of applying quantum machine learning to critical infrastructure reliability, offering a robust pipeline towards quantum-native smart grid management.</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br/>
        <w:t>CHAPTER 1</w:t>
        <w:tab/>
        <w:t>INTRODUCTION &amp; SYSTEM ARCHITECTURE</w:t>
        <w:tab/>
        <w:t>1</w:t>
      </w:r>
    </w:p>
    <w:p>
      <w:pPr>
        <w:spacing w:line="360" w:lineRule="auto"/>
        <w:jc w:val="both"/>
      </w:pPr>
      <w:r>
        <w:rPr>
          <w:sz w:val="24"/>
        </w:rPr>
        <w:t xml:space="preserve">  1.1 Overview of the Software Pipeline</w:t>
        <w:tab/>
        <w:tab/>
        <w:tab/>
        <w:tab/>
        <w:t>1</w:t>
      </w:r>
    </w:p>
    <w:p>
      <w:pPr>
        <w:spacing w:line="360" w:lineRule="auto"/>
        <w:jc w:val="both"/>
      </w:pPr>
      <w:r>
        <w:rPr>
          <w:sz w:val="24"/>
        </w:rPr>
        <w:t xml:space="preserve">  1.2 Core Dependencies and Simulation Stack</w:t>
        <w:tab/>
        <w:tab/>
        <w:tab/>
        <w:t>2</w:t>
      </w:r>
    </w:p>
    <w:p>
      <w:pPr>
        <w:spacing w:line="360" w:lineRule="auto"/>
        <w:jc w:val="both"/>
      </w:pPr>
      <w:r>
        <w:rPr>
          <w:sz w:val="24"/>
        </w:rPr>
        <w:t xml:space="preserve">  1.3 Project Implementation Goals</w:t>
        <w:tab/>
        <w:tab/>
        <w:tab/>
        <w:tab/>
        <w:t>2</w:t>
      </w:r>
    </w:p>
    <w:p>
      <w:pPr>
        <w:spacing w:line="360" w:lineRule="auto"/>
        <w:jc w:val="both"/>
      </w:pPr>
      <w:r>
        <w:rPr>
          <w:sz w:val="24"/>
        </w:rPr>
        <w:t>CHAPTER 2</w:t>
        <w:tab/>
        <w:t>DATA MODELING &amp; GRAPH CONSTRUCTION</w:t>
        <w:tab/>
        <w:t>4</w:t>
      </w:r>
    </w:p>
    <w:p>
      <w:pPr>
        <w:spacing w:line="360" w:lineRule="auto"/>
        <w:jc w:val="both"/>
      </w:pPr>
      <w:r>
        <w:rPr>
          <w:sz w:val="24"/>
        </w:rPr>
        <w:t xml:space="preserve">  2.1 IEEE 14-Bus Topology Instantiation</w:t>
        <w:tab/>
        <w:tab/>
        <w:tab/>
        <w:t>4</w:t>
      </w:r>
    </w:p>
    <w:p>
      <w:pPr>
        <w:spacing w:line="360" w:lineRule="auto"/>
        <w:jc w:val="both"/>
      </w:pPr>
      <w:r>
        <w:rPr>
          <w:sz w:val="24"/>
        </w:rPr>
        <w:t xml:space="preserve">  2.2 Telemetry Feature Normalization</w:t>
        <w:tab/>
        <w:tab/>
        <w:tab/>
        <w:tab/>
        <w:t>5</w:t>
      </w:r>
    </w:p>
    <w:p>
      <w:pPr>
        <w:spacing w:line="360" w:lineRule="auto"/>
        <w:jc w:val="both"/>
      </w:pPr>
      <w:r>
        <w:rPr>
          <w:sz w:val="24"/>
        </w:rPr>
        <w:t>CHAPTER 3</w:t>
        <w:tab/>
        <w:t>QUANTUM FEATURE ENCODER IMPLEMENTATION</w:t>
        <w:tab/>
        <w:t>7</w:t>
      </w:r>
    </w:p>
    <w:p>
      <w:pPr>
        <w:spacing w:line="360" w:lineRule="auto"/>
        <w:jc w:val="both"/>
      </w:pPr>
      <w:r>
        <w:rPr>
          <w:sz w:val="24"/>
        </w:rPr>
        <w:t xml:space="preserve">  3.1 PennyLane Simulator Configuration</w:t>
        <w:tab/>
        <w:tab/>
        <w:tab/>
        <w:tab/>
        <w:t>7</w:t>
      </w:r>
    </w:p>
    <w:p>
      <w:pPr>
        <w:spacing w:line="360" w:lineRule="auto"/>
        <w:jc w:val="both"/>
      </w:pPr>
      <w:r>
        <w:rPr>
          <w:sz w:val="24"/>
        </w:rPr>
        <w:t xml:space="preserve">  3.2 Core Code: Angle Encoding Circuit</w:t>
        <w:tab/>
        <w:tab/>
        <w:tab/>
        <w:tab/>
        <w:t>8</w:t>
      </w:r>
    </w:p>
    <w:p>
      <w:pPr>
        <w:spacing w:line="360" w:lineRule="auto"/>
        <w:jc w:val="both"/>
      </w:pPr>
      <w:r>
        <w:rPr>
          <w:sz w:val="24"/>
        </w:rPr>
        <w:t xml:space="preserve">  3.3 Core Code: IQP Encoding Architecture</w:t>
        <w:tab/>
        <w:tab/>
        <w:tab/>
        <w:t>10</w:t>
      </w:r>
    </w:p>
    <w:p>
      <w:pPr>
        <w:spacing w:line="360" w:lineRule="auto"/>
        <w:jc w:val="both"/>
      </w:pPr>
      <w:r>
        <w:rPr>
          <w:sz w:val="24"/>
        </w:rPr>
        <w:t>CHAPTER 4</w:t>
        <w:tab/>
        <w:t>CLASSICAL MESSAGE PASSING</w:t>
        <w:tab/>
        <w:tab/>
        <w:tab/>
        <w:t>12</w:t>
      </w:r>
    </w:p>
    <w:p>
      <w:pPr>
        <w:spacing w:line="360" w:lineRule="auto"/>
        <w:jc w:val="both"/>
      </w:pPr>
      <w:r>
        <w:rPr>
          <w:sz w:val="24"/>
        </w:rPr>
        <w:t xml:space="preserve">  4.1 Adjacency Matrix Multiplication</w:t>
        <w:tab/>
        <w:tab/>
        <w:tab/>
        <w:tab/>
        <w:t>12</w:t>
      </w:r>
    </w:p>
    <w:p>
      <w:pPr>
        <w:spacing w:line="360" w:lineRule="auto"/>
        <w:jc w:val="both"/>
      </w:pPr>
      <w:r>
        <w:rPr>
          <w:sz w:val="24"/>
        </w:rPr>
        <w:t xml:space="preserve">  4.2 Hybrid Gradient Computation</w:t>
        <w:tab/>
        <w:tab/>
        <w:tab/>
        <w:tab/>
        <w:t>12</w:t>
      </w:r>
    </w:p>
    <w:p>
      <w:pPr>
        <w:spacing w:line="360" w:lineRule="auto"/>
        <w:jc w:val="both"/>
      </w:pPr>
      <w:r>
        <w:rPr>
          <w:sz w:val="24"/>
        </w:rPr>
        <w:t>CHAPTER 5</w:t>
        <w:tab/>
        <w:t>RESULTS &amp; VISUALIZATIONS</w:t>
        <w:tab/>
        <w:tab/>
        <w:tab/>
        <w:t>14</w:t>
      </w:r>
    </w:p>
    <w:p>
      <w:pPr>
        <w:spacing w:line="360" w:lineRule="auto"/>
        <w:jc w:val="both"/>
      </w:pPr>
      <w:r>
        <w:rPr>
          <w:sz w:val="24"/>
        </w:rPr>
        <w:t xml:space="preserve">  5.1 Model Convergence Analysis</w:t>
        <w:tab/>
        <w:tab/>
        <w:tab/>
        <w:tab/>
        <w:t>14</w:t>
      </w:r>
    </w:p>
    <w:p>
      <w:pPr>
        <w:spacing w:line="360" w:lineRule="auto"/>
        <w:jc w:val="both"/>
      </w:pPr>
      <w:r>
        <w:rPr>
          <w:sz w:val="24"/>
        </w:rPr>
        <w:t xml:space="preserve">  5.2 Spatial Risk Visualization</w:t>
        <w:tab/>
        <w:tab/>
        <w:tab/>
        <w:tab/>
        <w:t>14</w:t>
      </w:r>
    </w:p>
    <w:p>
      <w:pPr>
        <w:spacing w:line="360" w:lineRule="auto"/>
        <w:jc w:val="both"/>
      </w:pPr>
      <w:r>
        <w:rPr>
          <w:sz w:val="24"/>
        </w:rPr>
        <w:t xml:space="preserve">  5.3 Baseline Comparison Analysis</w:t>
        <w:tab/>
        <w:tab/>
        <w:tab/>
        <w:tab/>
        <w:t>16</w:t>
      </w:r>
    </w:p>
    <w:p>
      <w:pPr>
        <w:spacing w:line="360" w:lineRule="auto"/>
        <w:jc w:val="both"/>
      </w:pPr>
      <w:r>
        <w:rPr>
          <w:sz w:val="24"/>
        </w:rPr>
        <w:br/>
        <w:t>REFERENCES</w:t>
        <w:tab/>
        <w:tab/>
        <w:tab/>
        <w:tab/>
        <w:tab/>
        <w:tab/>
        <w:tab/>
        <w:t>18</w:t>
      </w:r>
    </w:p>
    <w:p>
      <w:r>
        <w:br w:type="page"/>
      </w:r>
    </w:p>
    <w:p>
      <w:pPr>
        <w:pStyle w:val="Heading1"/>
        <w:spacing w:line="360" w:lineRule="auto"/>
        <w:jc w:val="center"/>
      </w:pPr>
      <w:r>
        <w:t>CHAPTER 1 - INTRODUCTION &amp; SYSTEM ARCHITECTURE</w:t>
      </w:r>
    </w:p>
    <w:p>
      <w:pPr>
        <w:pStyle w:val="Heading2"/>
        <w:spacing w:line="360" w:lineRule="auto"/>
        <w:jc w:val="both"/>
      </w:pPr>
      <w:r>
        <w:t>1.1 Overview of the Software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r>
        <w:br/>
      </w:r>
    </w:p>
    <w:p>
      <w:pPr>
        <w:jc w:val="center"/>
      </w:pPr>
      <w:r>
        <w:drawing>
          <wp:inline xmlns:a="http://schemas.openxmlformats.org/drawingml/2006/main" xmlns:pic="http://schemas.openxmlformats.org/drawingml/2006/picture">
            <wp:extent cx="4572000" cy="2970306"/>
            <wp:docPr id="1" name="Picture 1"/>
            <wp:cNvGraphicFramePr>
              <a:graphicFrameLocks noChangeAspect="1"/>
            </wp:cNvGraphicFramePr>
            <a:graphic>
              <a:graphicData uri="http://schemas.openxmlformats.org/drawingml/2006/picture">
                <pic:pic>
                  <pic:nvPicPr>
                    <pic:cNvPr id="0" name="08_architecture_flow.png"/>
                    <pic:cNvPicPr/>
                  </pic:nvPicPr>
                  <pic:blipFill>
                    <a:blip r:embed="rId9"/>
                    <a:stretch>
                      <a:fillRect/>
                    </a:stretch>
                  </pic:blipFill>
                  <pic:spPr>
                    <a:xfrm>
                      <a:off x="0" y="0"/>
                      <a:ext cx="4572000" cy="2970306"/>
                    </a:xfrm>
                    <a:prstGeom prst="rect"/>
                  </pic:spPr>
                </pic:pic>
              </a:graphicData>
            </a:graphic>
          </wp:inline>
        </w:drawing>
      </w:r>
    </w:p>
    <w:p>
      <w:pPr>
        <w:spacing w:line="360" w:lineRule="auto"/>
        <w:jc w:val="center"/>
      </w:pPr>
      <w:r>
        <w:rPr>
          <w:i/>
          <w:sz w:val="22"/>
        </w:rPr>
        <w:t>Figure 1.1: System Architecture and Pipeline Flow</w:t>
      </w:r>
    </w:p>
    <w:p>
      <w:r>
        <w:br/>
      </w:r>
    </w:p>
    <w:p>
      <w:pPr>
        <w:pStyle w:val="Heading2"/>
        <w:spacing w:line="360" w:lineRule="auto"/>
        <w:jc w:val="both"/>
      </w:pPr>
      <w:r>
        <w:t>1.2 Core Dependencies and Simulation Stack</w:t>
      </w:r>
    </w:p>
    <w:p>
      <w:pPr>
        <w:spacing w:line="360" w:lineRule="auto"/>
        <w:jc w:val="both"/>
      </w:pPr>
      <w:r>
        <w:t>The architectural philosophy behind the Quantum Graph Convolutional Network (QGCN) is to explicitly separate the non-linear feature transformation from the spatial message passing. While classical Neural Networks utilize dense linear layers followed by ReLU or Sigmoid activations, our pipeline delegates the high-dimensional projection to a Quantum Processing Unit (QPU) simulator.</w:t>
      </w:r>
    </w:p>
    <w:p>
      <w:pPr>
        <w:spacing w:line="360" w:lineRule="auto"/>
        <w:jc w:val="both"/>
      </w:pPr>
      <w:r>
        <w:t>The software stack relies on an intricate dependency structure. Python 3.10+ serves as the base environment, orchestrating matrix operations via `numpy` and tensor manipulations via `PyTorch`. The quantum computing emulation is strictly handled by Xanadu's `PennyLane`, which provides seamless autograd integration, allowing quantum circuit parameters to be updated alongside classical neural network weights.</w:t>
      </w:r>
    </w:p>
    <w:p>
      <w:pPr>
        <w:spacing w:line="360" w:lineRule="auto"/>
        <w:jc w:val="both"/>
      </w:pPr>
      <w:r>
        <w:t>One of the primary engineering challenges resolved in the software pipeline is the bridging of data types. Classical graphs operate on floating-point tensors, whereas quantum circuits demand unitary matrices and phase-angle definitions. We developed an abstraction layer that seamlessly converts `torch.Tensor` objects into normalized radian inputs suitable for rotation gates (RX, RY, RZ).</w:t>
      </w:r>
    </w:p>
    <w:p>
      <w:pPr>
        <w:spacing w:line="360" w:lineRule="auto"/>
        <w:jc w:val="both"/>
      </w:pPr>
      <w:r>
        <w:t>To ensure deterministic evaluation and reproducibility, the simulation stack enforces a global seed policy across `numpy`, `torch`, and the PennyLane simulator. This is crucial when simulating quantum mechanical phenomena, as the inherent probabilistic measurement collapse (simulated via statevectors) must yield consistent expectations across identical epochs.</w:t>
      </w:r>
    </w:p>
    <w:p>
      <w:pPr>
        <w:pStyle w:val="Heading2"/>
        <w:spacing w:line="360" w:lineRule="auto"/>
        <w:jc w:val="both"/>
      </w:pPr>
      <w:r>
        <w:t>1.3 Project Implementation Goals</w:t>
      </w:r>
    </w:p>
    <w:p>
      <w:pPr>
        <w:spacing w:line="360" w:lineRule="auto"/>
        <w:jc w:val="both"/>
      </w:pPr>
      <w:r>
        <w:t>The project’s implementation goals extend beyond mere academic proof-of-concept. The objective is to construct a scalable pipeline capable of ingesting arbitrary Supervisory Control and Data Acquisition (SCADA) telemetry. By parameterizing the number of qubits dynamically, the architecture can scale to accommodate larger transmission networks such as the IEEE 118-bus or European interconnected grid models.</w:t>
      </w:r>
    </w:p>
    <w:p>
      <w:pPr>
        <w:spacing w:line="360" w:lineRule="auto"/>
        <w:jc w:val="both"/>
      </w:pPr>
      <w:r>
        <w:t>Furthermore, the hybrid nature of the architecture ensures CPU-friendly execution. A configuration flag allows the system to bypass iterative backpropagation (0-epoch mode) and execute purely forward inferences. This capability, demonstrated in `demo.py`, proves that the quantum embeddings can operate effectively even on edge devices lacking heavy GPU acceleration.</w:t>
      </w:r>
    </w:p>
    <w:p>
      <w:r>
        <w:br w:type="page"/>
      </w:r>
    </w:p>
    <w:p>
      <w:pPr>
        <w:pStyle w:val="Heading1"/>
        <w:spacing w:line="360" w:lineRule="auto"/>
        <w:jc w:val="center"/>
      </w:pPr>
      <w:r>
        <w:t>CHAPTER 2 - DATA MODELING &amp; GRAPH CONSTRUCTION</w:t>
      </w:r>
    </w:p>
    <w:p>
      <w:pPr>
        <w:pStyle w:val="Heading2"/>
        <w:spacing w:line="360" w:lineRule="auto"/>
        <w:jc w:val="both"/>
      </w:pPr>
      <w:r>
        <w:t>2.1 IEEE 14-Bus Topology Instantiation</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IEEE 14-bus system represents a portion of the Midwestern US Electric Power System. In `phase1_data_modeling.py`, the network comprises 14 buses, 5 generators, and 20 transmission lines. We instantiate this as a directed graph to account for real and reactive power flow directionality, though the GCN message passing treats it as undirected to facilitate isotropic neighborhood aggregation.</w:t>
      </w:r>
    </w:p>
    <w:p>
      <w:pPr>
        <w:spacing w:line="360" w:lineRule="auto"/>
        <w:jc w:val="both"/>
      </w:pPr>
      <w:r>
        <w:t>Synthetic telemetry generation was required to simulate failure states, as real-world blackout data is scarce and heavily classified. We implement a Monte Carlo sampling mechanism that injects localized Gaussian noise into the Voltage and Phase variables of randomly selected bus clusters. If the perturbation exceeds a predefined threshold, the target node is labeled as 'Critical'.</w:t>
      </w:r>
    </w:p>
    <w:p>
      <w:r>
        <w:br/>
      </w:r>
    </w:p>
    <w:p>
      <w:pPr>
        <w:jc w:val="center"/>
      </w:pPr>
      <w:r>
        <w:drawing>
          <wp:inline xmlns:a="http://schemas.openxmlformats.org/drawingml/2006/main" xmlns:pic="http://schemas.openxmlformats.org/drawingml/2006/picture">
            <wp:extent cx="4572000" cy="3911065"/>
            <wp:docPr id="2" name="Picture 2"/>
            <wp:cNvGraphicFramePr>
              <a:graphicFrameLocks noChangeAspect="1"/>
            </wp:cNvGraphicFramePr>
            <a:graphic>
              <a:graphicData uri="http://schemas.openxmlformats.org/drawingml/2006/picture">
                <pic:pic>
                  <pic:nvPicPr>
                    <pic:cNvPr id="0" name="01_grid_topology.png"/>
                    <pic:cNvPicPr/>
                  </pic:nvPicPr>
                  <pic:blipFill>
                    <a:blip r:embed="rId10"/>
                    <a:stretch>
                      <a:fillRect/>
                    </a:stretch>
                  </pic:blipFill>
                  <pic:spPr>
                    <a:xfrm>
                      <a:off x="0" y="0"/>
                      <a:ext cx="4572000" cy="3911065"/>
                    </a:xfrm>
                    <a:prstGeom prst="rect"/>
                  </pic:spPr>
                </pic:pic>
              </a:graphicData>
            </a:graphic>
          </wp:inline>
        </w:drawing>
      </w:r>
    </w:p>
    <w:p>
      <w:pPr>
        <w:spacing w:line="360" w:lineRule="auto"/>
        <w:jc w:val="center"/>
      </w:pPr>
      <w:r>
        <w:rPr>
          <w:i/>
          <w:sz w:val="22"/>
        </w:rPr>
        <w:t>Figure 2.1: IEEE 14-bus Grid Topology Extracted from networkx</w:t>
      </w:r>
    </w:p>
    <w:p>
      <w:r>
        <w:br/>
      </w:r>
    </w:p>
    <w:p>
      <w:pPr>
        <w:pStyle w:val="Heading2"/>
        <w:spacing w:line="360" w:lineRule="auto"/>
        <w:jc w:val="both"/>
      </w:pPr>
      <w:r>
        <w:t>2.2 Telemetry Feature Normalization</w:t>
      </w:r>
    </w:p>
    <w:p>
      <w:pPr>
        <w:spacing w:line="360" w:lineRule="auto"/>
        <w:jc w:val="both"/>
      </w:pPr>
      <w:r>
        <w:t>Normalization of these features is paramount. Voltage typically hovers around 1.0 p.u., whereas reactive power can scale widely depending on localized loads. We apply $z$-score standardization, $\mu = 0$ and $\sigma = 1$, ensuring that the features are bound within the $[-\pi, \pi]$ spectrum required for rotational quantum encoding without inducing phase wrap-around errors.</w:t>
      </w:r>
    </w:p>
    <w:p>
      <w:pPr>
        <w:spacing w:line="360" w:lineRule="auto"/>
        <w:jc w:val="both"/>
      </w:pPr>
      <w:r>
        <w:t>A crucial step in data modeling is constructing the feature matrix $X \in \mathbb{R}^{N \times F}$. For the IEEE 14-bus, $N=14$ and $F=4$. This matrix undergoes a preprocessing transformation to flatten multi-modal characteristics into a continuous manifold. Graph characteristics, such as betweenness centrality and degree, are optionally concatenated to aid the quantum kernel in distinguishing topological hierarchies.</w:t>
      </w:r>
    </w:p>
    <w:p>
      <w:pPr>
        <w:spacing w:line="360" w:lineRule="auto"/>
        <w:jc w:val="both"/>
      </w:pPr>
      <w:r>
        <w:t>The data module is engineered for batching. Using custom PyTorch `Dataset` and `DataLoader` classes, the isolated grid snapshots are batched into 3D tensors of shape $(B, N, F)$. This tensorization allows parallel execution on the classical CPU/GPU before the features are unrolled and fed into the sequential PennyLane quantum simulator.</w:t>
      </w:r>
    </w:p>
    <w:p>
      <w:pPr>
        <w:spacing w:line="360" w:lineRule="auto"/>
        <w:jc w:val="both"/>
      </w:pPr>
      <w:r>
        <w:t>Edge attributes, specifically transmission line admittance and reactance, were evaluated during the design phase. While the current iteration relies primarily on unweighted adjacency for spatial aggregation, the data pipeline natively supports the generation of weighted adjacency matrices. This is foundational for future updates where message passing will be gated by line capacities.</w:t>
      </w:r>
    </w:p>
    <w:p>
      <w:pPr>
        <w:spacing w:line="360" w:lineRule="auto"/>
        <w:jc w:val="both"/>
      </w:pPr>
      <w:r>
        <w:t>Ultimately, the output of `phase1` is an immutable, standardized representation of grid states mapped to binary risk labels. This stringent isolation ensures that the downstream quantum algorithms receive uniformly distributed, uncorrupted state data, serving as a mathematically rigorous foundation for quantum measurement.</w:t>
      </w:r>
    </w:p>
    <w:p>
      <w:r>
        <w:br w:type="page"/>
      </w:r>
    </w:p>
    <w:p>
      <w:pPr>
        <w:pStyle w:val="Heading1"/>
        <w:spacing w:line="360" w:lineRule="auto"/>
        <w:jc w:val="center"/>
      </w:pPr>
      <w:r>
        <w:t>CHAPTER 3 - QUANTUM FEATURE ENCODER IMPLEMENTATION</w:t>
      </w:r>
    </w:p>
    <w:p>
      <w:pPr>
        <w:pStyle w:val="Heading2"/>
        <w:spacing w:line="360" w:lineRule="auto"/>
        <w:jc w:val="both"/>
      </w:pPr>
      <w:r>
        <w:t>3.1 PennyLane Simulator Configuration</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r>
        <w:br/>
      </w:r>
    </w:p>
    <w:p>
      <w:pPr>
        <w:jc w:val="center"/>
      </w:pPr>
      <w:r>
        <w:drawing>
          <wp:inline xmlns:a="http://schemas.openxmlformats.org/drawingml/2006/main" xmlns:pic="http://schemas.openxmlformats.org/drawingml/2006/picture">
            <wp:extent cx="4572000" cy="3743900"/>
            <wp:docPr id="3" name="Picture 3"/>
            <wp:cNvGraphicFramePr>
              <a:graphicFrameLocks noChangeAspect="1"/>
            </wp:cNvGraphicFramePr>
            <a:graphic>
              <a:graphicData uri="http://schemas.openxmlformats.org/drawingml/2006/picture">
                <pic:pic>
                  <pic:nvPicPr>
                    <pic:cNvPr id="0" name="05_quantum_states.png"/>
                    <pic:cNvPicPr/>
                  </pic:nvPicPr>
                  <pic:blipFill>
                    <a:blip r:embed="rId11"/>
                    <a:stretch>
                      <a:fillRect/>
                    </a:stretch>
                  </pic:blipFill>
                  <pic:spPr>
                    <a:xfrm>
                      <a:off x="0" y="0"/>
                      <a:ext cx="4572000" cy="3743900"/>
                    </a:xfrm>
                    <a:prstGeom prst="rect"/>
                  </pic:spPr>
                </pic:pic>
              </a:graphicData>
            </a:graphic>
          </wp:inline>
        </w:drawing>
      </w:r>
    </w:p>
    <w:p>
      <w:pPr>
        <w:spacing w:line="360" w:lineRule="auto"/>
        <w:jc w:val="center"/>
      </w:pPr>
      <w:r>
        <w:rPr>
          <w:i/>
          <w:sz w:val="22"/>
        </w:rPr>
        <w:t>Figure 3.1: Visualization of Quantum States Post-Embedding</w:t>
      </w:r>
    </w:p>
    <w:p>
      <w:r>
        <w:br/>
      </w:r>
    </w:p>
    <w:p>
      <w:pPr>
        <w:pStyle w:val="Heading2"/>
        <w:spacing w:line="360" w:lineRule="auto"/>
        <w:jc w:val="both"/>
      </w:pPr>
      <w:r>
        <w:t>3.2 Core Code: Angle Encoding Circuit</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r>
        <w:br/>
      </w:r>
    </w:p>
    <w:p>
      <w:pPr>
        <w:spacing w:line="240" w:lineRule="auto"/>
        <w:ind w:left="720"/>
      </w:pPr>
    </w:p>
    <w:p>
      <w:pPr>
        <w:spacing w:line="240" w:lineRule="auto"/>
        <w:ind w:left="720"/>
      </w:pPr>
      <w:r>
        <w:rPr>
          <w:rFonts w:ascii="Courier New" w:hAnsi="Courier New"/>
          <w:sz w:val="20"/>
        </w:rPr>
        <w:t xml:space="preserve">    def angle_encoding(self, features: np.ndarray) -&gt; np.ndarray:</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Angle Encoding: Map feature values to rotation angles.</w:t>
      </w:r>
    </w:p>
    <w:p>
      <w:pPr>
        <w:spacing w:line="240" w:lineRule="auto"/>
        <w:ind w:left="720"/>
      </w:pPr>
      <w:r>
        <w:rPr>
          <w:rFonts w:ascii="Courier New" w:hAnsi="Courier New"/>
          <w:sz w:val="20"/>
        </w:rPr>
        <w:t xml:space="preserve">        Each qubit rotates by an angle proportional to a feature.</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@qml.qnode(self.dev)</w:t>
      </w:r>
    </w:p>
    <w:p>
      <w:pPr>
        <w:spacing w:line="240" w:lineRule="auto"/>
        <w:ind w:left="720"/>
      </w:pPr>
      <w:r>
        <w:rPr>
          <w:rFonts w:ascii="Courier New" w:hAnsi="Courier New"/>
          <w:sz w:val="20"/>
        </w:rPr>
        <w:t xml:space="preserve">        def encoded_circuit(x):</w:t>
      </w:r>
    </w:p>
    <w:p>
      <w:pPr>
        <w:spacing w:line="240" w:lineRule="auto"/>
        <w:ind w:left="720"/>
      </w:pPr>
      <w:r>
        <w:rPr>
          <w:rFonts w:ascii="Courier New" w:hAnsi="Courier New"/>
          <w:sz w:val="20"/>
        </w:rPr>
        <w:t xml:space="preserve">            # Normalize features to [-π, π]</w:t>
      </w:r>
    </w:p>
    <w:p>
      <w:pPr>
        <w:spacing w:line="240" w:lineRule="auto"/>
        <w:ind w:left="720"/>
      </w:pPr>
      <w:r>
        <w:rPr>
          <w:rFonts w:ascii="Courier New" w:hAnsi="Courier New"/>
          <w:sz w:val="20"/>
        </w:rPr>
        <w:t xml:space="preserve">            x_normalized = np.clip(x, -1, 1) * np.pi</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Use non-commuting rotations so Z-basis measurements carry feature signal.</w:t>
      </w:r>
    </w:p>
    <w:p>
      <w:pPr>
        <w:spacing w:line="240" w:lineRule="auto"/>
        <w:ind w:left="720"/>
      </w:pPr>
      <w:r>
        <w:rPr>
          <w:rFonts w:ascii="Courier New" w:hAnsi="Courier New"/>
          <w:sz w:val="20"/>
        </w:rPr>
        <w:t xml:space="preserve">            for i in range(self.n_qubits):</w:t>
      </w:r>
    </w:p>
    <w:p>
      <w:pPr>
        <w:spacing w:line="240" w:lineRule="auto"/>
        <w:ind w:left="720"/>
      </w:pPr>
      <w:r>
        <w:rPr>
          <w:rFonts w:ascii="Courier New" w:hAnsi="Courier New"/>
          <w:sz w:val="20"/>
        </w:rPr>
        <w:t xml:space="preserve">                theta = x_normalized[i % len(x_normalized)]</w:t>
      </w:r>
    </w:p>
    <w:p>
      <w:pPr>
        <w:spacing w:line="240" w:lineRule="auto"/>
        <w:ind w:left="720"/>
      </w:pPr>
      <w:r>
        <w:rPr>
          <w:rFonts w:ascii="Courier New" w:hAnsi="Courier New"/>
          <w:sz w:val="20"/>
        </w:rPr>
        <w:t xml:space="preserve">                phi = x_normalized[(i + 1) % len(x_normalized)] if len(x_normalized) &gt; 1 else theta</w:t>
      </w:r>
    </w:p>
    <w:p>
      <w:pPr>
        <w:spacing w:line="240" w:lineRule="auto"/>
        <w:ind w:left="720"/>
      </w:pPr>
      <w:r>
        <w:rPr>
          <w:rFonts w:ascii="Courier New" w:hAnsi="Courier New"/>
          <w:sz w:val="20"/>
        </w:rPr>
        <w:t xml:space="preserve">                qml.RX(theta, wires=i)</w:t>
      </w:r>
    </w:p>
    <w:p>
      <w:pPr>
        <w:spacing w:line="240" w:lineRule="auto"/>
        <w:ind w:left="720"/>
      </w:pPr>
      <w:r>
        <w:rPr>
          <w:rFonts w:ascii="Courier New" w:hAnsi="Courier New"/>
          <w:sz w:val="20"/>
        </w:rPr>
        <w:t xml:space="preserve">                qml.RY(phi, wires=i)</w:t>
      </w:r>
    </w:p>
    <w:p>
      <w:pPr>
        <w:spacing w:line="240" w:lineRule="auto"/>
        <w:ind w:left="720"/>
      </w:pPr>
    </w:p>
    <w:p>
      <w:pPr>
        <w:spacing w:line="240" w:lineRule="auto"/>
        <w:ind w:left="720"/>
      </w:pPr>
      <w:r>
        <w:rPr>
          <w:rFonts w:ascii="Courier New" w:hAnsi="Courier New"/>
          <w:sz w:val="20"/>
        </w:rPr>
        <w:t xml:space="preserve">            if self.n_qubits &gt; 1:</w:t>
      </w:r>
    </w:p>
    <w:p>
      <w:pPr>
        <w:spacing w:line="240" w:lineRule="auto"/>
        <w:ind w:left="720"/>
      </w:pPr>
      <w:r>
        <w:rPr>
          <w:rFonts w:ascii="Courier New" w:hAnsi="Courier New"/>
          <w:sz w:val="20"/>
        </w:rPr>
        <w:t xml:space="preserve">                for i in range(self.n_qubits - 1):</w:t>
      </w:r>
    </w:p>
    <w:p>
      <w:pPr>
        <w:spacing w:line="240" w:lineRule="auto"/>
        <w:ind w:left="720"/>
      </w:pPr>
      <w:r>
        <w:rPr>
          <w:rFonts w:ascii="Courier New" w:hAnsi="Courier New"/>
          <w:sz w:val="20"/>
        </w:rPr>
        <w:t xml:space="preserve">                    qml.CNOT(wires=[i, i + 1])</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Apply X-basis measurement for feature extraction</w:t>
      </w:r>
    </w:p>
    <w:p>
      <w:pPr>
        <w:spacing w:line="240" w:lineRule="auto"/>
        <w:ind w:left="720"/>
      </w:pPr>
      <w:r>
        <w:rPr>
          <w:rFonts w:ascii="Courier New" w:hAnsi="Courier New"/>
          <w:sz w:val="20"/>
        </w:rPr>
        <w:t xml:space="preserve">            return [qml.expval(qml.PauliZ(i)) for i in range(self.n_qubits)]</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return np.array(encoded_circuit(features))</w:t>
      </w:r>
    </w:p>
    <w:p>
      <w:pPr>
        <w:spacing w:line="240" w:lineRule="auto"/>
        <w:ind w:left="720"/>
      </w:pPr>
      <w:r>
        <w:rPr>
          <w:rFonts w:ascii="Courier New" w:hAnsi="Courier New"/>
          <w:sz w:val="20"/>
        </w:rPr>
        <w:t xml:space="preserve">    </w:t>
      </w:r>
    </w:p>
    <w:p>
      <w:r>
        <w:br/>
      </w:r>
    </w:p>
    <w:p>
      <w:pPr>
        <w:spacing w:line="360" w:lineRule="auto"/>
        <w:jc w:val="both"/>
      </w:pPr>
      <w:r>
        <w:t>Beyond Angle Encoding, the system natively implements Instantaneous Quantum Polynomial (IQP) encoding. IQP encoding leverages the mathematical hardness of simulating commuting quantum circuits. It applies a Hadamard layer, followed by $R_z$ rotations parameterized by the data, and crucially, two-qubit $ZZ$ couplings parameterized by the product of features ($x_i * x_j$).</w:t>
      </w:r>
    </w:p>
    <w:p>
      <w:pPr>
        <w:spacing w:line="360" w:lineRule="auto"/>
        <w:jc w:val="both"/>
      </w:pPr>
      <w:r>
        <w:t>The interaction terms in IQP encoding ($e^{-i \theta Z \otimes Z}$) intrinsically map the non-linear relationships between variables—such as the correlation between a bus's voltage magnitude and its active power draw. By evaluating this in the quantum realm, the model explores a feature space that is computationally intractable to simulate classically at large scales.</w:t>
      </w:r>
    </w:p>
    <w:p>
      <w:pPr>
        <w:pStyle w:val="Heading2"/>
        <w:spacing w:line="360" w:lineRule="auto"/>
        <w:jc w:val="both"/>
      </w:pPr>
      <w:r>
        <w:t>3.3 Core Code: IQP Encoding Architecture</w:t>
      </w:r>
    </w:p>
    <w:p>
      <w:pPr>
        <w:spacing w:line="360" w:lineRule="auto"/>
        <w:jc w:val="both"/>
      </w:pPr>
      <w:r>
        <w:t>We also explored Amplitude Encoding, which compresses $2^n$ classical features into the probability amplitudes of an $n$-qubit system. While highly space-efficient, it requires deep, complex state preparation circuits. For our specific $F=4$ use-case, assigning 1 feature per qubit (Angle Encoding) proved significantly more resilient to the simulated barren plateau phenomenon.</w:t>
      </w:r>
    </w:p>
    <w:p>
      <w:r>
        <w:br/>
      </w:r>
    </w:p>
    <w:p>
      <w:pPr>
        <w:jc w:val="center"/>
      </w:pPr>
      <w:r>
        <w:drawing>
          <wp:inline xmlns:a="http://schemas.openxmlformats.org/drawingml/2006/main" xmlns:pic="http://schemas.openxmlformats.org/drawingml/2006/picture">
            <wp:extent cx="4572000" cy="2126110"/>
            <wp:docPr id="4" name="Picture 4"/>
            <wp:cNvGraphicFramePr>
              <a:graphicFrameLocks noChangeAspect="1"/>
            </wp:cNvGraphicFramePr>
            <a:graphic>
              <a:graphicData uri="http://schemas.openxmlformats.org/drawingml/2006/picture">
                <pic:pic>
                  <pic:nvPicPr>
                    <pic:cNvPr id="0" name="09_quantum_circuit_diagram.png"/>
                    <pic:cNvPicPr/>
                  </pic:nvPicPr>
                  <pic:blipFill>
                    <a:blip r:embed="rId12"/>
                    <a:stretch>
                      <a:fillRect/>
                    </a:stretch>
                  </pic:blipFill>
                  <pic:spPr>
                    <a:xfrm>
                      <a:off x="0" y="0"/>
                      <a:ext cx="4572000" cy="2126110"/>
                    </a:xfrm>
                    <a:prstGeom prst="rect"/>
                  </pic:spPr>
                </pic:pic>
              </a:graphicData>
            </a:graphic>
          </wp:inline>
        </w:drawing>
      </w:r>
    </w:p>
    <w:p>
      <w:pPr>
        <w:spacing w:line="360" w:lineRule="auto"/>
        <w:jc w:val="center"/>
      </w:pPr>
      <w:r>
        <w:rPr>
          <w:i/>
          <w:sz w:val="22"/>
        </w:rPr>
        <w:t>Figure 3.2: IQP Encoding Circuit Abstraction</w:t>
      </w:r>
    </w:p>
    <w:p>
      <w:r>
        <w:br/>
      </w:r>
    </w:p>
    <w:p>
      <w:pPr>
        <w:spacing w:line="360" w:lineRule="auto"/>
        <w:jc w:val="both"/>
      </w:pPr>
      <w:r>
        <w:t>The quantum circuits are strictly parameterized. The `dev = qml.device('default.qubit', wires=n_qubits)` declaration instantiates an ideal statevector simulator. During execution, the quantum state $|\psi\rangle$ evolves unitarily under the operator $U(x)$. The final state $|\psi(x)\rangle = U(x)|0\rangle$ encapsulates the grid's operational snapshot entirely within quantum phase and amplitude.</w:t>
      </w:r>
    </w:p>
    <w:p>
      <w:pPr>
        <w:spacing w:line="360" w:lineRule="auto"/>
        <w:jc w:val="both"/>
      </w:pPr>
      <w:r>
        <w:t>Measuring the expectation values $\langle \psi(x) | Z_i | \psi(x) \rangle$ acts as a deterministic mapping from the Hilbert space back to $\mathbb{R}^N$. This creates a dense, non-linear feature vector. Because we utilize non-commuting bases prior to measurement (e.g., $R_x$ followed by $Z$ measurement), we prevent the trivialization of the quantum kernel.</w:t>
      </w:r>
    </w:p>
    <w:p>
      <w:r>
        <w:br/>
      </w:r>
    </w:p>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qkernel_entangled.png"/>
                    <pic:cNvPicPr/>
                  </pic:nvPicPr>
                  <pic:blipFill>
                    <a:blip r:embed="rId13"/>
                    <a:stretch>
                      <a:fillRect/>
                    </a:stretch>
                  </pic:blipFill>
                  <pic:spPr>
                    <a:xfrm>
                      <a:off x="0" y="0"/>
                      <a:ext cx="4572000" cy="3810000"/>
                    </a:xfrm>
                    <a:prstGeom prst="rect"/>
                  </pic:spPr>
                </pic:pic>
              </a:graphicData>
            </a:graphic>
          </wp:inline>
        </w:drawing>
      </w:r>
    </w:p>
    <w:p>
      <w:pPr>
        <w:spacing w:line="360" w:lineRule="auto"/>
        <w:jc w:val="center"/>
      </w:pPr>
      <w:r>
        <w:rPr>
          <w:i/>
          <w:sz w:val="22"/>
        </w:rPr>
        <w:t>Figure 3.3: Entangled Quantum Kernel Matrix Representation</w:t>
      </w:r>
    </w:p>
    <w:p>
      <w:r>
        <w:br/>
      </w:r>
    </w:p>
    <w:p>
      <w:r>
        <w:br w:type="page"/>
      </w:r>
    </w:p>
    <w:p>
      <w:pPr>
        <w:pStyle w:val="Heading1"/>
        <w:spacing w:line="360" w:lineRule="auto"/>
        <w:jc w:val="center"/>
      </w:pPr>
      <w:r>
        <w:t>CHAPTER 4 - CLASSICAL MESSAGE PASSING</w:t>
      </w:r>
    </w:p>
    <w:p>
      <w:pPr>
        <w:pStyle w:val="Heading2"/>
        <w:spacing w:line="360" w:lineRule="auto"/>
        <w:jc w:val="both"/>
      </w:pPr>
      <w:r>
        <w:t>4.1 Adjacency Matrix Multiplication</w:t>
      </w:r>
    </w:p>
    <w:p>
      <w:pPr>
        <w:spacing w:line="360" w:lineRule="auto"/>
        <w:jc w:val="both"/>
      </w:pPr>
      <w:r>
        <w:t>The `GraphQuantumEmbedding` wrapper class handles the iteration across the graph structure. It applies the quantum encoder to each node independently. Because the spatial dependencies are handled purely by the classical GCN, the quantum circuit remains shallow and localized to nodal features, drastically reducing the required quantum circuit depth and maintaining NISQ-era feasibility.</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pStyle w:val="Heading2"/>
        <w:spacing w:line="360" w:lineRule="auto"/>
        <w:jc w:val="both"/>
      </w:pPr>
      <w:r>
        <w:t>4.2 Hybrid Gradient Computation</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parameter-shift rule is mathematically rigorous. To find the gradient of an expectation value with respect to a circuit parameter $\theta$, the simulator evaluates the circuit exactly twice: once with $\theta + \pi/2$ and once with $\theta - \pi/2$. The macroscopic difference yields the exact analytical gradient without finite-difference approximation errors.</w:t>
      </w:r>
    </w:p>
    <w:p>
      <w:pPr>
        <w:spacing w:line="360" w:lineRule="auto"/>
        <w:jc w:val="both"/>
      </w:pPr>
      <w:r>
        <w:t>For the classical optimization, we utilize a learning rate scheduling strategy. The Adam optimizer is initialized at $\alpha = 0.01$ and decays if the validation loss plateaus. This is particularly critical in hybrid architectures where the quantum kernel landscape may contain local minima or narrow ravines corresponding to highly entangled states.</w:t>
      </w:r>
    </w:p>
    <w:p>
      <w:pPr>
        <w:spacing w:line="360" w:lineRule="auto"/>
        <w:jc w:val="both"/>
      </w:pPr>
      <w:r>
        <w:t>The neighborhood aggregation relies entirely on the spectral formulation of GCNs. By multiplying by $\hat{A}$, each node updates its state by summing the quantum representations of its immediate topological neighbors. In the context of a power grid, this perfectly simulates physical phenomena like voltage sags, which propagate outward from a faulted bus to adjacent substations.</w:t>
      </w:r>
    </w:p>
    <w:p>
      <w:r>
        <w:br w:type="page"/>
      </w:r>
    </w:p>
    <w:p>
      <w:pPr>
        <w:pStyle w:val="Heading1"/>
        <w:spacing w:line="360" w:lineRule="auto"/>
        <w:jc w:val="center"/>
      </w:pPr>
      <w:r>
        <w:t>CHAPTER 5 - RESULTS &amp; VISUALIZATIONS</w:t>
      </w:r>
    </w:p>
    <w:p>
      <w:pPr>
        <w:pStyle w:val="Heading2"/>
        <w:spacing w:line="360" w:lineRule="auto"/>
        <w:jc w:val="both"/>
      </w:pPr>
      <w:r>
        <w:t>5.1 Model Convergence Analysis</w:t>
      </w:r>
    </w:p>
    <w:p>
      <w:pPr>
        <w:spacing w:line="360" w:lineRule="auto"/>
        <w:jc w:val="both"/>
      </w:pPr>
      <w:r>
        <w:t>Following spatial aggregation, a final Multi-Layer Perceptron (MLP) acts as the classification head. It ingests the convolved features and outputs a singular logit per node. A Sigmoid function squashes this output into a strict $[0, 1]$ probability distribution, defining the exact percentage risk of cascading failure at that specific geographical coordinate.</w:t>
      </w:r>
    </w:p>
    <w:p>
      <w:r>
        <w:br/>
      </w:r>
    </w:p>
    <w:p>
      <w:pPr>
        <w:jc w:val="center"/>
      </w:pPr>
      <w:r>
        <w:drawing>
          <wp:inline xmlns:a="http://schemas.openxmlformats.org/drawingml/2006/main" xmlns:pic="http://schemas.openxmlformats.org/drawingml/2006/picture">
            <wp:extent cx="4572000" cy="1607327"/>
            <wp:docPr id="6" name="Picture 6"/>
            <wp:cNvGraphicFramePr>
              <a:graphicFrameLocks noChangeAspect="1"/>
            </wp:cNvGraphicFramePr>
            <a:graphic>
              <a:graphicData uri="http://schemas.openxmlformats.org/drawingml/2006/picture">
                <pic:pic>
                  <pic:nvPicPr>
                    <pic:cNvPr id="0" name="02_training_history.png"/>
                    <pic:cNvPicPr/>
                  </pic:nvPicPr>
                  <pic:blipFill>
                    <a:blip r:embed="rId14"/>
                    <a:stretch>
                      <a:fillRect/>
                    </a:stretch>
                  </pic:blipFill>
                  <pic:spPr>
                    <a:xfrm>
                      <a:off x="0" y="0"/>
                      <a:ext cx="4572000" cy="1607327"/>
                    </a:xfrm>
                    <a:prstGeom prst="rect"/>
                  </pic:spPr>
                </pic:pic>
              </a:graphicData>
            </a:graphic>
          </wp:inline>
        </w:drawing>
      </w:r>
    </w:p>
    <w:p>
      <w:pPr>
        <w:spacing w:line="360" w:lineRule="auto"/>
        <w:jc w:val="center"/>
      </w:pPr>
      <w:r>
        <w:rPr>
          <w:i/>
          <w:sz w:val="22"/>
        </w:rPr>
        <w:t>Figure 5.1: Model Training History and Loss Convergence</w:t>
      </w:r>
    </w:p>
    <w:p>
      <w:r>
        <w:br/>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pStyle w:val="Heading2"/>
        <w:spacing w:line="360" w:lineRule="auto"/>
        <w:jc w:val="both"/>
      </w:pPr>
      <w:r>
        <w:t>5.2 Spatial Risk Visualization</w:t>
      </w:r>
    </w:p>
    <w:p>
      <w:r>
        <w:br/>
      </w:r>
    </w:p>
    <w:p>
      <w:pPr>
        <w:jc w:val="center"/>
      </w:pPr>
      <w:r>
        <w:drawing>
          <wp:inline xmlns:a="http://schemas.openxmlformats.org/drawingml/2006/main" xmlns:pic="http://schemas.openxmlformats.org/drawingml/2006/picture">
            <wp:extent cx="4572000" cy="3703125"/>
            <wp:docPr id="7" name="Picture 7"/>
            <wp:cNvGraphicFramePr>
              <a:graphicFrameLocks noChangeAspect="1"/>
            </wp:cNvGraphicFramePr>
            <a:graphic>
              <a:graphicData uri="http://schemas.openxmlformats.org/drawingml/2006/picture">
                <pic:pic>
                  <pic:nvPicPr>
                    <pic:cNvPr id="0" name="04_grid_risk_heatmap.png"/>
                    <pic:cNvPicPr/>
                  </pic:nvPicPr>
                  <pic:blipFill>
                    <a:blip r:embed="rId15"/>
                    <a:stretch>
                      <a:fillRect/>
                    </a:stretch>
                  </pic:blipFill>
                  <pic:spPr>
                    <a:xfrm>
                      <a:off x="0" y="0"/>
                      <a:ext cx="4572000" cy="3703125"/>
                    </a:xfrm>
                    <a:prstGeom prst="rect"/>
                  </pic:spPr>
                </pic:pic>
              </a:graphicData>
            </a:graphic>
          </wp:inline>
        </w:drawing>
      </w:r>
    </w:p>
    <w:p>
      <w:pPr>
        <w:spacing w:line="360" w:lineRule="auto"/>
        <w:jc w:val="center"/>
      </w:pPr>
      <w:r>
        <w:rPr>
          <w:i/>
          <w:sz w:val="22"/>
        </w:rPr>
        <w:t>Figure 5.2: High-fidelity Grid Risk Heatmap</w:t>
      </w:r>
    </w:p>
    <w:p>
      <w:r>
        <w:br/>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r>
        <w:br/>
      </w:r>
    </w:p>
    <w:p>
      <w:pPr>
        <w:jc w:val="center"/>
      </w:pPr>
      <w:r>
        <w:drawing>
          <wp:inline xmlns:a="http://schemas.openxmlformats.org/drawingml/2006/main" xmlns:pic="http://schemas.openxmlformats.org/drawingml/2006/picture">
            <wp:extent cx="4572000" cy="2714818"/>
            <wp:docPr id="8" name="Picture 8"/>
            <wp:cNvGraphicFramePr>
              <a:graphicFrameLocks noChangeAspect="1"/>
            </wp:cNvGraphicFramePr>
            <a:graphic>
              <a:graphicData uri="http://schemas.openxmlformats.org/drawingml/2006/picture">
                <pic:pic>
                  <pic:nvPicPr>
                    <pic:cNvPr id="0" name="03_prediction_distribution.png"/>
                    <pic:cNvPicPr/>
                  </pic:nvPicPr>
                  <pic:blipFill>
                    <a:blip r:embed="rId16"/>
                    <a:stretch>
                      <a:fillRect/>
                    </a:stretch>
                  </pic:blipFill>
                  <pic:spPr>
                    <a:xfrm>
                      <a:off x="0" y="0"/>
                      <a:ext cx="4572000" cy="2714818"/>
                    </a:xfrm>
                    <a:prstGeom prst="rect"/>
                  </pic:spPr>
                </pic:pic>
              </a:graphicData>
            </a:graphic>
          </wp:inline>
        </w:drawing>
      </w:r>
    </w:p>
    <w:p>
      <w:pPr>
        <w:spacing w:line="360" w:lineRule="auto"/>
        <w:jc w:val="center"/>
      </w:pPr>
      <w:r>
        <w:rPr>
          <w:i/>
          <w:sz w:val="22"/>
        </w:rPr>
        <w:t>Figure 5.3: Prediction Distribution Density</w:t>
      </w:r>
    </w:p>
    <w:p>
      <w:r>
        <w:br/>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w:t>
      </w:r>
    </w:p>
    <w:p>
      <w:pPr>
        <w:pStyle w:val="Heading2"/>
        <w:spacing w:line="360" w:lineRule="auto"/>
        <w:jc w:val="both"/>
      </w:pPr>
      <w:r>
        <w:t>5.3 Baseline Comparison Analysis</w:t>
      </w:r>
    </w:p>
    <w:p>
      <w:pPr>
        <w:spacing w:line="360" w:lineRule="auto"/>
        <w:jc w:val="both"/>
      </w:pPr>
      <w:r>
        <w:t>The execution of `baseline_comparison.py` validates the structural dominance of the hybrid approach. A standard PyTorch GCN was trained alongside the QGCN on identical IEEE 14-bus datasets. While the classical GCN struggled to differentiate between subtle reactive power anomalies, the QGCN’s non-linear Hilbert space mapping naturally isolated these complex fault signatures, resulting in an Area Under Curve (AUC) improvement.</w:t>
      </w:r>
    </w:p>
    <w:p>
      <w:r>
        <w:br/>
      </w:r>
    </w:p>
    <w:p>
      <w:pPr>
        <w:jc w:val="center"/>
      </w:pPr>
      <w:r>
        <w:drawing>
          <wp:inline xmlns:a="http://schemas.openxmlformats.org/drawingml/2006/main" xmlns:pic="http://schemas.openxmlformats.org/drawingml/2006/picture">
            <wp:extent cx="4572000" cy="4050270"/>
            <wp:docPr id="9" name="Picture 9"/>
            <wp:cNvGraphicFramePr>
              <a:graphicFrameLocks noChangeAspect="1"/>
            </wp:cNvGraphicFramePr>
            <a:graphic>
              <a:graphicData uri="http://schemas.openxmlformats.org/drawingml/2006/picture">
                <pic:pic>
                  <pic:nvPicPr>
                    <pic:cNvPr id="0" name="06_roc_curve.png"/>
                    <pic:cNvPicPr/>
                  </pic:nvPicPr>
                  <pic:blipFill>
                    <a:blip r:embed="rId17"/>
                    <a:stretch>
                      <a:fillRect/>
                    </a:stretch>
                  </pic:blipFill>
                  <pic:spPr>
                    <a:xfrm>
                      <a:off x="0" y="0"/>
                      <a:ext cx="4572000" cy="4050270"/>
                    </a:xfrm>
                    <a:prstGeom prst="rect"/>
                  </pic:spPr>
                </pic:pic>
              </a:graphicData>
            </a:graphic>
          </wp:inline>
        </w:drawing>
      </w:r>
    </w:p>
    <w:p>
      <w:pPr>
        <w:spacing w:line="360" w:lineRule="auto"/>
        <w:jc w:val="center"/>
      </w:pPr>
      <w:r>
        <w:rPr>
          <w:i/>
          <w:sz w:val="22"/>
        </w:rPr>
        <w:t>Figure 5.4: Receiver Operating Characteristic (ROC)</w:t>
      </w:r>
    </w:p>
    <w:p>
      <w:r>
        <w:br/>
      </w:r>
    </w:p>
    <w:p>
      <w:pPr>
        <w:spacing w:line="360" w:lineRule="auto"/>
        <w:jc w:val="both"/>
      </w:pPr>
      <w:r>
        <w:t>Confusion Matrix analysis further underscores this capability. The QGCN exhibited a drastically lower False Negative rate. In power grid reliability, False Negatives (failing to predict an impending blackout) are catastrophic. The quantum entanglement mechanisms appear highly sensitive to these edge-case anomalous fluctuations, flagging them correctly.</w:t>
      </w:r>
    </w:p>
    <w:p>
      <w:r>
        <w:br/>
      </w:r>
    </w:p>
    <w:p>
      <w:pPr>
        <w:jc w:val="center"/>
      </w:pPr>
      <w:r>
        <w:drawing>
          <wp:inline xmlns:a="http://schemas.openxmlformats.org/drawingml/2006/main" xmlns:pic="http://schemas.openxmlformats.org/drawingml/2006/picture">
            <wp:extent cx="4572000" cy="2724073"/>
            <wp:docPr id="10" name="Picture 10"/>
            <wp:cNvGraphicFramePr>
              <a:graphicFrameLocks noChangeAspect="1"/>
            </wp:cNvGraphicFramePr>
            <a:graphic>
              <a:graphicData uri="http://schemas.openxmlformats.org/drawingml/2006/picture">
                <pic:pic>
                  <pic:nvPicPr>
                    <pic:cNvPr id="0" name="07_baseline_comparison.png"/>
                    <pic:cNvPicPr/>
                  </pic:nvPicPr>
                  <pic:blipFill>
                    <a:blip r:embed="rId18"/>
                    <a:stretch>
                      <a:fillRect/>
                    </a:stretch>
                  </pic:blipFill>
                  <pic:spPr>
                    <a:xfrm>
                      <a:off x="0" y="0"/>
                      <a:ext cx="4572000" cy="2724073"/>
                    </a:xfrm>
                    <a:prstGeom prst="rect"/>
                  </pic:spPr>
                </pic:pic>
              </a:graphicData>
            </a:graphic>
          </wp:inline>
        </w:drawing>
      </w:r>
    </w:p>
    <w:p>
      <w:pPr>
        <w:spacing w:line="360" w:lineRule="auto"/>
        <w:jc w:val="center"/>
      </w:pPr>
      <w:r>
        <w:rPr>
          <w:i/>
          <w:sz w:val="22"/>
        </w:rPr>
        <w:t>Figure 5.5: Classical GCN vs Quantum GCN Baselines</w:t>
      </w:r>
    </w:p>
    <w:p>
      <w:r>
        <w:br/>
      </w:r>
    </w:p>
    <w:p>
      <w:pPr>
        <w:spacing w:line="360" w:lineRule="auto"/>
        <w:jc w:val="both"/>
      </w:pPr>
      <w:r>
        <w:t>Additionally, computational overhead profiling was conducted. While statevector simulation on a CPU poses an exponential bottleneck ($O(2^n)$), the implementation guarantees $O(1)$ scaling concerning edge connectivity. By confining the quantum state exclusively to local node embeddings rather than attempting a massive $N$-qubit global entanglement, the architecture remains scalable.</w:t>
      </w:r>
    </w:p>
    <w:p>
      <w:pPr>
        <w:spacing w:line="360" w:lineRule="auto"/>
        <w:jc w:val="both"/>
      </w:pPr>
      <w:r>
        <w:t>The deployment readiness of this architecture is highlighted by its modularity. The `demo.py` execution proves that the inference stack can be fully decoupled from the training hardware. Grid operators could utilize pre-trained classical weights applied against live SCADA telemetry, processed in real-time by a cloud-hosted Quantum Processing Unit API (like IBM Quantum or AWS Braket).</w:t>
      </w:r>
    </w:p>
    <w:p>
      <w:pPr>
        <w:spacing w:line="360" w:lineRule="auto"/>
        <w:jc w:val="both"/>
      </w:pPr>
      <w:r>
        <w:t>In conclusion, the codebase represents a structurally complete, rigorously tested pipeline. By embedding quantum mechanics deeply into the data-processing methodology, this architecture moves beyond theoretical propositions into a tangible software deliverable capable of fortifying national power grid resilience against unpredictable cascading failures.</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pPr>
        <w:spacing w:line="360" w:lineRule="auto"/>
        <w:jc w:val="both"/>
      </w:pPr>
      <w:r>
        <w:t>[6] A. Abbas et al., "The power of quantum neural networks," Nature Computational Science, vol. 1, pp. 403-409, 2021.</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