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7F7F2" w14:textId="77777777" w:rsidR="00AF3A8B" w:rsidRPr="00AF3A8B" w:rsidRDefault="00AF3A8B" w:rsidP="00AF3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Brief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ntroduction about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m</w:t>
      </w: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emory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q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ueue --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CScopeUQueue</w:t>
      </w:r>
      <w:proofErr w:type="spellEnd"/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o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bjects</w:t>
      </w:r>
    </w:p>
    <w:p w14:paraId="3EDFED35" w14:textId="6DB78851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UDAParts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hyperlink r:id="rId5" w:history="1">
        <w:r w:rsidRPr="00AF3A8B">
          <w:rPr>
            <w:rFonts w:ascii="Times New Roman" w:eastAsia="Times New Roman" w:hAnsi="Times New Roman" w:cs="Times New Roman"/>
            <w:i/>
            <w:iCs/>
            <w:color w:val="999900"/>
            <w:sz w:val="24"/>
            <w:szCs w:val="24"/>
            <w:u w:val="single"/>
          </w:rPr>
          <w:t>support@udaparts.com</w:t>
        </w:r>
      </w:hyperlink>
      <w:r w:rsidR="00747279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Updated on </w:t>
      </w:r>
      <w:r w:rsidR="006B5256">
        <w:rPr>
          <w:rFonts w:ascii="Times New Roman" w:eastAsia="Times New Roman" w:hAnsi="Times New Roman" w:cs="Times New Roman"/>
          <w:i/>
          <w:iCs/>
          <w:sz w:val="24"/>
          <w:szCs w:val="24"/>
        </w:rPr>
        <w:t>Oct</w:t>
      </w:r>
      <w:r w:rsidR="0047565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6B5256">
        <w:rPr>
          <w:rFonts w:ascii="Times New Roman" w:eastAsia="Times New Roman" w:hAnsi="Times New Roman" w:cs="Times New Roman"/>
          <w:i/>
          <w:iCs/>
          <w:sz w:val="24"/>
          <w:szCs w:val="24"/>
        </w:rPr>
        <w:t>03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, 201</w:t>
      </w:r>
      <w:r w:rsidR="006B5256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</w:p>
    <w:p w14:paraId="2F9BF27B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Contents</w:t>
      </w:r>
    </w:p>
    <w:p w14:paraId="0CB22590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</w:t>
      </w:r>
    </w:p>
    <w:p w14:paraId="2957C6BA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C++, C#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Java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samples</w:t>
      </w:r>
    </w:p>
    <w:p w14:paraId="276F9700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Key design considerations on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7F00B523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Compatibility among different development languages</w:t>
      </w:r>
    </w:p>
    <w:p w14:paraId="5931ED42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Object within different development languages</w:t>
      </w:r>
    </w:p>
    <w:p w14:paraId="6B67EC65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of .NET serialization with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</w:p>
    <w:p w14:paraId="0CE4BC5B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String serialization</w:t>
      </w:r>
    </w:p>
    <w:p w14:paraId="3E1AA4A2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Generics Save/Load for .NET and Java as well as operators &lt;&lt;/&gt;&gt; in C++</w:t>
      </w:r>
    </w:p>
    <w:p w14:paraId="1F2AAFD3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>USerializer</w:t>
      </w:r>
      <w:proofErr w:type="spellEnd"/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 .NET,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complex user-defined classes and structures</w:t>
      </w:r>
    </w:p>
    <w:p w14:paraId="43A7E461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null/nothing objects serialization supported</w:t>
      </w:r>
    </w:p>
    <w:p w14:paraId="1AF135F5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within function stack whenever possible</w:t>
      </w:r>
    </w:p>
    <w:p w14:paraId="32AFADE1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1.    </w:t>
      </w:r>
      <w:bookmarkStart w:id="0" w:name="Introduc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bookmarkEnd w:id="0"/>
    </w:p>
    <w:p w14:paraId="18AE5B38" w14:textId="77777777" w:rsidR="00AF3A8B" w:rsidRPr="00AF3A8B" w:rsidRDefault="00AF3A8B" w:rsidP="00870F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requires converting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into byt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at adapter level for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all supported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languages. The conversion is not difficult at all, but i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 is considerably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tedious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In order to ease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development,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provides a helper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47565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within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adapter of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languages to efficiently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various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compatibly into bytes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Later, you can effortlessly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unpack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requests and returned results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binary format into original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types of data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compat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ibly at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both server and client sides.</w:t>
      </w:r>
    </w:p>
    <w:p w14:paraId="73EE3BF2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2.    C++, C#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b/>
          <w:bCs/>
          <w:sz w:val="24"/>
          <w:szCs w:val="24"/>
        </w:rPr>
        <w:t>, Java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samples</w:t>
      </w:r>
      <w:bookmarkStart w:id="1" w:name="C_and_VB.NET_samples"/>
      <w:bookmarkEnd w:id="1"/>
    </w:p>
    <w:p w14:paraId="157EB37E" w14:textId="77777777" w:rsidR="00AF3A8B" w:rsidRPr="00AF3A8B" w:rsidRDefault="00AF3A8B" w:rsidP="00ED2F36">
      <w:pPr>
        <w:tabs>
          <w:tab w:val="left" w:pos="720"/>
          <w:tab w:val="left" w:pos="810"/>
        </w:tabs>
        <w:spacing w:before="100" w:beforeAutospacing="1" w:after="100" w:afterAutospacing="1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See the following demonstration applications:</w:t>
      </w:r>
      <w:bookmarkStart w:id="2" w:name="_GoBack"/>
      <w:bookmarkEnd w:id="2"/>
    </w:p>
    <w:p w14:paraId="38B8B6ED" w14:textId="77777777" w:rsid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lastRenderedPageBreak/>
        <w:t>Simple serializatio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n and de-serialization: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="00BC3B73">
        <w:rPr>
          <w:rFonts w:ascii="Times New Roman" w:eastAsia="Times New Roman" w:hAnsi="Times New Roman" w:cs="Times New Roman"/>
          <w:sz w:val="24"/>
          <w:szCs w:val="24"/>
        </w:rPr>
        <w:t>/socketpro/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tutorials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uqueue_demo.</w:t>
      </w:r>
    </w:p>
    <w:p w14:paraId="214E66E2" w14:textId="77777777" w:rsidR="00AF3A8B" w:rsidRP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t>Exchange of complex structure bet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ween client and server: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="00BC3B73">
        <w:rPr>
          <w:rFonts w:ascii="Times New Roman" w:eastAsia="Times New Roman" w:hAnsi="Times New Roman" w:cs="Times New Roman"/>
          <w:sz w:val="24"/>
          <w:szCs w:val="24"/>
        </w:rPr>
        <w:t>/socketpro/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tutorials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hello_world.</w:t>
      </w:r>
    </w:p>
    <w:p w14:paraId="57CDBC33" w14:textId="77777777" w:rsidR="002C58A3" w:rsidRPr="00AF3A8B" w:rsidRDefault="002C58A3" w:rsidP="00AF3A8B">
      <w:pPr>
        <w:spacing w:before="100" w:beforeAutospacing="1" w:after="100" w:afterAutospacing="1" w:line="240" w:lineRule="auto"/>
        <w:ind w:left="108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AB9D10A" w14:textId="77777777" w:rsid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3.    </w:t>
      </w:r>
      <w:bookmarkStart w:id="3" w:name="Key_design_considerations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Key design considerations</w:t>
      </w:r>
      <w:bookmarkEnd w:id="3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CScopeUQueue</w:t>
      </w:r>
      <w:proofErr w:type="spellEnd"/>
    </w:p>
    <w:p w14:paraId="15951E50" w14:textId="77777777" w:rsidR="00AF3A8B" w:rsidRPr="00AF3A8B" w:rsidRDefault="00AF3A8B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designed with a set of key considerations:</w:t>
      </w:r>
    </w:p>
    <w:p w14:paraId="14B8A6F3" w14:textId="77777777"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Easy to use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 You are never required to manage internal memory directly.</w:t>
      </w:r>
    </w:p>
    <w:p w14:paraId="0AE9817C" w14:textId="77777777"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Auto-manage memory.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When you save, push or insert a data into an instance of </w:t>
      </w:r>
      <w:proofErr w:type="spellStart"/>
      <w:r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, it will automatically increase memory if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necessary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93748" w14:textId="77777777" w:rsidR="00870F53" w:rsidRDefault="002C58A3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High efficiency</w:t>
      </w:r>
      <w:r w:rsidR="00AF3A8B" w:rsidRPr="00870F5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Use of </w:t>
      </w:r>
      <w:proofErr w:type="spellStart"/>
      <w:r w:rsidR="00AF3A8B"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eliminate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allocating and de-allocating memories repeatedly, which significantly improves application performance and reduces memory resources and page faults.</w:t>
      </w:r>
    </w:p>
    <w:p w14:paraId="516A98B3" w14:textId="77777777" w:rsidR="00193BCC" w:rsidRPr="00193BCC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Great compatibility among diff</w:t>
      </w:r>
      <w:r w:rsidR="002C58A3" w:rsidRPr="00870F53">
        <w:rPr>
          <w:rFonts w:ascii="Times New Roman" w:eastAsia="Times New Roman" w:hAnsi="Times New Roman" w:cs="Times New Roman"/>
          <w:b/>
          <w:sz w:val="24"/>
          <w:szCs w:val="24"/>
        </w:rPr>
        <w:t>erent development languages such as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53B34">
        <w:rPr>
          <w:rFonts w:ascii="Times New Roman" w:eastAsia="Times New Roman" w:hAnsi="Times New Roman" w:cs="Times New Roman"/>
          <w:b/>
          <w:sz w:val="24"/>
          <w:szCs w:val="24"/>
        </w:rPr>
        <w:t xml:space="preserve">Python, </w:t>
      </w:r>
      <w:r w:rsidR="00AB675D">
        <w:rPr>
          <w:rFonts w:ascii="Times New Roman" w:eastAsia="Times New Roman" w:hAnsi="Times New Roman" w:cs="Times New Roman"/>
          <w:b/>
          <w:sz w:val="24"/>
          <w:szCs w:val="24"/>
        </w:rPr>
        <w:t xml:space="preserve">Java, 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VB.NET, C# and C/C++.</w:t>
      </w:r>
      <w:r w:rsidR="00193B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3BCC" w:rsidRPr="00193BCC">
        <w:rPr>
          <w:rFonts w:ascii="Times New Roman" w:eastAsia="Times New Roman" w:hAnsi="Times New Roman" w:cs="Times New Roman"/>
          <w:sz w:val="24"/>
          <w:szCs w:val="24"/>
        </w:rPr>
        <w:t xml:space="preserve">Compatibility is guaranteed </w:t>
      </w:r>
      <w:r w:rsidR="00193BCC">
        <w:rPr>
          <w:rFonts w:ascii="Times New Roman" w:eastAsia="Times New Roman" w:hAnsi="Times New Roman" w:cs="Times New Roman"/>
          <w:sz w:val="24"/>
          <w:szCs w:val="24"/>
        </w:rPr>
        <w:t>across development languages and platforms.</w:t>
      </w:r>
    </w:p>
    <w:p w14:paraId="0170F92D" w14:textId="77777777" w:rsidR="00AF3A8B" w:rsidRPr="00193BCC" w:rsidRDefault="00193BCC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3BCC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.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created for reuse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without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repeatedly allocating memory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disposed or destroyed, its internal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will be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put back into a pool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reuse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creating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, it automatically takes one from the pooled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 if available. If there is no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available, a new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will be created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on-the-fly.</w:t>
      </w:r>
    </w:p>
    <w:p w14:paraId="6613E745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4.    </w:t>
      </w:r>
      <w:bookmarkStart w:id="4" w:name="Compatibility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among different development languages</w:t>
      </w:r>
      <w:bookmarkEnd w:id="4"/>
    </w:p>
    <w:p w14:paraId="249C3D8D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supports development using different languages. For example, you can even develop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C++ client application that directly accesses codes of any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languages without requiring any other middle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components. To achieve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is written in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mind of compatibility among different development languages for a set of bas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ic data t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ypes. Here is the table for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among </w:t>
      </w:r>
      <w:r w:rsidR="00F220E5">
        <w:rPr>
          <w:rFonts w:ascii="Times New Roman" w:eastAsia="Times New Roman" w:hAnsi="Times New Roman" w:cs="Times New Roman"/>
          <w:sz w:val="24"/>
          <w:szCs w:val="24"/>
        </w:rPr>
        <w:t>five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major development languages,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Python, </w:t>
      </w:r>
      <w:r w:rsidR="00F220E5">
        <w:rPr>
          <w:rFonts w:ascii="Times New Roman" w:eastAsia="Times New Roman" w:hAnsi="Times New Roman" w:cs="Times New Roman"/>
          <w:sz w:val="24"/>
          <w:szCs w:val="24"/>
        </w:rPr>
        <w:t>Java, C#, VB.NET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C/C++.</w:t>
      </w:r>
    </w:p>
    <w:tbl>
      <w:tblPr>
        <w:tblW w:w="4020" w:type="pct"/>
        <w:tblCellSpacing w:w="15" w:type="dxa"/>
        <w:tblInd w:w="720" w:type="dxa"/>
        <w:tblBorders>
          <w:top w:val="outset" w:sz="6" w:space="0" w:color="660000"/>
          <w:left w:val="outset" w:sz="6" w:space="0" w:color="660000"/>
          <w:bottom w:val="outset" w:sz="6" w:space="0" w:color="660000"/>
          <w:right w:val="outset" w:sz="6" w:space="0" w:color="660000"/>
        </w:tblBorders>
        <w:tblLayout w:type="fixed"/>
        <w:tblLook w:val="04A0" w:firstRow="1" w:lastRow="0" w:firstColumn="1" w:lastColumn="0" w:noHBand="0" w:noVBand="1"/>
      </w:tblPr>
      <w:tblGrid>
        <w:gridCol w:w="1619"/>
        <w:gridCol w:w="667"/>
        <w:gridCol w:w="2368"/>
        <w:gridCol w:w="1527"/>
        <w:gridCol w:w="2069"/>
        <w:gridCol w:w="2341"/>
      </w:tblGrid>
      <w:tr w:rsidR="006B5256" w:rsidRPr="00AF3A8B" w14:paraId="5940318B" w14:textId="77777777" w:rsidTr="006B5256">
        <w:trPr>
          <w:trHeight w:val="525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2165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Data Type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0432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Size (byte)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CFB7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B71AC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.NET (C#</w:t>
            </w:r>
            <w:r w:rsidR="00F220E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/VB.NET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)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C3B3C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C/C++</w:t>
            </w:r>
          </w:p>
        </w:tc>
        <w:tc>
          <w:tcPr>
            <w:tcW w:w="1084" w:type="pct"/>
            <w:tcBorders>
              <w:top w:val="outset" w:sz="6" w:space="0" w:color="660000"/>
              <w:left w:val="outset" w:sz="6" w:space="0" w:color="999900"/>
              <w:bottom w:val="single" w:sz="4" w:space="0" w:color="auto"/>
              <w:right w:val="outset" w:sz="6" w:space="0" w:color="999900"/>
            </w:tcBorders>
          </w:tcPr>
          <w:p w14:paraId="19C943F1" w14:textId="31F08E3E" w:rsidR="00753B34" w:rsidRPr="00AF3A8B" w:rsidRDefault="00F220E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P</w:t>
            </w:r>
            <w:r w:rsidR="00753B34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ython</w:t>
            </w:r>
            <w:r w:rsidR="006B5256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br/>
            </w:r>
            <w:r w:rsidR="00E82CA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Node.js</w:t>
            </w:r>
          </w:p>
        </w:tc>
      </w:tr>
      <w:tr w:rsidR="006B5256" w:rsidRPr="00AF3A8B" w14:paraId="5B20B86B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975C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byte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E8AD7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54457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FAA55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6387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char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60D15E6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LoadByte</w:t>
            </w:r>
            <w:proofErr w:type="spellEnd"/>
          </w:p>
        </w:tc>
      </w:tr>
      <w:tr w:rsidR="006B5256" w:rsidRPr="00AF3A8B" w14:paraId="47855089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FBBF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lastRenderedPageBreak/>
              <w:t>signed byte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B879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BD8BE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AD649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944A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signed char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5DCAC8C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LoadAChar</w:t>
            </w:r>
            <w:proofErr w:type="spellEnd"/>
          </w:p>
        </w:tc>
      </w:tr>
      <w:tr w:rsidR="006B5256" w:rsidRPr="00AF3A8B" w14:paraId="4CE625E3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F743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ADAD2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9668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F4AB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344F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35F9D82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LoadBool</w:t>
            </w:r>
            <w:proofErr w:type="spellEnd"/>
          </w:p>
        </w:tc>
      </w:tr>
      <w:tr w:rsidR="006B5256" w:rsidRPr="00AF3A8B" w14:paraId="626A16CC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8478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C427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E627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5230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DF10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2A0379F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LoadShort</w:t>
            </w:r>
            <w:proofErr w:type="spellEnd"/>
          </w:p>
        </w:tc>
      </w:tr>
      <w:tr w:rsidR="006B5256" w:rsidRPr="00AF3A8B" w14:paraId="4DD4607E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980C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CF198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24C5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6B35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AEA5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549E093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LoadInt</w:t>
            </w:r>
            <w:proofErr w:type="spellEnd"/>
          </w:p>
        </w:tc>
      </w:tr>
      <w:tr w:rsidR="006B5256" w:rsidRPr="00AF3A8B" w14:paraId="2E00B1DE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68F9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0BC6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875A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5CD3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EE9D6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710D8052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LoadFloat</w:t>
            </w:r>
            <w:proofErr w:type="spellEnd"/>
          </w:p>
        </w:tc>
      </w:tr>
      <w:tr w:rsidR="006B5256" w:rsidRPr="00AF3A8B" w14:paraId="1FFFB05D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450A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75A6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3262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BD48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150C8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0D8E1D1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LoadDouble</w:t>
            </w:r>
            <w:proofErr w:type="spellEnd"/>
          </w:p>
        </w:tc>
      </w:tr>
      <w:tr w:rsidR="006B5256" w:rsidRPr="00AF3A8B" w14:paraId="5ABFC087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D968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5BD5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CD6A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43CD4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ushort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E81A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3FFFFDF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LoadUShort</w:t>
            </w:r>
            <w:proofErr w:type="spellEnd"/>
          </w:p>
        </w:tc>
      </w:tr>
      <w:tr w:rsidR="006B5256" w:rsidRPr="00AF3A8B" w14:paraId="7A22ECED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9F14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int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22C2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450E2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FB0D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A0E20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int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720D0FC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LoadUInt</w:t>
            </w:r>
            <w:proofErr w:type="spellEnd"/>
          </w:p>
        </w:tc>
      </w:tr>
      <w:tr w:rsidR="006B5256" w:rsidRPr="00AF3A8B" w14:paraId="08E1A9C8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843C0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BD5C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4C92C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math.BigDecimal</w:t>
            </w:r>
            <w:proofErr w:type="spellEnd"/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6785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2CBB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15EEE55C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LoadDecimal</w:t>
            </w:r>
            <w:proofErr w:type="spellEnd"/>
          </w:p>
        </w:tc>
      </w:tr>
      <w:tr w:rsidR="006B5256" w:rsidRPr="00AF3A8B" w14:paraId="650BA02B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B095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2247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E15F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BC8C4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D5AF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0477051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N/A</w:t>
            </w:r>
          </w:p>
        </w:tc>
      </w:tr>
      <w:tr w:rsidR="006B5256" w:rsidRPr="00AF3A8B" w14:paraId="222B2822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C76C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56C0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D800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4D386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38CD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7E4E6FF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LoadLong</w:t>
            </w:r>
            <w:proofErr w:type="spellEnd"/>
          </w:p>
        </w:tc>
      </w:tr>
      <w:tr w:rsidR="006B5256" w:rsidRPr="00AF3A8B" w14:paraId="22097036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AF777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8002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9C66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E5F00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F523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3011482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LoadULong</w:t>
            </w:r>
            <w:proofErr w:type="spellEnd"/>
          </w:p>
        </w:tc>
      </w:tr>
      <w:tr w:rsidR="006B5256" w:rsidRPr="00AF3A8B" w14:paraId="7F8FE638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2870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char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224D4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BAF5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2334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738F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UTF16 low-endian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7C81185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LoadChar</w:t>
            </w:r>
            <w:proofErr w:type="spellEnd"/>
          </w:p>
        </w:tc>
      </w:tr>
      <w:tr w:rsidR="006B5256" w:rsidRPr="00AF3A8B" w14:paraId="7F474012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FF51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EA7236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C48F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Java.util.UUID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7691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891B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0B4C0ACE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LoadUUID</w:t>
            </w:r>
            <w:proofErr w:type="spellEnd"/>
          </w:p>
        </w:tc>
      </w:tr>
      <w:tr w:rsidR="006B5256" w:rsidRPr="00AF3A8B" w14:paraId="13904F2D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1FE6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 time*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AA09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FD0F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util.Date</w:t>
            </w:r>
            <w:proofErr w:type="spellEnd"/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F92B4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BE57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UDateTime</w:t>
            </w:r>
            <w:proofErr w:type="spellEnd"/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677F23E1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LoadDate</w:t>
            </w:r>
            <w:proofErr w:type="spellEnd"/>
          </w:p>
        </w:tc>
      </w:tr>
      <w:tr w:rsidR="006B5256" w:rsidRPr="00AF3A8B" w14:paraId="468F3EC8" w14:textId="77777777" w:rsidTr="006B5256">
        <w:trPr>
          <w:trHeight w:val="405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A1C0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ASCII string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33375" w14:textId="77777777"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9D85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byte[]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D2400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byte[]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[]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AD5C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std::string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43E86C4A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LoadAString</w:t>
            </w:r>
            <w:proofErr w:type="spellEnd"/>
          </w:p>
        </w:tc>
      </w:tr>
      <w:tr w:rsidR="006B5256" w:rsidRPr="00AF3A8B" w14:paraId="72F9E0FA" w14:textId="77777777" w:rsidTr="006B5256">
        <w:trPr>
          <w:trHeight w:val="360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847B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string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3EEC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 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C241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10F0C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B1BE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std::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wstring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CComBSTR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on win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1F9A068C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LoadString</w:t>
            </w:r>
            <w:proofErr w:type="spellEnd"/>
          </w:p>
        </w:tc>
      </w:tr>
      <w:tr w:rsidR="006B5256" w:rsidRPr="00AF3A8B" w14:paraId="41E2D0E2" w14:textId="77777777" w:rsidTr="006B5256">
        <w:trPr>
          <w:trHeight w:val="477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8D8E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E5AF9E" w14:textId="77777777"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F25E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ED3A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0466C" w14:textId="69C35FBA" w:rsidR="00753B34" w:rsidRPr="00AF3A8B" w:rsidRDefault="00753B34" w:rsidP="00F220E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</w:t>
            </w:r>
            <w:r w:rsidR="006B5256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Com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Varaint</w:t>
            </w:r>
            <w:proofErr w:type="spellEnd"/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08DA8311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LoadObject</w:t>
            </w:r>
            <w:proofErr w:type="spellEnd"/>
          </w:p>
        </w:tc>
      </w:tr>
      <w:tr w:rsidR="006B5256" w:rsidRPr="00AF3A8B" w14:paraId="3CC57029" w14:textId="77777777" w:rsidTr="006B5256">
        <w:trPr>
          <w:trHeight w:val="477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D17D9" w14:textId="5BB30135" w:rsidR="006B5256" w:rsidRPr="00AF3A8B" w:rsidRDefault="006B5256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Complex struct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89A81" w14:textId="77777777" w:rsidR="006B5256" w:rsidRPr="00AF3A8B" w:rsidRDefault="006B5256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C02F6" w14:textId="29C23B38" w:rsidR="006B5256" w:rsidRPr="00AF3A8B" w:rsidRDefault="006B5256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IUserializer</w:t>
            </w:r>
            <w:proofErr w:type="spellEnd"/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A3E67" w14:textId="64E78C85" w:rsidR="006B5256" w:rsidRPr="00AF3A8B" w:rsidRDefault="006B5256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IUserializer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8E79D" w14:textId="7418D5FE" w:rsidR="006B5256" w:rsidRPr="00AF3A8B" w:rsidRDefault="006B5256" w:rsidP="00F220E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&lt;&lt; and &gt;&gt; operators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3B8A1E9E" w14:textId="30D81039" w:rsidR="006B5256" w:rsidRDefault="006B5256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Save/Load</w:t>
            </w:r>
          </w:p>
        </w:tc>
      </w:tr>
    </w:tbl>
    <w:p w14:paraId="3574404D" w14:textId="77777777" w:rsidR="00AF3A8B" w:rsidRDefault="00AF3A8B" w:rsidP="00ED2F36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*</w:t>
      </w:r>
      <w:r w:rsidR="00870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8D2282">
        <w:rPr>
          <w:rFonts w:ascii="Times New Roman" w:eastAsia="Times New Roman" w:hAnsi="Times New Roman" w:cs="Times New Roman"/>
          <w:sz w:val="24"/>
          <w:szCs w:val="24"/>
        </w:rPr>
        <w:t xml:space="preserve"> uses a long integer (8 bytes)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represent date time across different platforms and languag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es. Date time can be accurate 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to one micro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second.</w:t>
      </w:r>
    </w:p>
    <w:p w14:paraId="47D3876A" w14:textId="77777777" w:rsidR="00870F53" w:rsidRPr="00AF3A8B" w:rsidRDefault="00870F53" w:rsidP="00AF3A8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8FEC540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5.    Object within different development languages</w:t>
      </w:r>
    </w:p>
    <w:p w14:paraId="00E1F6A1" w14:textId="3A61664C" w:rsidR="00AF3A8B" w:rsidRPr="00AF3A8B" w:rsidRDefault="002C58A3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All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data types or their array can be boxed and unboxed into and from an Object data within Java and .NET platforms, which ar</w:t>
      </w:r>
      <w:r>
        <w:rPr>
          <w:rFonts w:ascii="Times New Roman" w:eastAsia="Times New Roman" w:hAnsi="Times New Roman" w:cs="Times New Roman"/>
          <w:sz w:val="24"/>
          <w:szCs w:val="24"/>
        </w:rPr>
        <w:t>e similar to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window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tagVARIANT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structure. The class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also supports </w:t>
      </w:r>
      <w:proofErr w:type="gramStart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array of data types listed in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the above table through Object data type, including Object data type itself.</w:t>
      </w:r>
    </w:p>
    <w:p w14:paraId="77BF31D0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6.    </w:t>
      </w:r>
      <w:bookmarkStart w:id="5" w:name="Use_of_dotNet_serialization_within_CUQu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of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serialization within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CUQueue</w:t>
      </w:r>
      <w:bookmarkEnd w:id="5"/>
      <w:proofErr w:type="spellEnd"/>
    </w:p>
    <w:p w14:paraId="7CE6E2A9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Dotnet version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can take advantage of native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if your development is only involved with managed code. You can call methods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::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save and load a managed object into and from a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instance, respectively. Dotnet serialization makes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the code simpler, but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slower and is restricted for desktop applications and middle tiers running on .NET environment only.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is not interoperable with non-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codes. Furthermore,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note that .NET codes for devices do not support native .NET serialization either.</w:t>
      </w:r>
    </w:p>
    <w:p w14:paraId="40925A91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7.    </w:t>
      </w:r>
      <w:bookmarkStart w:id="6" w:name="String_serializa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String serialization</w:t>
      </w:r>
      <w:bookmarkEnd w:id="6"/>
    </w:p>
    <w:p w14:paraId="49A9392D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serialize a string, we first save a length in unsigned int (4 bytes) in bytes, and actual string context afterward in UTF16 low-endian format by calling the method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operator &lt;&lt; in C++. If the length is -1 or 0xFFFFFFFF, the string is a null for Java, C++ and C#. As you can see,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 pops out a length in unsigned int first, and string context afterwards when loading a string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035EA4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8.    </w:t>
      </w:r>
      <w:bookmarkStart w:id="7" w:name="Generics_Sav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Generics Save/Load for .NET a</w:t>
      </w:r>
      <w:r w:rsidR="00870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Java as well as operators &lt;&lt; and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&gt;&gt; in C++</w:t>
      </w:r>
      <w:bookmarkEnd w:id="7"/>
    </w:p>
    <w:p w14:paraId="2852BDFA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make code simpler,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>ketPro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adapter for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now uses the generics methods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saving and reading data to or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>. Internally, the adapter will use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 proper method (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primitive data types,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 xml:space="preserve">Save/Load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for string,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Serialize/Deserialize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.NET objects) to save or load data from generics data type. In regards to C++, you may need to override operators &lt;&lt; and &gt;&gt; to save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 xml:space="preserve"> or load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instances of complex user-defined structures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simple data types or structures, adapter for C++ will automatically handle them for you correctly through templates.</w:t>
      </w:r>
    </w:p>
    <w:p w14:paraId="094EF82A" w14:textId="3304F30B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9.   </w:t>
      </w:r>
      <w:bookmarkStart w:id="8" w:name="IUSerializer_complex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IUSerializer</w:t>
      </w:r>
      <w:proofErr w:type="spellEnd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.NET,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="00E82C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="00E82C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for complex user-defined classes or structures</w:t>
      </w:r>
      <w:bookmarkEnd w:id="8"/>
    </w:p>
    <w:p w14:paraId="35931CA7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To serialize or de-serialized a complex user-defined class or structure, it is highly recommend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at the class or structure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be implemented with the interface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7222FF">
        <w:rPr>
          <w:rFonts w:ascii="Times New Roman" w:eastAsia="Times New Roman" w:hAnsi="Times New Roman" w:cs="Times New Roman"/>
          <w:sz w:val="24"/>
          <w:szCs w:val="24"/>
        </w:rPr>
        <w:t>. The implementation is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very simple since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you can easily make .NET code and nativ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 compatible to each other. Hence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, it makes code run faster than .NET serialization without involv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ement of reflection. In 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addition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,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serialization is not available to .NET compact environment, but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fully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supported on devices. To see such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details, please refer to </w:t>
      </w:r>
      <w:bookmarkStart w:id="9" w:name="NET_NULL"/>
      <w:r w:rsidRPr="00AF3A8B">
        <w:rPr>
          <w:rFonts w:ascii="Times New Roman" w:eastAsia="Times New Roman" w:hAnsi="Times New Roman" w:cs="Times New Roman"/>
          <w:sz w:val="24"/>
          <w:szCs w:val="24"/>
        </w:rPr>
        <w:t>the above samples.</w:t>
      </w:r>
    </w:p>
    <w:p w14:paraId="67BF11C0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10.    null/nothing object serialization supported</w:t>
      </w:r>
      <w:bookmarkEnd w:id="9"/>
    </w:p>
    <w:p w14:paraId="2818DFD9" w14:textId="77777777" w:rsidR="00AF3A8B" w:rsidRPr="00AF3A8B" w:rsidRDefault="007222FF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time, Java and .NET null/nothing objects serialization and de-serialization are well supported for three types of objects. </w:t>
      </w:r>
    </w:p>
    <w:p w14:paraId="5D504D4A" w14:textId="77777777" w:rsidR="00AF3A8B" w:rsidRPr="007222FF" w:rsidRDefault="007222FF" w:rsidP="00870F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simple object containing primitive data types, string and arrays of primitive data types and string.</w:t>
      </w:r>
    </w:p>
    <w:p w14:paraId="6CB1F855" w14:textId="77777777"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n instance of a user-defined class or structure implemented with the interface </w:t>
      </w:r>
      <w:proofErr w:type="spellStart"/>
      <w:r w:rsidR="00AF3A8B" w:rsidRPr="007222FF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90B6AA" w14:textId="77777777"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native .NET serializable object.</w:t>
      </w:r>
    </w:p>
    <w:p w14:paraId="04BC4CE3" w14:textId="77777777" w:rsidR="00AF3A8B" w:rsidRPr="00AF3A8B" w:rsidRDefault="00AF3A8B" w:rsidP="00ED2F36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Also, you can easily make the first two types of objects compatible with not only native code development like C/C++ but also .NET compact framework.</w:t>
      </w:r>
    </w:p>
    <w:p w14:paraId="46DE4BA0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11.    </w:t>
      </w:r>
      <w:bookmarkStart w:id="10" w:name="Use_CScopeUQueue_within_stack_whenever_p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function stack whenever </w:t>
      </w:r>
      <w:bookmarkEnd w:id="10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</w:p>
    <w:p w14:paraId="59081B92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Whenever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disposed, its internal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will be recycled into a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n int</w:t>
      </w:r>
      <w:r w:rsidR="00ED2F36">
        <w:rPr>
          <w:rFonts w:ascii="Times New Roman" w:eastAsia="Times New Roman" w:hAnsi="Times New Roman" w:cs="Times New Roman"/>
          <w:sz w:val="24"/>
          <w:szCs w:val="24"/>
        </w:rPr>
        <w:t xml:space="preserve">ernal memory pool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for use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in the f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uture as described in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section 3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ex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ample, you should use the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code style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whenever possible.</w:t>
      </w:r>
    </w:p>
    <w:p w14:paraId="27169485" w14:textId="77777777"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new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))</w:t>
      </w:r>
    </w:p>
    <w:p w14:paraId="284C7C0C" w14:textId="77777777"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14:paraId="193FA803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n = 12345;</w:t>
      </w:r>
    </w:p>
    <w:p w14:paraId="3A1D31CA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string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str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A31515"/>
          <w:sz w:val="20"/>
          <w:szCs w:val="20"/>
        </w:rPr>
        <w:t>"test"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14:paraId="0D0BDCCA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21F306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su.Save</w:t>
      </w:r>
      <w:proofErr w:type="spellEnd"/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(n).Save(str);</w:t>
      </w:r>
    </w:p>
    <w:p w14:paraId="0074E528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87D6F2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//The abov</w:t>
      </w:r>
      <w:r w:rsidR="00ED2F36"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e call is equal to the below three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calls</w:t>
      </w:r>
    </w:p>
    <w:p w14:paraId="394DCA39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53B68C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=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su.UQueue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;</w:t>
      </w:r>
    </w:p>
    <w:p w14:paraId="3E8F061B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(n);</w:t>
      </w:r>
    </w:p>
    <w:p w14:paraId="0FEA0D5B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(str);</w:t>
      </w:r>
    </w:p>
    <w:p w14:paraId="210F23D8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Arial" w:eastAsia="Times New Roman" w:hAnsi="Arial" w:cs="Arial"/>
          <w:sz w:val="24"/>
          <w:szCs w:val="24"/>
        </w:rPr>
        <w:t> </w:t>
      </w:r>
    </w:p>
    <w:p w14:paraId="5CDEC965" w14:textId="77777777" w:rsidR="00AF3A8B" w:rsidRPr="00FF273D" w:rsidRDefault="00AF3A8B" w:rsidP="00AF3A8B">
      <w:pPr>
        <w:shd w:val="clear" w:color="auto" w:fill="FFFFCC"/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//do whatever you like here ......</w:t>
      </w:r>
    </w:p>
    <w:p w14:paraId="69E0FCCF" w14:textId="77777777" w:rsidR="004C10F3" w:rsidRPr="00747279" w:rsidRDefault="00AF3A8B" w:rsidP="00747279">
      <w:pPr>
        <w:shd w:val="clear" w:color="auto" w:fill="FFFFCC"/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//Internal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will be recycled into internal pool for reuse in the future here</w:t>
      </w:r>
    </w:p>
    <w:sectPr w:rsidR="004C10F3" w:rsidRPr="00747279" w:rsidSect="00870F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6906"/>
    <w:multiLevelType w:val="hybridMultilevel"/>
    <w:tmpl w:val="98EE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3B5"/>
    <w:multiLevelType w:val="hybridMultilevel"/>
    <w:tmpl w:val="BFAA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115A"/>
    <w:multiLevelType w:val="hybridMultilevel"/>
    <w:tmpl w:val="5B4CFC84"/>
    <w:lvl w:ilvl="0" w:tplc="9B523D26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59C64C6"/>
    <w:multiLevelType w:val="hybridMultilevel"/>
    <w:tmpl w:val="A05E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D29F6"/>
    <w:multiLevelType w:val="hybridMultilevel"/>
    <w:tmpl w:val="FBD0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C1944"/>
    <w:multiLevelType w:val="multilevel"/>
    <w:tmpl w:val="F92E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A8B"/>
    <w:rsid w:val="00193BCC"/>
    <w:rsid w:val="002C58A3"/>
    <w:rsid w:val="00400FFF"/>
    <w:rsid w:val="0047565F"/>
    <w:rsid w:val="005059AC"/>
    <w:rsid w:val="005F1CE3"/>
    <w:rsid w:val="00634B50"/>
    <w:rsid w:val="00635978"/>
    <w:rsid w:val="006B5256"/>
    <w:rsid w:val="007222FF"/>
    <w:rsid w:val="007414B0"/>
    <w:rsid w:val="00747279"/>
    <w:rsid w:val="00753B34"/>
    <w:rsid w:val="00870F53"/>
    <w:rsid w:val="008D2282"/>
    <w:rsid w:val="009E1802"/>
    <w:rsid w:val="00AB675D"/>
    <w:rsid w:val="00AC3964"/>
    <w:rsid w:val="00AF3A8B"/>
    <w:rsid w:val="00B07505"/>
    <w:rsid w:val="00BA4A94"/>
    <w:rsid w:val="00BC3B73"/>
    <w:rsid w:val="00D521D5"/>
    <w:rsid w:val="00D77DB7"/>
    <w:rsid w:val="00D81722"/>
    <w:rsid w:val="00D86402"/>
    <w:rsid w:val="00E82CA5"/>
    <w:rsid w:val="00ED2F36"/>
    <w:rsid w:val="00F220E5"/>
    <w:rsid w:val="00F40248"/>
    <w:rsid w:val="00FB4660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198B"/>
  <w15:docId w15:val="{DD749A9F-7A2A-4632-B1EC-D2B9A1CE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udapar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Windows User</cp:lastModifiedBy>
  <cp:revision>24</cp:revision>
  <dcterms:created xsi:type="dcterms:W3CDTF">2014-06-18T03:19:00Z</dcterms:created>
  <dcterms:modified xsi:type="dcterms:W3CDTF">2018-10-03T15:10:00Z</dcterms:modified>
</cp:coreProperties>
</file>