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D31900">
        <w:rPr>
          <w:rFonts w:ascii="Times New Roman" w:hAnsi="Times New Roman" w:cs="Times New Roman"/>
          <w:b/>
          <w:sz w:val="28"/>
          <w:szCs w:val="28"/>
        </w:rPr>
        <w:t>4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 – Treat SocketPro </w:t>
      </w:r>
      <w:r w:rsidR="009F78F2">
        <w:rPr>
          <w:rFonts w:ascii="Times New Roman" w:hAnsi="Times New Roman" w:cs="Times New Roman"/>
          <w:b/>
          <w:sz w:val="28"/>
          <w:szCs w:val="28"/>
        </w:rPr>
        <w:t>s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erver as a </w:t>
      </w:r>
      <w:r w:rsidR="009F78F2">
        <w:rPr>
          <w:rFonts w:ascii="Times New Roman" w:hAnsi="Times New Roman" w:cs="Times New Roman"/>
          <w:b/>
          <w:sz w:val="28"/>
          <w:szCs w:val="28"/>
        </w:rPr>
        <w:t>r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outer for </w:t>
      </w:r>
      <w:r w:rsidR="009F78F2">
        <w:rPr>
          <w:rFonts w:ascii="Times New Roman" w:hAnsi="Times New Roman" w:cs="Times New Roman"/>
          <w:b/>
          <w:sz w:val="28"/>
          <w:szCs w:val="28"/>
        </w:rPr>
        <w:t>l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oad </w:t>
      </w:r>
      <w:r w:rsidR="009F78F2">
        <w:rPr>
          <w:rFonts w:ascii="Times New Roman" w:hAnsi="Times New Roman" w:cs="Times New Roman"/>
          <w:b/>
          <w:sz w:val="28"/>
          <w:szCs w:val="28"/>
        </w:rPr>
        <w:t>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  <w:bookmarkStart w:id="0" w:name="_GoBack"/>
      <w:bookmarkEnd w:id="0"/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1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tutorial 4 -- </w:t>
      </w:r>
      <w:r w:rsidR="000C68F4" w:rsidRPr="000C68F4">
        <w:rPr>
          <w:rFonts w:ascii="Times New Roman" w:hAnsi="Times New Roman" w:cs="Times New Roman"/>
          <w:i/>
          <w:sz w:val="24"/>
          <w:szCs w:val="24"/>
        </w:rPr>
        <w:t>Build responsive and scalable web applications in a few hours</w:t>
      </w:r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Pr="001A2783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2783">
        <w:rPr>
          <w:rFonts w:ascii="Times New Roman" w:hAnsi="Times New Roman" w:cs="Times New Roman"/>
          <w:sz w:val="24"/>
          <w:szCs w:val="24"/>
        </w:rPr>
        <w:t>\loading_balance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BA43F3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58693" cy="4182059"/>
            <wp:effectExtent l="19050" t="0" r="8707" b="0"/>
            <wp:docPr id="8" name="Picture 7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37" w:rsidRPr="00210537" w:rsidRDefault="00BA43F3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SocketPro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 xml:space="preserve">route them onto one worker for processing if persistent message queue is employed at client side. If you do not use persistent message queue, the </w:t>
      </w:r>
      <w:r w:rsidR="00D31900">
        <w:rPr>
          <w:rFonts w:ascii="Times New Roman" w:hAnsi="Times New Roman" w:cs="Times New Roman"/>
          <w:sz w:val="24"/>
          <w:szCs w:val="24"/>
        </w:rPr>
        <w:t>total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00">
        <w:rPr>
          <w:rFonts w:ascii="Times New Roman" w:hAnsi="Times New Roman" w:cs="Times New Roman"/>
          <w:sz w:val="24"/>
          <w:szCs w:val="24"/>
        </w:rPr>
        <w:t xml:space="preserve">of requests </w:t>
      </w:r>
      <w:r>
        <w:rPr>
          <w:rFonts w:ascii="Times New Roman" w:hAnsi="Times New Roman" w:cs="Times New Roman"/>
          <w:sz w:val="24"/>
          <w:szCs w:val="24"/>
        </w:rPr>
        <w:t>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A43F3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82535" cy="3877216"/>
            <wp:effectExtent l="19050" t="0" r="0" b="0"/>
            <wp:docPr id="9" name="Picture 8" descr="routing_many_to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_many_to_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F3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Pr="00210537">
        <w:rPr>
          <w:rFonts w:ascii="Times New Roman" w:hAnsi="Times New Roman" w:cs="Times New Roman"/>
          <w:i/>
          <w:sz w:val="24"/>
          <w:szCs w:val="24"/>
        </w:rPr>
        <w:t>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  <w:lang w:eastAsia="zh-CN"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p w:rsidR="008C231F" w:rsidRDefault="008C231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8C231F" w:rsidRPr="008C231F" w:rsidRDefault="008C231F" w:rsidP="008C23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it is worth pointing out that all results from different workers are returned randomly. Request sending order may be different from final response order. To solve the issue, you could embed a request index onto each of requests as one input. Afterwards, workers always return the index as one portion of large result containing different data. Finally, a client may use the index to reorder results. </w:t>
      </w:r>
      <w:r w:rsidR="00A6603E">
        <w:rPr>
          <w:rFonts w:ascii="Times New Roman" w:hAnsi="Times New Roman" w:cs="Times New Roman"/>
          <w:sz w:val="24"/>
          <w:szCs w:val="24"/>
        </w:rPr>
        <w:t>There is not request index involved here as t</w:t>
      </w:r>
      <w:r>
        <w:rPr>
          <w:rFonts w:ascii="Times New Roman" w:hAnsi="Times New Roman" w:cs="Times New Roman"/>
          <w:sz w:val="24"/>
          <w:szCs w:val="24"/>
        </w:rPr>
        <w:t>his particular sample doesn’t need the index at all.</w:t>
      </w:r>
    </w:p>
    <w:sectPr w:rsidR="008C231F" w:rsidRPr="008C231F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CB1" w:rsidRDefault="00680CB1" w:rsidP="00677B25">
      <w:pPr>
        <w:spacing w:after="0" w:line="240" w:lineRule="auto"/>
      </w:pPr>
      <w:r>
        <w:separator/>
      </w:r>
    </w:p>
  </w:endnote>
  <w:endnote w:type="continuationSeparator" w:id="0">
    <w:p w:rsidR="00680CB1" w:rsidRDefault="00680CB1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680CB1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F2178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0C5644">
            <w:instrText xml:space="preserve"> PAGE   \* MERGEFORMAT </w:instrText>
          </w:r>
          <w:r>
            <w:fldChar w:fldCharType="separate"/>
          </w:r>
          <w:r w:rsidR="009F78F2" w:rsidRPr="009F78F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CB1" w:rsidRDefault="00680CB1" w:rsidP="00677B25">
      <w:pPr>
        <w:spacing w:after="0" w:line="240" w:lineRule="auto"/>
      </w:pPr>
      <w:r>
        <w:separator/>
      </w:r>
    </w:p>
  </w:footnote>
  <w:footnote w:type="continuationSeparator" w:id="0">
    <w:p w:rsidR="00680CB1" w:rsidRDefault="00680CB1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677B25" w:rsidTr="00D31900">
      <w:tc>
        <w:tcPr>
          <w:tcW w:w="4138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17781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22, 2016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43DB9"/>
    <w:rsid w:val="00081994"/>
    <w:rsid w:val="000B5271"/>
    <w:rsid w:val="000C5644"/>
    <w:rsid w:val="000C68F4"/>
    <w:rsid w:val="00102E0B"/>
    <w:rsid w:val="00155D48"/>
    <w:rsid w:val="00177814"/>
    <w:rsid w:val="001876D6"/>
    <w:rsid w:val="001A2783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40FF"/>
    <w:rsid w:val="005255E9"/>
    <w:rsid w:val="00543363"/>
    <w:rsid w:val="00547FDF"/>
    <w:rsid w:val="005548D8"/>
    <w:rsid w:val="005D4DB9"/>
    <w:rsid w:val="005E1168"/>
    <w:rsid w:val="00630524"/>
    <w:rsid w:val="00631AB3"/>
    <w:rsid w:val="00650BC1"/>
    <w:rsid w:val="00677B25"/>
    <w:rsid w:val="00680CB1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C231F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9F78F2"/>
    <w:rsid w:val="00A06C14"/>
    <w:rsid w:val="00A07C3E"/>
    <w:rsid w:val="00A15FC0"/>
    <w:rsid w:val="00A30BBB"/>
    <w:rsid w:val="00A56887"/>
    <w:rsid w:val="00A6603E"/>
    <w:rsid w:val="00A91C78"/>
    <w:rsid w:val="00AF4F71"/>
    <w:rsid w:val="00B412E4"/>
    <w:rsid w:val="00B440B3"/>
    <w:rsid w:val="00B50E83"/>
    <w:rsid w:val="00BA43F3"/>
    <w:rsid w:val="00BB4EB3"/>
    <w:rsid w:val="00BD3DBE"/>
    <w:rsid w:val="00BE722E"/>
    <w:rsid w:val="00C40BD0"/>
    <w:rsid w:val="00C42A8D"/>
    <w:rsid w:val="00C43E2A"/>
    <w:rsid w:val="00C45C26"/>
    <w:rsid w:val="00C51346"/>
    <w:rsid w:val="00C52F9B"/>
    <w:rsid w:val="00C57E0F"/>
    <w:rsid w:val="00C9230C"/>
    <w:rsid w:val="00CD1EE3"/>
    <w:rsid w:val="00D22DEF"/>
    <w:rsid w:val="00D31900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2178E"/>
    <w:rsid w:val="00F97F75"/>
    <w:rsid w:val="00F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DA18"/>
  <w15:docId w15:val="{42D9EF01-0595-4615-BF1D-5E69371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68A2"/>
    <w:rsid w:val="000068A2"/>
    <w:rsid w:val="00110BC4"/>
    <w:rsid w:val="001F4366"/>
    <w:rsid w:val="002363BD"/>
    <w:rsid w:val="00290BF2"/>
    <w:rsid w:val="003B642C"/>
    <w:rsid w:val="00556CF8"/>
    <w:rsid w:val="006275C0"/>
    <w:rsid w:val="00907472"/>
    <w:rsid w:val="00A36330"/>
    <w:rsid w:val="00B00914"/>
    <w:rsid w:val="00C3772A"/>
    <w:rsid w:val="00D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50</cp:revision>
  <cp:lastPrinted>2014-03-31T23:44:00Z</cp:lastPrinted>
  <dcterms:created xsi:type="dcterms:W3CDTF">2014-03-31T23:33:00Z</dcterms:created>
  <dcterms:modified xsi:type="dcterms:W3CDTF">2016-11-28T20:42:00Z</dcterms:modified>
</cp:coreProperties>
</file>