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jc w:val="center"/>
      </w:pPr>
      <w:r>
        <w:drawing>
          <wp:inline xmlns:a="http://schemas.openxmlformats.org/drawingml/2006/main" xmlns:pic="http://schemas.openxmlformats.org/drawingml/2006/picture">
            <wp:extent cx="720000" cy="986226"/>
            <wp:docPr id="1" name="Picture 1" title="Logo PLN" descr="Logo PT PLN (Persero)"/>
            <wp:cNvGraphicFramePr>
              <a:graphicFrameLocks noChangeAspect="1"/>
            </wp:cNvGraphicFramePr>
            <a:graphic>
              <a:graphicData uri="http://schemas.openxmlformats.org/drawingml/2006/picture">
                <pic:pic>
                  <pic:nvPicPr>
                    <pic:cNvPr id="0" name="Logo_PLN.png"/>
                    <pic:cNvPicPr/>
                  </pic:nvPicPr>
                  <pic:blipFill>
                    <a:blip r:embed="rId11"/>
                    <a:stretch>
                      <a:fillRect/>
                    </a:stretch>
                  </pic:blipFill>
                  <pic:spPr>
                    <a:xfrm>
                      <a:off x="0" y="0"/>
                      <a:ext cx="720000" cy="986226"/>
                    </a:xfrm>
                    <a:prstGeom prst="rect"/>
                  </pic:spPr>
                </pic:pic>
              </a:graphicData>
            </a:graphic>
          </wp:inline>
        </w:drawing>
      </w:r>
    </w:p>
    <w:p>
      <w:pPr>
        <w:pStyle w:val="Title"/>
        <w:jc w:val="center"/>
        <w:pBdr>
          <w:top w:val="nil"/>
          <w:left w:val="nil"/>
          <w:bottom w:val="nil"/>
          <w:right w:val="nil"/>
          <w:between w:val="nil"/>
          <w:bar w:val="nil"/>
        </w:pBdr>
      </w:pPr>
      <w:r>
        <w:t>Panduan Pelaksanaan Stock Opname Gudang di WARNOTO</w:t>
      </w:r>
    </w:p>
    <w:p>
      <w:pPr>
        <w:spacing w:after="400"/>
        <w:jc w:val="center"/>
      </w:pPr>
      <w:r>
        <w:rPr>
          <w:rFonts w:ascii="Arial" w:hAnsi="Arial"/>
          <w:b/>
          <w:color w:val="0B2E63"/>
          <w:sz w:val="24"/>
        </w:rPr>
        <w:t>Alur TL Logistik dan Approval Asman</w:t>
      </w:r>
    </w:p>
    <w:p>
      <w:pPr>
        <w:ind w:left="794" w:right="794"/>
        <w:jc w:val="center"/>
      </w:pPr>
      <w:r>
        <w:t>Panduan ini membantu TL Logistik UPT menjalankan penghitungan fisik, rekonsiliasi, dan pengiriman hasil Stock Opname untuk di-approve Asman, hingga pencetakan dokumen hasil tanpa kehilangan perubahan data.</w:t>
      </w:r>
    </w:p>
    <w:p/>
    <w:tbl>
      <w:tblPr>
        <w:tblW w:type="auto" w:w="0"/>
        <w:jc w:val="center"/>
        <w:tblLayout w:type="fixed"/>
        <w:tblLook w:firstColumn="1" w:firstRow="1" w:lastColumn="0" w:lastRow="0" w:noHBand="0" w:noVBand="1" w:val="04A0"/>
      </w:tblPr>
      <w:tblGrid>
        <w:gridCol w:w="4989"/>
        <w:gridCol w:w="4989"/>
      </w:tblGrid>
      <w:tr>
        <w:tc>
          <w:tcPr>
            <w:tcW w:type="dxa" w:w="2381"/>
            <w:shd w:fill="EAF2FF"/>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pPr>
            <w:r>
              <w:rPr>
                <w:rFonts w:ascii="Arial" w:hAnsi="Arial"/>
                <w:b w:val="0"/>
                <w:sz w:val="19"/>
              </w:rPr>
              <w:t>Sasaran pengguna</w:t>
            </w:r>
          </w:p>
        </w:tc>
        <w:tc>
          <w:tcPr>
            <w:tcW w:type="dxa" w:w="5669"/>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pPr>
            <w:r>
              <w:rPr>
                <w:rFonts w:ascii="Arial" w:hAnsi="Arial"/>
                <w:b w:val="0"/>
                <w:sz w:val="19"/>
              </w:rPr>
              <w:t>UPT pelaksana kegiatan gudang</w:t>
            </w:r>
          </w:p>
        </w:tc>
      </w:tr>
      <w:tr>
        <w:tc>
          <w:tcPr>
            <w:tcW w:type="dxa" w:w="2381"/>
            <w:shd w:fill="EAF2FF"/>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pPr>
            <w:r>
              <w:rPr>
                <w:rFonts w:ascii="Arial" w:hAnsi="Arial"/>
                <w:b w:val="0"/>
                <w:sz w:val="19"/>
              </w:rPr>
              <w:t>Aplikasi</w:t>
            </w:r>
          </w:p>
        </w:tc>
        <w:tc>
          <w:tcPr>
            <w:tcW w:type="dxa" w:w="5669"/>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pPr>
            <w:r>
              <w:rPr>
                <w:rFonts w:ascii="Arial" w:hAnsi="Arial"/>
                <w:b w:val="0"/>
                <w:sz w:val="19"/>
              </w:rPr>
              <w:t>WARNOTO</w:t>
            </w:r>
          </w:p>
        </w:tc>
      </w:tr>
      <w:tr>
        <w:tc>
          <w:tcPr>
            <w:tcW w:type="dxa" w:w="2381"/>
            <w:shd w:fill="EAF2FF"/>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pPr>
            <w:r>
              <w:rPr>
                <w:rFonts w:ascii="Arial" w:hAnsi="Arial"/>
                <w:b w:val="0"/>
                <w:sz w:val="19"/>
              </w:rPr>
              <w:t>Versi panduan</w:t>
            </w:r>
          </w:p>
        </w:tc>
        <w:tc>
          <w:tcPr>
            <w:tcW w:type="dxa" w:w="5669"/>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pPr>
            <w:r>
              <w:rPr>
                <w:rFonts w:ascii="Arial" w:hAnsi="Arial"/>
                <w:b w:val="0"/>
                <w:sz w:val="19"/>
              </w:rPr>
              <w:t>September 2026</w:t>
            </w:r>
          </w:p>
        </w:tc>
      </w:tr>
    </w:tbl>
    <w:p>
      <w:r>
        <w:br w:type="page"/>
      </w:r>
    </w:p>
    <w:p>
      <w:pPr>
        <w:pStyle w:val="Heading1"/>
      </w:pPr>
      <w:r>
        <w:t>Tujuan dan hasil akhir</w:t>
      </w:r>
    </w:p>
    <w:p>
      <w:r>
        <w:rPr>
          <w:rFonts w:ascii="Arial" w:hAnsi="Arial"/>
        </w:rPr>
        <w:t>Stock Opname membandingkan jumlah menurut aplikasi, jumlah SAP, dan jumlah fisik di gudang. Proses selesai setelah Asman menyetujui hasil. WARNOTO kemudian menyesuaikan Data Stok, mencatat histori pada Kartu Gantung, melepaskan freeze gudang, dan membuka pencetakan BA serta TUG-15.</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494"/>
            <w:shd w:fill="0B2E63"/>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jc w:val="center"/>
            </w:pPr>
            <w:r>
              <w:rPr>
                <w:rFonts w:ascii="Arial" w:hAnsi="Arial"/>
                <w:b/>
                <w:color w:val="FFFFFF"/>
                <w:sz w:val="18"/>
              </w:rPr>
              <w:t>Peran</w:t>
            </w:r>
          </w:p>
        </w:tc>
        <w:tc>
          <w:tcPr>
            <w:tcW w:type="dxa" w:w="6803"/>
            <w:shd w:fill="0B2E63"/>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jc w:val="center"/>
            </w:pPr>
            <w:r>
              <w:rPr>
                <w:rFonts w:ascii="Arial" w:hAnsi="Arial"/>
                <w:b/>
                <w:color w:val="FFFFFF"/>
                <w:sz w:val="18"/>
              </w:rPr>
              <w:t>Tanggung jawab</w:t>
            </w:r>
          </w:p>
        </w:tc>
      </w:tr>
      <w:tr>
        <w:tc>
          <w:tcPr>
            <w:tcW w:type="dxa" w:w="2494"/>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TL Logistik (pelaksana)</w:t>
            </w:r>
          </w:p>
        </w:tc>
        <w:tc>
          <w:tcPr>
            <w:tcW w:type="dxa" w:w="6803"/>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Upload data SAP, memilih gudang, menghitung fisik, melengkapi selisih, menyimpan draft, dan mengirim hasil ke Asman.</w:t>
            </w:r>
          </w:p>
        </w:tc>
      </w:tr>
      <w:tr>
        <w:tc>
          <w:tcPr>
            <w:tcW w:type="dxa" w:w="2494"/>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Petugas lapangan</w:t>
            </w:r>
          </w:p>
        </w:tc>
        <w:tc>
          <w:tcPr>
            <w:tcW w:type="dxa" w:w="6803"/>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Menghitung barang per blok melalui Mode Lapangan, scanner, atau kamera.</w:t>
            </w:r>
          </w:p>
        </w:tc>
      </w:tr>
      <w:tr>
        <w:tc>
          <w:tcPr>
            <w:tcW w:type="dxa" w:w="2494"/>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Asman</w:t>
            </w:r>
          </w:p>
        </w:tc>
        <w:tc>
          <w:tcPr>
            <w:tcW w:type="dxa" w:w="6803"/>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Memeriksa hasil, menyetujui, atau menolak dengan alasan.</w:t>
            </w:r>
          </w:p>
        </w:tc>
      </w:tr>
    </w:tbl>
    <w:p>
      <w:pPr>
        <w:spacing w:after="0"/>
      </w:pPr>
    </w:p>
    <w:p>
      <w:pPr>
        <w:pStyle w:val="Heading1"/>
      </w:pPr>
      <w:r>
        <w:t>Persiapan sebelum mulai</w:t>
      </w:r>
    </w:p>
    <w:p>
      <w:pPr>
        <w:pStyle w:val="ListBullet"/>
        <w:spacing w:after="60"/>
      </w:pPr>
      <w:r>
        <w:rPr>
          <w:rFonts w:ascii="Arial" w:hAnsi="Arial"/>
        </w:rPr>
        <w:t>Siapkan file CSV/XLSX hasil ekspor SAP MM dengan format PEMAT_DDMMYYYY.</w:t>
      </w:r>
    </w:p>
    <w:p>
      <w:pPr>
        <w:pStyle w:val="ListBullet"/>
        <w:spacing w:after="60"/>
      </w:pPr>
      <w:r>
        <w:rPr>
          <w:rFonts w:ascii="Arial" w:hAnsi="Arial"/>
        </w:rPr>
        <w:t>Pastikan Master Gudang, Blok Lokasi, Master Katalog, dan Data Stok sudah benar.</w:t>
      </w:r>
    </w:p>
    <w:p>
      <w:pPr>
        <w:pStyle w:val="ListBullet"/>
        <w:spacing w:after="60"/>
      </w:pPr>
      <w:r>
        <w:rPr>
          <w:rFonts w:ascii="Arial" w:hAnsi="Arial"/>
        </w:rPr>
        <w:t>Pastikan tidak ada sesi Draft lain untuk gudang dan periode yang sama.</w:t>
      </w:r>
    </w:p>
    <w:p>
      <w:pPr>
        <w:pStyle w:val="ListBullet"/>
        <w:spacing w:after="60"/>
      </w:pPr>
      <w:r>
        <w:rPr>
          <w:rFonts w:ascii="Arial" w:hAnsi="Arial"/>
        </w:rPr>
        <w:t>Koordinasikan penghentian transaksi TUG karena gudang akan di-freeze saat hitung fisik dimulai.</w:t>
      </w:r>
    </w:p>
    <w:p>
      <w:pPr>
        <w:pStyle w:val="ListBullet"/>
        <w:spacing w:after="60"/>
      </w:pPr>
      <w:r>
        <w:rPr>
          <w:rFonts w:ascii="Arial" w:hAnsi="Arial"/>
        </w:rPr>
        <w:t>Gunakan jaringan stabil. Draft lokal tetap membantu pemulihan bila halaman tertutup, tetapi sinkronisasi server tetap harus dipastikan.</w:t>
      </w:r>
    </w:p>
    <w:p>
      <w:pPr>
        <w:pStyle w:val="Heading1"/>
      </w:pPr>
      <w:r>
        <w:t>Ringkasan alur</w:t>
      </w:r>
    </w:p>
    <w:p>
      <w:pPr>
        <w:pStyle w:val="ListNumber"/>
        <w:spacing w:after="80"/>
      </w:pPr>
      <w:r>
        <w:rPr>
          <w:rFonts w:ascii="Arial" w:hAnsi="Arial"/>
        </w:rPr>
        <w:t>Upload file SAP dan pilih gudang.</w:t>
      </w:r>
    </w:p>
    <w:p>
      <w:pPr>
        <w:pStyle w:val="ListNumber"/>
        <w:spacing w:after="80"/>
      </w:pPr>
      <w:r>
        <w:rPr>
          <w:rFonts w:ascii="Arial" w:hAnsi="Arial"/>
        </w:rPr>
        <w:t>Aktifkan atau pastikan freeze gudang berjalan.</w:t>
      </w:r>
    </w:p>
    <w:p>
      <w:pPr>
        <w:pStyle w:val="ListNumber"/>
        <w:spacing w:after="80"/>
      </w:pPr>
      <w:r>
        <w:rPr>
          <w:rFonts w:ascii="Arial" w:hAnsi="Arial"/>
        </w:rPr>
        <w:t>Hitung fisik setiap material per blok.</w:t>
      </w:r>
    </w:p>
    <w:p>
      <w:pPr>
        <w:pStyle w:val="ListNumber"/>
        <w:spacing w:after="80"/>
      </w:pPr>
      <w:r>
        <w:rPr>
          <w:rFonts w:ascii="Arial" w:hAnsi="Arial"/>
        </w:rPr>
        <w:t>Lakukan hitung ulang untuk setiap selisih.</w:t>
      </w:r>
    </w:p>
    <w:p>
      <w:pPr>
        <w:pStyle w:val="ListNumber"/>
        <w:spacing w:after="80"/>
      </w:pPr>
      <w:r>
        <w:rPr>
          <w:rFonts w:ascii="Arial" w:hAnsi="Arial"/>
        </w:rPr>
        <w:t>Lengkapi rekonsiliasi dan keterangan.</w:t>
      </w:r>
    </w:p>
    <w:p>
      <w:pPr>
        <w:pStyle w:val="ListNumber"/>
        <w:spacing w:after="80"/>
      </w:pPr>
      <w:r>
        <w:rPr>
          <w:rFonts w:ascii="Arial" w:hAnsi="Arial"/>
        </w:rPr>
        <w:t>Kirim hasil kepada Asman.</w:t>
      </w:r>
    </w:p>
    <w:p>
      <w:pPr>
        <w:pStyle w:val="ListNumber"/>
        <w:spacing w:after="80"/>
      </w:pPr>
      <w:r>
        <w:rPr>
          <w:rFonts w:ascii="Arial" w:hAnsi="Arial"/>
        </w:rPr>
        <w:t>Setelah disetujui, cetak BA dan TUG-15.</w:t>
      </w:r>
    </w:p>
    <w:p>
      <w:r>
        <w:br w:type="page"/>
      </w:r>
    </w:p>
    <w:p>
      <w:pPr>
        <w:pStyle w:val="Heading1"/>
      </w:pPr>
      <w:r>
        <w:t>Pelaksanaan oleh TL</w:t>
      </w:r>
    </w:p>
    <w:p>
      <w:pPr>
        <w:pStyle w:val="Heading2"/>
      </w:pPr>
      <w:r>
        <w:rPr>
          <w:rFonts w:ascii="Arial" w:hAnsi="Arial"/>
          <w:b/>
          <w:color w:val="000000"/>
          <w:sz w:val="26"/>
        </w:rPr>
        <w:t>Langkah 1  Buka menu dan pilih sesi</w:t>
      </w:r>
    </w:p>
    <w:p>
      <w:r>
        <w:rPr>
          <w:rFonts w:ascii="Arial" w:hAnsi="Arial"/>
        </w:rPr>
        <w:t>Buka Stock Opname &amp; Count, lalu pilih Stock Opname. Jika sesi sudah pernah dibuat, klik Lanjutkan draft atau Edit. Jika belum, gunakan zona upload file PID.</w:t>
      </w:r>
    </w:p>
    <w:p>
      <w:pPr>
        <w:keepNext/>
        <w:spacing w:before="100"/>
        <w:jc w:val="center"/>
      </w:pPr>
      <w:r>
        <w:drawing>
          <wp:inline xmlns:a="http://schemas.openxmlformats.org/drawingml/2006/main" xmlns:pic="http://schemas.openxmlformats.org/drawingml/2006/picture">
            <wp:extent cx="6048000" cy="3793646"/>
            <wp:docPr id="2" name="Picture 2" title="Gambar 1  Daftar Stock Opname dan sesi Draft" descr="Penanda 1 menunjukkan tombol melanjutkan draft. Penanda 2 menunjukkan riwayat sesi dan tombol Edit."/>
            <wp:cNvGraphicFramePr>
              <a:graphicFrameLocks noChangeAspect="1"/>
            </wp:cNvGraphicFramePr>
            <a:graphic>
              <a:graphicData uri="http://schemas.openxmlformats.org/drawingml/2006/picture">
                <pic:pic>
                  <pic:nvPicPr>
                    <pic:cNvPr id="0" name="opname-list.png"/>
                    <pic:cNvPicPr/>
                  </pic:nvPicPr>
                  <pic:blipFill>
                    <a:blip r:embed="rId12"/>
                    <a:stretch>
                      <a:fillRect/>
                    </a:stretch>
                  </pic:blipFill>
                  <pic:spPr>
                    <a:xfrm>
                      <a:off x="0" y="0"/>
                      <a:ext cx="6048000" cy="3793646"/>
                    </a:xfrm>
                    <a:prstGeom prst="rect"/>
                  </pic:spPr>
                </pic:pic>
              </a:graphicData>
            </a:graphic>
          </wp:inline>
        </w:drawing>
      </w:r>
    </w:p>
    <w:p>
      <w:pPr>
        <w:keepNext w:val="0"/>
        <w:spacing w:after="140"/>
        <w:jc w:val="center"/>
      </w:pPr>
      <w:r>
        <w:rPr>
          <w:rFonts w:ascii="Arial" w:hAnsi="Arial"/>
          <w:b/>
          <w:color w:val="64748B"/>
          <w:sz w:val="17"/>
        </w:rPr>
        <w:t>Gambar 1  Daftar Stock Opname dan sesi Draft</w:t>
      </w:r>
    </w:p>
    <w:p>
      <w:pPr>
        <w:pStyle w:val="Heading2"/>
      </w:pPr>
      <w:r>
        <w:rPr>
          <w:rFonts w:ascii="Arial" w:hAnsi="Arial"/>
          <w:b/>
          <w:color w:val="000000"/>
          <w:sz w:val="26"/>
        </w:rPr>
        <w:t>Langkah 2  Upload file SAP</w:t>
      </w:r>
    </w:p>
    <w:p>
      <w:r>
        <w:rPr>
          <w:rFonts w:ascii="Arial" w:hAnsi="Arial"/>
        </w:rPr>
        <w:t>Tarik file ke zona upload atau klik Pilih File. Sistem membaca CSV/XLSX dan membuat Draft setelah file berhasil diproses.</w:t>
      </w:r>
    </w:p>
    <w:p>
      <w:pPr>
        <w:pStyle w:val="ListBullet"/>
        <w:spacing w:after="60"/>
      </w:pPr>
      <w:r>
        <w:rPr>
          <w:rFonts w:ascii="Arial" w:hAnsi="Arial"/>
        </w:rPr>
        <w:t>Periksa nama file dan periode sebelum memilih.</w:t>
      </w:r>
    </w:p>
    <w:p>
      <w:pPr>
        <w:pStyle w:val="ListBullet"/>
        <w:spacing w:after="60"/>
      </w:pPr>
      <w:r>
        <w:rPr>
          <w:rFonts w:ascii="Arial" w:hAnsi="Arial"/>
        </w:rPr>
        <w:t>Jika file berisi beberapa gudang, pilih gudang yang akan dibuatkan sesi.</w:t>
      </w:r>
    </w:p>
    <w:p>
      <w:pPr>
        <w:pStyle w:val="ListBullet"/>
        <w:spacing w:after="60"/>
      </w:pPr>
      <w:r>
        <w:rPr>
          <w:rFonts w:ascii="Arial" w:hAnsi="Arial"/>
        </w:rPr>
        <w:t>Satu sesi Draft dibuat untuk setiap gudang terpilih.</w:t>
      </w:r>
    </w:p>
    <w:p>
      <w:pPr>
        <w:keepNext/>
        <w:spacing w:before="100"/>
        <w:jc w:val="center"/>
      </w:pPr>
      <w:r>
        <w:drawing>
          <wp:inline xmlns:a="http://schemas.openxmlformats.org/drawingml/2006/main" xmlns:pic="http://schemas.openxmlformats.org/drawingml/2006/picture">
            <wp:extent cx="6048000" cy="4208491"/>
            <wp:docPr id="3" name="Picture 3" title="Gambar 2  Zona upload file SAP" descr="Penanda 1 menunjukkan zona tarik dan lepas. Penanda 2 menunjukkan tombol Pilih File."/>
            <wp:cNvGraphicFramePr>
              <a:graphicFrameLocks noChangeAspect="1"/>
            </wp:cNvGraphicFramePr>
            <a:graphic>
              <a:graphicData uri="http://schemas.openxmlformats.org/drawingml/2006/picture">
                <pic:pic>
                  <pic:nvPicPr>
                    <pic:cNvPr id="0" name="opname-upload.png"/>
                    <pic:cNvPicPr/>
                  </pic:nvPicPr>
                  <pic:blipFill>
                    <a:blip r:embed="rId13"/>
                    <a:stretch>
                      <a:fillRect/>
                    </a:stretch>
                  </pic:blipFill>
                  <pic:spPr>
                    <a:xfrm>
                      <a:off x="0" y="0"/>
                      <a:ext cx="6048000" cy="4208491"/>
                    </a:xfrm>
                    <a:prstGeom prst="rect"/>
                  </pic:spPr>
                </pic:pic>
              </a:graphicData>
            </a:graphic>
          </wp:inline>
        </w:drawing>
      </w:r>
    </w:p>
    <w:p>
      <w:pPr>
        <w:keepNext w:val="0"/>
        <w:spacing w:after="140"/>
        <w:jc w:val="center"/>
      </w:pPr>
      <w:r>
        <w:rPr>
          <w:rFonts w:ascii="Arial" w:hAnsi="Arial"/>
          <w:b/>
          <w:color w:val="64748B"/>
          <w:sz w:val="17"/>
        </w:rPr>
        <w:t>Gambar 2  Zona upload file SAP</w:t>
      </w:r>
    </w:p>
    <w:p>
      <w:pPr>
        <w:pStyle w:val="Heading2"/>
      </w:pPr>
      <w:r>
        <w:rPr>
          <w:rFonts w:ascii="Arial" w:hAnsi="Arial"/>
          <w:b/>
          <w:color w:val="000000"/>
          <w:sz w:val="26"/>
        </w:rPr>
        <w:t>Langkah 3  Periksa dashboard dan freeze gudang</w:t>
      </w:r>
    </w:p>
    <w:p>
      <w:r>
        <w:rPr>
          <w:rFonts w:ascii="Arial" w:hAnsi="Arial"/>
        </w:rPr>
        <w:t>Pastikan periode, jumlah item, blok, dan data SAP sudah sesuai. Saat penghitungan fisik dimulai, gudang terpilih diblokir untuk transaksi TUG masuk maupun keluar. Freeze dilepas setelah opname selesai atau ditolak.</w:t>
      </w:r>
    </w:p>
    <w:p>
      <w:pPr>
        <w:pStyle w:val="ListBullet"/>
        <w:spacing w:after="60"/>
      </w:pPr>
      <w:r>
        <w:rPr>
          <w:rFonts w:ascii="Arial" w:hAnsi="Arial"/>
        </w:rPr>
        <w:t>Gunakan Lembar Hitung bila tim membutuhkan formulir cetak.</w:t>
      </w:r>
    </w:p>
    <w:p>
      <w:pPr>
        <w:pStyle w:val="ListBullet"/>
        <w:spacing w:after="60"/>
      </w:pPr>
      <w:r>
        <w:rPr>
          <w:rFonts w:ascii="Arial" w:hAnsi="Arial"/>
        </w:rPr>
        <w:t>Klik Mulai Hitung untuk penghitungan pertama.</w:t>
      </w:r>
    </w:p>
    <w:p>
      <w:pPr>
        <w:pStyle w:val="ListBullet"/>
        <w:spacing w:after="60"/>
      </w:pPr>
      <w:r>
        <w:rPr>
          <w:rFonts w:ascii="Arial" w:hAnsi="Arial"/>
        </w:rPr>
        <w:t>Klik Mode Lapangan untuk tampilan yang lebih sederhana di HP.</w:t>
      </w:r>
    </w:p>
    <w:p>
      <w:pPr>
        <w:pStyle w:val="ListBullet"/>
        <w:spacing w:after="60"/>
      </w:pPr>
      <w:r>
        <w:rPr>
          <w:rFonts w:ascii="Arial" w:hAnsi="Arial"/>
        </w:rPr>
        <w:t>Klik Simpan Draft sebelum berpindah perangkat atau berhenti bekerja.</w:t>
      </w:r>
    </w:p>
    <w:p>
      <w:pPr>
        <w:keepNext/>
        <w:spacing w:before="100"/>
        <w:jc w:val="center"/>
      </w:pPr>
      <w:r>
        <w:drawing>
          <wp:inline xmlns:a="http://schemas.openxmlformats.org/drawingml/2006/main" xmlns:pic="http://schemas.openxmlformats.org/drawingml/2006/picture">
            <wp:extent cx="6048000" cy="4590512"/>
            <wp:docPr id="4" name="Picture 4" title="Gambar 3  Dashboard sesi dan kontrol penghitungan" descr="Penanda 1 menunjukkan freeze gudang. Penanda 2 menunjukkan tombol mulai dan Mode Lapangan. Penanda 3 menunjukkan progres item."/>
            <wp:cNvGraphicFramePr>
              <a:graphicFrameLocks noChangeAspect="1"/>
            </wp:cNvGraphicFramePr>
            <a:graphic>
              <a:graphicData uri="http://schemas.openxmlformats.org/drawingml/2006/picture">
                <pic:pic>
                  <pic:nvPicPr>
                    <pic:cNvPr id="0" name="opname-dashboard.png"/>
                    <pic:cNvPicPr/>
                  </pic:nvPicPr>
                  <pic:blipFill>
                    <a:blip r:embed="rId14"/>
                    <a:stretch>
                      <a:fillRect/>
                    </a:stretch>
                  </pic:blipFill>
                  <pic:spPr>
                    <a:xfrm>
                      <a:off x="0" y="0"/>
                      <a:ext cx="6048000" cy="4590512"/>
                    </a:xfrm>
                    <a:prstGeom prst="rect"/>
                  </pic:spPr>
                </pic:pic>
              </a:graphicData>
            </a:graphic>
          </wp:inline>
        </w:drawing>
      </w:r>
    </w:p>
    <w:p>
      <w:pPr>
        <w:keepNext w:val="0"/>
        <w:spacing w:after="140"/>
        <w:jc w:val="center"/>
      </w:pPr>
      <w:r>
        <w:rPr>
          <w:rFonts w:ascii="Arial" w:hAnsi="Arial"/>
          <w:b/>
          <w:color w:val="64748B"/>
          <w:sz w:val="17"/>
        </w:rPr>
        <w:t>Gambar 3  Dashboard sesi dan kontrol penghitungan</w:t>
      </w:r>
    </w:p>
    <w:p>
      <w:pPr>
        <w:pStyle w:val="Heading2"/>
      </w:pPr>
      <w:r>
        <w:rPr>
          <w:rFonts w:ascii="Arial" w:hAnsi="Arial"/>
          <w:b/>
          <w:color w:val="000000"/>
          <w:sz w:val="26"/>
        </w:rPr>
        <w:t>Langkah 4  Pilih blok di Mode Lapangan</w:t>
      </w:r>
    </w:p>
    <w:p>
      <w:r>
        <w:rPr>
          <w:rFonts w:ascii="Arial" w:hAnsi="Arial"/>
        </w:rPr>
        <w:t>Pada HP, pilih Scan QR Blok atau pilih blok secara manual. Angka pada setiap kartu menunjukkan jumlah item yang sudah dihitung dibanding total item di blok tersebut.</w:t>
      </w:r>
    </w:p>
    <w:p>
      <w:pPr>
        <w:keepNext/>
        <w:spacing w:before="100"/>
        <w:jc w:val="center"/>
      </w:pPr>
      <w:r>
        <w:drawing>
          <wp:inline xmlns:a="http://schemas.openxmlformats.org/drawingml/2006/main" xmlns:pic="http://schemas.openxmlformats.org/drawingml/2006/picture">
            <wp:extent cx="2916000" cy="2648204"/>
            <wp:docPr id="5" name="Picture 5" title="Gambar 4  Pemilihan blok pada Mode Lapangan" descr="Penanda 1 menunjukkan scan QR blok. Penanda 2 dan 3 menunjukkan blok yang dapat dipilih manual."/>
            <wp:cNvGraphicFramePr>
              <a:graphicFrameLocks noChangeAspect="1"/>
            </wp:cNvGraphicFramePr>
            <a:graphic>
              <a:graphicData uri="http://schemas.openxmlformats.org/drawingml/2006/picture">
                <pic:pic>
                  <pic:nvPicPr>
                    <pic:cNvPr id="0" name="opname-field.png"/>
                    <pic:cNvPicPr/>
                  </pic:nvPicPr>
                  <pic:blipFill>
                    <a:blip r:embed="rId15"/>
                    <a:stretch>
                      <a:fillRect/>
                    </a:stretch>
                  </pic:blipFill>
                  <pic:spPr>
                    <a:xfrm>
                      <a:off x="0" y="0"/>
                      <a:ext cx="2916000" cy="2648204"/>
                    </a:xfrm>
                    <a:prstGeom prst="rect"/>
                  </pic:spPr>
                </pic:pic>
              </a:graphicData>
            </a:graphic>
          </wp:inline>
        </w:drawing>
      </w:r>
    </w:p>
    <w:p>
      <w:pPr>
        <w:keepNext w:val="0"/>
        <w:spacing w:after="140"/>
        <w:jc w:val="center"/>
      </w:pPr>
      <w:r>
        <w:rPr>
          <w:rFonts w:ascii="Arial" w:hAnsi="Arial"/>
          <w:b/>
          <w:color w:val="64748B"/>
          <w:sz w:val="17"/>
        </w:rPr>
        <w:t>Gambar 4  Pemilihan blok pada Mode Lapangan</w:t>
      </w:r>
    </w:p>
    <w:p>
      <w:pPr>
        <w:pStyle w:val="Heading2"/>
      </w:pPr>
      <w:r>
        <w:rPr>
          <w:rFonts w:ascii="Arial" w:hAnsi="Arial"/>
          <w:b/>
          <w:color w:val="000000"/>
          <w:sz w:val="26"/>
        </w:rPr>
        <w:t>Langkah 5  Pilih barang dan masukkan jumlah fisik</w:t>
      </w:r>
    </w:p>
    <w:p>
      <w:r>
        <w:rPr>
          <w:rFonts w:ascii="Arial" w:hAnsi="Arial"/>
        </w:rPr>
        <w:t>Buka material pada blok aktif. Hitung barang secara langsung, masukkan Qty Hasil Hitung Fisik, lalu simpan.</w:t>
      </w:r>
    </w:p>
    <w:p>
      <w:pPr>
        <w:pStyle w:val="ListBullet"/>
        <w:spacing w:after="60"/>
      </w:pPr>
      <w:r>
        <w:rPr>
          <w:rFonts w:ascii="Arial" w:hAnsi="Arial"/>
        </w:rPr>
        <w:t>Gunakan Tandai Nihil jika barang tidak ditemukan.</w:t>
      </w:r>
    </w:p>
    <w:p>
      <w:pPr>
        <w:pStyle w:val="ListBullet"/>
        <w:spacing w:after="60"/>
      </w:pPr>
      <w:r>
        <w:rPr>
          <w:rFonts w:ascii="Arial" w:hAnsi="Arial"/>
        </w:rPr>
        <w:t>Gunakan Scan Barang untuk mencari material melalui kode.</w:t>
      </w:r>
    </w:p>
    <w:p>
      <w:pPr>
        <w:pStyle w:val="ListBullet"/>
        <w:spacing w:after="60"/>
      </w:pPr>
      <w:r>
        <w:rPr>
          <w:rFonts w:ascii="Arial" w:hAnsi="Arial"/>
        </w:rPr>
        <w:t>Jika barang ditemukan di blok berbeda, gunakan Catat di Blok Ini.</w:t>
      </w:r>
    </w:p>
    <w:p>
      <w:pPr>
        <w:pStyle w:val="ListBullet"/>
        <w:spacing w:after="60"/>
      </w:pPr>
      <w:r>
        <w:rPr>
          <w:rFonts w:ascii="Arial" w:hAnsi="Arial"/>
        </w:rPr>
        <w:t>Jika material tidak ada dalam daftar, gunakan Tambah Material Ditemukan.</w:t>
      </w:r>
    </w:p>
    <w:tbl>
      <w:tblPr>
        <w:tblW w:type="auto" w:w="0"/>
        <w:jc w:val="center"/>
        <w:tblLayout w:type="fixed"/>
        <w:tblLook w:firstColumn="1" w:firstRow="1" w:lastColumn="0" w:lastRow="0" w:noHBand="0" w:noVBand="1" w:val="04A0"/>
      </w:tblPr>
      <w:tblGrid>
        <w:gridCol w:w="4989"/>
        <w:gridCol w:w="4989"/>
      </w:tblGrid>
      <w:tr>
        <w:tc>
          <w:tcPr>
            <w:tcW w:type="dxa" w:w="4649"/>
            <w:tcBorders>
              <w:top w:val="single" w:sz="2" w:color="FFFFFF"/>
              <w:left w:val="single" w:sz="2" w:color="FFFFFF"/>
              <w:bottom w:val="single" w:sz="2" w:color="FFFFFF"/>
              <w:right w:val="single" w:sz="2" w:color="FFFFFF"/>
              <w:insideH w:val="single" w:sz="2" w:color="FFFFFF"/>
              <w:insideV w:val="single" w:sz="2" w:color="FFFFFF"/>
            </w:tcBorders>
          </w:tcPr>
          <w:p>
            <w:pPr>
              <w:keepNext/>
              <w:jc w:val="center"/>
            </w:pPr>
            <w:r>
              <w:drawing>
                <wp:inline xmlns:a="http://schemas.openxmlformats.org/drawingml/2006/main" xmlns:pic="http://schemas.openxmlformats.org/drawingml/2006/picture">
                  <wp:extent cx="2807999" cy="2714877"/>
                  <wp:docPr id="6" name="Picture 6" title="Gambar 5  Daftar barang pada blok aktif" descr="Penanda 1 menunjukkan scan barang. Penanda 2 menunjukkan material yang dipilih untuk dihitung."/>
                  <wp:cNvGraphicFramePr>
                    <a:graphicFrameLocks noChangeAspect="1"/>
                  </wp:cNvGraphicFramePr>
                  <a:graphic>
                    <a:graphicData uri="http://schemas.openxmlformats.org/drawingml/2006/picture">
                      <pic:pic>
                        <pic:nvPicPr>
                          <pic:cNvPr id="0" name="opname-items.png"/>
                          <pic:cNvPicPr/>
                        </pic:nvPicPr>
                        <pic:blipFill>
                          <a:blip r:embed="rId16"/>
                          <a:stretch>
                            <a:fillRect/>
                          </a:stretch>
                        </pic:blipFill>
                        <pic:spPr>
                          <a:xfrm>
                            <a:off x="0" y="0"/>
                            <a:ext cx="2807999" cy="2714877"/>
                          </a:xfrm>
                          <a:prstGeom prst="rect"/>
                        </pic:spPr>
                      </pic:pic>
                    </a:graphicData>
                  </a:graphic>
                </wp:inline>
              </w:drawing>
            </w:r>
          </w:p>
        </w:tc>
        <w:tc>
          <w:tcPr>
            <w:tcW w:type="dxa" w:w="4649"/>
            <w:tcBorders>
              <w:top w:val="single" w:sz="2" w:color="FFFFFF"/>
              <w:left w:val="single" w:sz="2" w:color="FFFFFF"/>
              <w:bottom w:val="single" w:sz="2" w:color="FFFFFF"/>
              <w:right w:val="single" w:sz="2" w:color="FFFFFF"/>
              <w:insideH w:val="single" w:sz="2" w:color="FFFFFF"/>
              <w:insideV w:val="single" w:sz="2" w:color="FFFFFF"/>
            </w:tcBorders>
          </w:tcPr>
          <w:p>
            <w:pPr>
              <w:keepNext/>
              <w:jc w:val="center"/>
            </w:pPr>
            <w:r>
              <w:drawing>
                <wp:inline xmlns:a="http://schemas.openxmlformats.org/drawingml/2006/main" xmlns:pic="http://schemas.openxmlformats.org/drawingml/2006/picture">
                  <wp:extent cx="2807999" cy="3137509"/>
                  <wp:docPr id="7" name="Picture 7" title="Gambar 6  Input jumlah fisik" descr="Penanda 1 menunjukkan kolom Qty Hasil Hitung Fisik. Penanda 2 menunjukkan tombol simpan."/>
                  <wp:cNvGraphicFramePr>
                    <a:graphicFrameLocks noChangeAspect="1"/>
                  </wp:cNvGraphicFramePr>
                  <a:graphic>
                    <a:graphicData uri="http://schemas.openxmlformats.org/drawingml/2006/picture">
                      <pic:pic>
                        <pic:nvPicPr>
                          <pic:cNvPr id="0" name="opname-qty.png"/>
                          <pic:cNvPicPr/>
                        </pic:nvPicPr>
                        <pic:blipFill>
                          <a:blip r:embed="rId17"/>
                          <a:stretch>
                            <a:fillRect/>
                          </a:stretch>
                        </pic:blipFill>
                        <pic:spPr>
                          <a:xfrm>
                            <a:off x="0" y="0"/>
                            <a:ext cx="2807999" cy="3137509"/>
                          </a:xfrm>
                          <a:prstGeom prst="rect"/>
                        </pic:spPr>
                      </pic:pic>
                    </a:graphicData>
                  </a:graphic>
                </wp:inline>
              </w:drawing>
            </w:r>
          </w:p>
        </w:tc>
      </w:tr>
      <w:tr>
        <w:tc>
          <w:tcPr>
            <w:tcW w:type="dxa" w:w="4649"/>
            <w:tcBorders>
              <w:top w:val="single" w:sz="2" w:color="FFFFFF"/>
              <w:left w:val="single" w:sz="2" w:color="FFFFFF"/>
              <w:bottom w:val="single" w:sz="2" w:color="FFFFFF"/>
              <w:right w:val="single" w:sz="2" w:color="FFFFFF"/>
              <w:insideH w:val="single" w:sz="2" w:color="FFFFFF"/>
              <w:insideV w:val="single" w:sz="2" w:color="FFFFFF"/>
            </w:tcBorders>
          </w:tcPr>
          <w:p>
            <w:pPr>
              <w:spacing w:after="140"/>
              <w:jc w:val="center"/>
            </w:pPr>
            <w:r>
              <w:rPr>
                <w:rFonts w:ascii="Arial" w:hAnsi="Arial"/>
                <w:b/>
                <w:color w:val="64748B"/>
                <w:sz w:val="17"/>
              </w:rPr>
              <w:t>Gambar 5  Daftar barang pada blok aktif</w:t>
            </w:r>
          </w:p>
        </w:tc>
        <w:tc>
          <w:tcPr>
            <w:tcW w:type="dxa" w:w="4649"/>
            <w:tcBorders>
              <w:top w:val="single" w:sz="2" w:color="FFFFFF"/>
              <w:left w:val="single" w:sz="2" w:color="FFFFFF"/>
              <w:bottom w:val="single" w:sz="2" w:color="FFFFFF"/>
              <w:right w:val="single" w:sz="2" w:color="FFFFFF"/>
              <w:insideH w:val="single" w:sz="2" w:color="FFFFFF"/>
              <w:insideV w:val="single" w:sz="2" w:color="FFFFFF"/>
            </w:tcBorders>
          </w:tcPr>
          <w:p>
            <w:pPr>
              <w:spacing w:after="140"/>
              <w:jc w:val="center"/>
            </w:pPr>
            <w:r>
              <w:rPr>
                <w:rFonts w:ascii="Arial" w:hAnsi="Arial"/>
                <w:b/>
                <w:color w:val="64748B"/>
                <w:sz w:val="17"/>
              </w:rPr>
              <w:t>Gambar 6  Input jumlah fisik</w:t>
            </w:r>
          </w:p>
        </w:tc>
      </w:tr>
    </w:tbl>
    <w:p>
      <w:pPr>
        <w:spacing w:after="0"/>
      </w:pPr>
    </w:p>
    <w:p>
      <w:pPr>
        <w:pStyle w:val="Heading2"/>
      </w:pPr>
      <w:r>
        <w:rPr>
          <w:rFonts w:ascii="Arial" w:hAnsi="Arial"/>
          <w:b/>
          <w:color w:val="000000"/>
          <w:sz w:val="26"/>
        </w:rPr>
        <w:t>Langkah 6  Selesaikan hitung ulang selisih</w:t>
      </w:r>
    </w:p>
    <w:p>
      <w:r>
        <w:rPr>
          <w:rFonts w:ascii="Arial" w:hAnsi="Arial"/>
        </w:rPr>
        <w:t>Jika jumlah fisik berbeda dari sistem atau SAP, WARNOTO memasukkan item ke antrian Hitung Ulang. Masukkan hitungan kedua dan konfirmasi. Hasil tidak dapat dikirim sebelum seluruh selisih dikonfirmasi.</w:t>
      </w:r>
    </w:p>
    <w:p>
      <w:r>
        <w:rPr>
          <w:rFonts w:ascii="Arial" w:hAnsi="Arial"/>
          <w:b/>
        </w:rPr>
        <w:t>Penting:</w:t>
      </w:r>
      <w:r>
        <w:rPr>
          <w:rFonts w:ascii="Arial" w:hAnsi="Arial"/>
        </w:rPr>
        <w:t xml:space="preserve"> hitung ulang harus dilakukan dari kondisi fisik barang. Jangan menyalin angka hitungan pertama tanpa pemeriksaan ulang.</w:t>
      </w:r>
    </w:p>
    <w:p>
      <w:r>
        <w:br w:type="page"/>
      </w:r>
    </w:p>
    <w:p>
      <w:pPr>
        <w:pStyle w:val="Heading2"/>
      </w:pPr>
      <w:r>
        <w:rPr>
          <w:rFonts w:ascii="Arial" w:hAnsi="Arial"/>
          <w:b/>
          <w:color w:val="000000"/>
          <w:sz w:val="26"/>
        </w:rPr>
        <w:t>Langkah 7  Periksa rekonsiliasi</w:t>
      </w:r>
    </w:p>
    <w:p>
      <w:r>
        <w:rPr>
          <w:rFonts w:ascii="Arial" w:hAnsi="Arial"/>
        </w:rPr>
        <w:t>Setelah semua blok selesai, buka rekonsiliasi. Periksa Qty Sistem, Qty SAP, Qty Fisik, Selisih, Status, dan Keterangan.</w:t>
      </w:r>
    </w:p>
    <w:p>
      <w:pPr>
        <w:pStyle w:val="ListBullet"/>
        <w:spacing w:after="60"/>
      </w:pPr>
      <w:r>
        <w:rPr>
          <w:rFonts w:ascii="Arial" w:hAnsi="Arial"/>
        </w:rPr>
        <w:t>Keterangan wajib diisi untuk setiap item berselisih.</w:t>
      </w:r>
    </w:p>
    <w:p>
      <w:pPr>
        <w:pStyle w:val="ListBullet"/>
        <w:spacing w:after="60"/>
      </w:pPr>
      <w:r>
        <w:rPr>
          <w:rFonts w:ascii="Arial" w:hAnsi="Arial"/>
        </w:rPr>
        <w:t>Untuk sesi Non-SAP, Gudang dan Blok wajib terisi untuk setiap material.</w:t>
      </w:r>
    </w:p>
    <w:p>
      <w:pPr>
        <w:pStyle w:val="ListBullet"/>
        <w:spacing w:after="60"/>
      </w:pPr>
      <w:r>
        <w:rPr>
          <w:rFonts w:ascii="Arial" w:hAnsi="Arial"/>
        </w:rPr>
        <w:t>Gunakan foto bila diperlukan untuk memperjelas kondisi material.</w:t>
      </w:r>
    </w:p>
    <w:p>
      <w:pPr>
        <w:pStyle w:val="ListBullet"/>
        <w:spacing w:after="60"/>
      </w:pPr>
      <w:r>
        <w:rPr>
          <w:rFonts w:ascii="Arial" w:hAnsi="Arial"/>
        </w:rPr>
        <w:t>Klik Simpan Draft jika pemeriksaan belum selesai.</w:t>
      </w:r>
    </w:p>
    <w:p>
      <w:pPr>
        <w:keepNext/>
        <w:spacing w:before="100"/>
        <w:jc w:val="center"/>
      </w:pPr>
      <w:r>
        <w:drawing>
          <wp:inline xmlns:a="http://schemas.openxmlformats.org/drawingml/2006/main" xmlns:pic="http://schemas.openxmlformats.org/drawingml/2006/picture">
            <wp:extent cx="6048000" cy="3787172"/>
            <wp:docPr id="8" name="Picture 8" title="Gambar 7  Rekonsiliasi hasil Stock Opname" descr="Penanda 1 menunjukkan Qty Sistem, SAP, dan Fisik. Penanda 2 menunjukkan selisih dan keterangan. Penanda 3 menunjukkan Lembar Hitung dan kembali ke daftar."/>
            <wp:cNvGraphicFramePr>
              <a:graphicFrameLocks noChangeAspect="1"/>
            </wp:cNvGraphicFramePr>
            <a:graphic>
              <a:graphicData uri="http://schemas.openxmlformats.org/drawingml/2006/picture">
                <pic:pic>
                  <pic:nvPicPr>
                    <pic:cNvPr id="0" name="opname-recon.png"/>
                    <pic:cNvPicPr/>
                  </pic:nvPicPr>
                  <pic:blipFill>
                    <a:blip r:embed="rId18"/>
                    <a:stretch>
                      <a:fillRect/>
                    </a:stretch>
                  </pic:blipFill>
                  <pic:spPr>
                    <a:xfrm>
                      <a:off x="0" y="0"/>
                      <a:ext cx="6048000" cy="3787172"/>
                    </a:xfrm>
                    <a:prstGeom prst="rect"/>
                  </pic:spPr>
                </pic:pic>
              </a:graphicData>
            </a:graphic>
          </wp:inline>
        </w:drawing>
      </w:r>
    </w:p>
    <w:p>
      <w:pPr>
        <w:keepNext w:val="0"/>
        <w:spacing w:after="140"/>
        <w:jc w:val="center"/>
      </w:pPr>
      <w:r>
        <w:rPr>
          <w:rFonts w:ascii="Arial" w:hAnsi="Arial"/>
          <w:b/>
          <w:color w:val="64748B"/>
          <w:sz w:val="17"/>
        </w:rPr>
        <w:t>Gambar 7  Rekonsiliasi hasil Stock Opname</w:t>
      </w:r>
    </w:p>
    <w:p>
      <w:pPr>
        <w:pStyle w:val="Heading2"/>
      </w:pPr>
      <w:r>
        <w:rPr>
          <w:rFonts w:ascii="Arial" w:hAnsi="Arial"/>
          <w:b/>
          <w:color w:val="000000"/>
          <w:sz w:val="26"/>
        </w:rPr>
        <w:t>Langkah 8  Kirim hasil kepada Asman</w:t>
      </w:r>
    </w:p>
    <w:p>
      <w:r>
        <w:rPr>
          <w:rFonts w:ascii="Arial" w:hAnsi="Arial"/>
        </w:rPr>
        <w:t>Klik Submit ke Asman setelah semua item terhitung, semua selisih memiliki keterangan, dan hitung ulang selesai. Status berubah menjadi Menunggu Asman.</w:t>
      </w:r>
    </w:p>
    <w:p>
      <w:pPr>
        <w:pStyle w:val="Heading1"/>
      </w:pPr>
      <w:r>
        <w:t>Pemeriksaan dan approval Asman</w:t>
      </w:r>
    </w:p>
    <w:p>
      <w:r>
        <w:rPr>
          <w:rFonts w:ascii="Arial" w:hAnsi="Arial"/>
        </w:rPr>
        <w:t>Asman membuka menu Approval. Pada bagian Stock Opname, periksa jumlah item, jumlah selisih, pengaju, dan waktu pengajuan.</w:t>
      </w:r>
    </w:p>
    <w:p>
      <w:pPr>
        <w:pStyle w:val="ListBullet"/>
        <w:spacing w:after="60"/>
      </w:pPr>
      <w:r>
        <w:rPr>
          <w:rFonts w:ascii="Arial" w:hAnsi="Arial"/>
        </w:rPr>
        <w:t>Klik Setuju untuk menyelesaikan opname.</w:t>
      </w:r>
    </w:p>
    <w:p>
      <w:pPr>
        <w:pStyle w:val="ListBullet"/>
        <w:spacing w:after="60"/>
      </w:pPr>
      <w:r>
        <w:rPr>
          <w:rFonts w:ascii="Arial" w:hAnsi="Arial"/>
        </w:rPr>
        <w:t>Klik Tolak bila hasil harus diperbaiki. Alasan penolakan wajib diisi agar TL memahami revisi.</w:t>
      </w:r>
    </w:p>
    <w:p>
      <w:pPr>
        <w:pStyle w:val="ListBullet"/>
        <w:spacing w:after="60"/>
      </w:pPr>
      <w:r>
        <w:rPr>
          <w:rFonts w:ascii="Arial" w:hAnsi="Arial"/>
        </w:rPr>
        <w:t>Approval final menyesuaikan Data Stok, menambah histori Kartu Gantung, dan melepaskan freeze gudang.</w:t>
      </w:r>
    </w:p>
    <w:p>
      <w:pPr>
        <w:keepNext/>
        <w:spacing w:before="100"/>
        <w:jc w:val="center"/>
      </w:pPr>
      <w:r>
        <w:drawing>
          <wp:inline xmlns:a="http://schemas.openxmlformats.org/drawingml/2006/main" xmlns:pic="http://schemas.openxmlformats.org/drawingml/2006/picture">
            <wp:extent cx="6048000" cy="5669283"/>
            <wp:docPr id="9" name="Picture 9" title="Gambar 8  Antrian approval Asman" descr="Penanda 1 menunjukkan tombol Setuju atau Tolak Stock Opname. Penanda 2 menunjukkan item Stock Count. Penanda 3 menunjukkan persetujuan terpilih."/>
            <wp:cNvGraphicFramePr>
              <a:graphicFrameLocks noChangeAspect="1"/>
            </wp:cNvGraphicFramePr>
            <a:graphic>
              <a:graphicData uri="http://schemas.openxmlformats.org/drawingml/2006/picture">
                <pic:pic>
                  <pic:nvPicPr>
                    <pic:cNvPr id="0" name="approval-asman.png"/>
                    <pic:cNvPicPr/>
                  </pic:nvPicPr>
                  <pic:blipFill>
                    <a:blip r:embed="rId19"/>
                    <a:stretch>
                      <a:fillRect/>
                    </a:stretch>
                  </pic:blipFill>
                  <pic:spPr>
                    <a:xfrm>
                      <a:off x="0" y="0"/>
                      <a:ext cx="6048000" cy="5669283"/>
                    </a:xfrm>
                    <a:prstGeom prst="rect"/>
                  </pic:spPr>
                </pic:pic>
              </a:graphicData>
            </a:graphic>
          </wp:inline>
        </w:drawing>
      </w:r>
    </w:p>
    <w:p>
      <w:pPr>
        <w:keepNext w:val="0"/>
        <w:spacing w:after="140"/>
        <w:jc w:val="center"/>
      </w:pPr>
      <w:r>
        <w:rPr>
          <w:rFonts w:ascii="Arial" w:hAnsi="Arial"/>
          <w:b/>
          <w:color w:val="64748B"/>
          <w:sz w:val="17"/>
        </w:rPr>
        <w:t>Gambar 8  Antrian approval Asman</w:t>
      </w:r>
    </w:p>
    <w:p>
      <w:r>
        <w:br w:type="page"/>
      </w:r>
    </w:p>
    <w:p>
      <w:pPr>
        <w:pStyle w:val="Heading1"/>
      </w:pPr>
      <w:r>
        <w:t>Penyelesaian dan dokumen hasil</w:t>
      </w:r>
    </w:p>
    <w:p>
      <w:r>
        <w:rPr>
          <w:rFonts w:ascii="Arial" w:hAnsi="Arial"/>
        </w:rPr>
        <w:t>Setelah status menjadi Selesai, buka daftar Stock Opname dan klik Cetak BA + TUG-15. Lengkapi susunan tim, PID, tanggal, dan pejabat Mengetahui sebelum mencetak.</w:t>
      </w:r>
    </w:p>
    <w:p>
      <w:pPr>
        <w:keepNext/>
        <w:spacing w:before="100"/>
        <w:jc w:val="center"/>
      </w:pPr>
      <w:r>
        <w:drawing>
          <wp:inline xmlns:a="http://schemas.openxmlformats.org/drawingml/2006/main" xmlns:pic="http://schemas.openxmlformats.org/drawingml/2006/picture">
            <wp:extent cx="6048000" cy="3618975"/>
            <wp:docPr id="10" name="Picture 10" title="Gambar 9  Sesi selesai dan pencetakan BA serta TUG-15" descr="Penanda 1 menunjukkan tombol Cetak BA dan TUG-15."/>
            <wp:cNvGraphicFramePr>
              <a:graphicFrameLocks noChangeAspect="1"/>
            </wp:cNvGraphicFramePr>
            <a:graphic>
              <a:graphicData uri="http://schemas.openxmlformats.org/drawingml/2006/picture">
                <pic:pic>
                  <pic:nvPicPr>
                    <pic:cNvPr id="0" name="opname-done.png"/>
                    <pic:cNvPicPr/>
                  </pic:nvPicPr>
                  <pic:blipFill>
                    <a:blip r:embed="rId20"/>
                    <a:stretch>
                      <a:fillRect/>
                    </a:stretch>
                  </pic:blipFill>
                  <pic:spPr>
                    <a:xfrm>
                      <a:off x="0" y="0"/>
                      <a:ext cx="6048000" cy="3618975"/>
                    </a:xfrm>
                    <a:prstGeom prst="rect"/>
                  </pic:spPr>
                </pic:pic>
              </a:graphicData>
            </a:graphic>
          </wp:inline>
        </w:drawing>
      </w:r>
    </w:p>
    <w:p>
      <w:pPr>
        <w:keepNext w:val="0"/>
        <w:spacing w:after="140"/>
        <w:jc w:val="center"/>
      </w:pPr>
      <w:r>
        <w:rPr>
          <w:rFonts w:ascii="Arial" w:hAnsi="Arial"/>
          <w:b/>
          <w:color w:val="64748B"/>
          <w:sz w:val="17"/>
        </w:rPr>
        <w:t>Gambar 9  Sesi selesai dan pencetakan BA serta TUG-15</w:t>
      </w:r>
    </w:p>
    <w:p>
      <w:pPr>
        <w:pStyle w:val="Heading1"/>
      </w:pPr>
      <w:r>
        <w:t>Masalah umum dan tindakan</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835"/>
            <w:shd w:fill="0B2E63"/>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jc w:val="center"/>
            </w:pPr>
            <w:r>
              <w:rPr>
                <w:rFonts w:ascii="Arial" w:hAnsi="Arial"/>
                <w:b/>
                <w:color w:val="FFFFFF"/>
                <w:sz w:val="18"/>
              </w:rPr>
              <w:t>Masalah</w:t>
            </w:r>
          </w:p>
        </w:tc>
        <w:tc>
          <w:tcPr>
            <w:tcW w:type="dxa" w:w="6463"/>
            <w:shd w:fill="0B2E63"/>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jc w:val="center"/>
            </w:pPr>
            <w:r>
              <w:rPr>
                <w:rFonts w:ascii="Arial" w:hAnsi="Arial"/>
                <w:b/>
                <w:color w:val="FFFFFF"/>
                <w:sz w:val="18"/>
              </w:rPr>
              <w:t>Tindakan</w:t>
            </w:r>
          </w:p>
        </w:tc>
      </w:tr>
      <w:tr>
        <w:tc>
          <w:tcPr>
            <w:tcW w:type="dxa" w:w="2835"/>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File tidak terbaca</w:t>
            </w:r>
          </w:p>
        </w:tc>
        <w:tc>
          <w:tcPr>
            <w:tcW w:type="dxa" w:w="6463"/>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Pastikan format CSV/XLSX, header SAP, dan ukuran file sesuai. Ekspor ulang bila perlu.</w:t>
            </w:r>
          </w:p>
        </w:tc>
      </w:tr>
      <w:tr>
        <w:tc>
          <w:tcPr>
            <w:tcW w:type="dxa" w:w="2835"/>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Blok tidak muncul</w:t>
            </w:r>
          </w:p>
        </w:tc>
        <w:tc>
          <w:tcPr>
            <w:tcW w:type="dxa" w:w="6463"/>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Periksa hubungan material dengan Master Gudang dan Blok Lokasi.</w:t>
            </w:r>
          </w:p>
        </w:tc>
      </w:tr>
      <w:tr>
        <w:tc>
          <w:tcPr>
            <w:tcW w:type="dxa" w:w="2835"/>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Submit ditolak sistem</w:t>
            </w:r>
          </w:p>
        </w:tc>
        <w:tc>
          <w:tcPr>
            <w:tcW w:type="dxa" w:w="6463"/>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Lengkapi qty fisik, keterangan selisih, lokasi Non-SAP, dan hitung ulang.</w:t>
            </w:r>
          </w:p>
        </w:tc>
      </w:tr>
      <w:tr>
        <w:tc>
          <w:tcPr>
            <w:tcW w:type="dxa" w:w="2835"/>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Draft belum tersinkron</w:t>
            </w:r>
          </w:p>
        </w:tc>
        <w:tc>
          <w:tcPr>
            <w:tcW w:type="dxa" w:w="6463"/>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Pastikan jaringan aktif, buka kembali sesi, lalu klik Simpan Draft.</w:t>
            </w:r>
          </w:p>
        </w:tc>
      </w:tr>
      <w:tr>
        <w:tc>
          <w:tcPr>
            <w:tcW w:type="dxa" w:w="2835"/>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Hasil ditolak Asman</w:t>
            </w:r>
          </w:p>
        </w:tc>
        <w:tc>
          <w:tcPr>
            <w:tcW w:type="dxa" w:w="6463"/>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Baca alasan penolakan, perbaiki data atau evidence, lalu kirim ulang.</w:t>
            </w:r>
          </w:p>
        </w:tc>
      </w:tr>
      <w:tr>
        <w:tc>
          <w:tcPr>
            <w:tcW w:type="dxa" w:w="2835"/>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Transaksi TUG terblokir</w:t>
            </w:r>
          </w:p>
        </w:tc>
        <w:tc>
          <w:tcPr>
            <w:tcW w:type="dxa" w:w="6463"/>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Ini perilaku freeze yang benar. Selesaikan atau batalkan opname melalui alur resmi.</w:t>
            </w:r>
          </w:p>
        </w:tc>
      </w:tr>
    </w:tbl>
    <w:p>
      <w:pPr>
        <w:spacing w:after="0"/>
      </w:pPr>
    </w:p>
    <w:p>
      <w:r>
        <w:br w:type="page"/>
      </w:r>
    </w:p>
    <w:p>
      <w:pPr>
        <w:pStyle w:val="Heading1"/>
      </w:pPr>
      <w:r>
        <w:t>Checklist sebelum dinyatakan selesai</w:t>
      </w:r>
    </w:p>
    <w:p>
      <w:pPr>
        <w:ind w:left="113"/>
      </w:pPr>
      <w:r>
        <w:rPr>
          <w:rFonts w:ascii="Arial" w:hAnsi="Arial"/>
          <w:b/>
          <w:color w:val="1246A0"/>
          <w:sz w:val="22"/>
        </w:rPr>
        <w:t xml:space="preserve">☐  </w:t>
      </w:r>
      <w:r>
        <w:rPr>
          <w:rFonts w:ascii="Arial" w:hAnsi="Arial"/>
          <w:sz w:val="19"/>
        </w:rPr>
        <w:t>Semua blok dan semua material sudah dihitung.</w:t>
      </w:r>
    </w:p>
    <w:p>
      <w:pPr>
        <w:ind w:left="113"/>
      </w:pPr>
      <w:r>
        <w:rPr>
          <w:rFonts w:ascii="Arial" w:hAnsi="Arial"/>
          <w:b/>
          <w:color w:val="1246A0"/>
          <w:sz w:val="22"/>
        </w:rPr>
        <w:t xml:space="preserve">☐  </w:t>
      </w:r>
      <w:r>
        <w:rPr>
          <w:rFonts w:ascii="Arial" w:hAnsi="Arial"/>
          <w:sz w:val="19"/>
        </w:rPr>
        <w:t>Semua selisih sudah dihitung ulang.</w:t>
      </w:r>
    </w:p>
    <w:p>
      <w:pPr>
        <w:ind w:left="113"/>
      </w:pPr>
      <w:r>
        <w:rPr>
          <w:rFonts w:ascii="Arial" w:hAnsi="Arial"/>
          <w:b/>
          <w:color w:val="1246A0"/>
          <w:sz w:val="22"/>
        </w:rPr>
        <w:t xml:space="preserve">☐  </w:t>
      </w:r>
      <w:r>
        <w:rPr>
          <w:rFonts w:ascii="Arial" w:hAnsi="Arial"/>
          <w:sz w:val="19"/>
        </w:rPr>
        <w:t>Semua selisih memiliki keterangan yang jelas.</w:t>
      </w:r>
    </w:p>
    <w:p>
      <w:pPr>
        <w:ind w:left="113"/>
      </w:pPr>
      <w:r>
        <w:rPr>
          <w:rFonts w:ascii="Arial" w:hAnsi="Arial"/>
          <w:b/>
          <w:color w:val="1246A0"/>
          <w:sz w:val="22"/>
        </w:rPr>
        <w:t xml:space="preserve">☐  </w:t>
      </w:r>
      <w:r>
        <w:rPr>
          <w:rFonts w:ascii="Arial" w:hAnsi="Arial"/>
          <w:sz w:val="19"/>
        </w:rPr>
        <w:t>Sesi Non-SAP memiliki gudang dan blok untuk seluruh item.</w:t>
      </w:r>
    </w:p>
    <w:p>
      <w:pPr>
        <w:ind w:left="113"/>
      </w:pPr>
      <w:r>
        <w:rPr>
          <w:rFonts w:ascii="Arial" w:hAnsi="Arial"/>
          <w:b/>
          <w:color w:val="1246A0"/>
          <w:sz w:val="22"/>
        </w:rPr>
        <w:t xml:space="preserve">☐  </w:t>
      </w:r>
      <w:r>
        <w:rPr>
          <w:rFonts w:ascii="Arial" w:hAnsi="Arial"/>
          <w:sz w:val="19"/>
        </w:rPr>
        <w:t>Draft sudah tersimpan dan berhasil dikirim kepada Asman.</w:t>
      </w:r>
    </w:p>
    <w:p>
      <w:pPr>
        <w:ind w:left="113"/>
      </w:pPr>
      <w:r>
        <w:rPr>
          <w:rFonts w:ascii="Arial" w:hAnsi="Arial"/>
          <w:b/>
          <w:color w:val="1246A0"/>
          <w:sz w:val="22"/>
        </w:rPr>
        <w:t xml:space="preserve">☐  </w:t>
      </w:r>
      <w:r>
        <w:rPr>
          <w:rFonts w:ascii="Arial" w:hAnsi="Arial"/>
          <w:sz w:val="19"/>
        </w:rPr>
        <w:t>Asman sudah memberikan keputusan final.</w:t>
      </w:r>
    </w:p>
    <w:p>
      <w:pPr>
        <w:ind w:left="113"/>
      </w:pPr>
      <w:r>
        <w:rPr>
          <w:rFonts w:ascii="Arial" w:hAnsi="Arial"/>
          <w:b/>
          <w:color w:val="1246A0"/>
          <w:sz w:val="22"/>
        </w:rPr>
        <w:t xml:space="preserve">☐  </w:t>
      </w:r>
      <w:r>
        <w:rPr>
          <w:rFonts w:ascii="Arial" w:hAnsi="Arial"/>
          <w:sz w:val="19"/>
        </w:rPr>
        <w:t>BA dan TUG-15 sudah dicetak atau disimpan sesuai kebutuhan UPT.</w:t>
      </w:r>
    </w:p>
    <w:p>
      <w:pPr>
        <w:ind w:left="113"/>
      </w:pPr>
      <w:r>
        <w:rPr>
          <w:rFonts w:ascii="Arial" w:hAnsi="Arial"/>
          <w:b/>
          <w:color w:val="1246A0"/>
          <w:sz w:val="22"/>
        </w:rPr>
        <w:t xml:space="preserve">☐  </w:t>
      </w:r>
      <w:r>
        <w:rPr>
          <w:rFonts w:ascii="Arial" w:hAnsi="Arial"/>
          <w:sz w:val="19"/>
        </w:rPr>
        <w:t>Freeze gudang sudah terlepas setelah sesi selesai atau ditolak.</w:t>
      </w:r>
    </w:p>
    <w:sectPr w:rsidR="00FC693F" w:rsidRPr="0006063C" w:rsidSect="00034616">
      <w:headerReference w:type="default" r:id="rId9"/>
      <w:footerReference w:type="default" r:id="rId10"/>
      <w:pgSz w:w="11906" w:h="16838"/>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E0EA"/>
      </w:pBdr>
      <w:jc w:val="right"/>
    </w:pPr>
    <w:r>
      <w:rPr>
        <w:rFonts w:ascii="Arial" w:hAnsi="Arial"/>
        <w:color w:val="64748B"/>
        <w:sz w:val="16"/>
      </w:rPr>
      <w:t>Panduan pengguna WARNOTO  |  Data contoh untuk pembelajaran</w:t>
    </w:r>
    <w:r>
      <w:rPr>
        <w:rFonts w:ascii="Arial" w:hAnsi="Arial"/>
        <w:color w:val="64748B"/>
        <w:sz w:val="16"/>
      </w:rPr>
      <w:t xml:space="preserve">  |  Halaman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70000" cy="369835"/>
          <wp:docPr id="1" name="Picture 1" title="Logo PLN" descr="Logo PT PLN (Persero)"/>
          <wp:cNvGraphicFramePr>
            <a:graphicFrameLocks noChangeAspect="1"/>
          </wp:cNvGraphicFramePr>
          <a:graphic>
            <a:graphicData uri="http://schemas.openxmlformats.org/drawingml/2006/picture">
              <pic:pic>
                <pic:nvPicPr>
                  <pic:cNvPr id="0" name="Logo_PLN.png"/>
                  <pic:cNvPicPr/>
                </pic:nvPicPr>
                <pic:blipFill>
                  <a:blip r:embed="rId1"/>
                  <a:stretch>
                    <a:fillRect/>
                  </a:stretch>
                </pic:blipFill>
                <pic:spPr>
                  <a:xfrm>
                    <a:off x="0" y="0"/>
                    <a:ext cx="270000" cy="369835"/>
                  </a:xfrm>
                  <a:prstGeom prst="rect"/>
                </pic:spPr>
              </pic:pic>
            </a:graphicData>
          </a:graphic>
        </wp:inline>
      </w:drawing>
    </w:r>
    <w:r>
      <w:rPr>
        <w:rFonts w:ascii="Arial" w:hAnsi="Arial"/>
        <w:b/>
        <w:color w:val="0B2E63"/>
        <w:sz w:val="17"/>
      </w:rPr>
      <w:t xml:space="preserve">  PT PLN (PERSERO)  |  WARNOTO  |  STOCK OPNAME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 PLN (Persero)</dc:creator>
  <cp:keywords/>
  <dc:description>Panduan pengguna aplikasi WARNOTO</dc:description>
  <cp:lastModifiedBy/>
  <cp:revision>1</cp:revision>
  <dcterms:created xsi:type="dcterms:W3CDTF">2013-12-23T23:15:00Z</dcterms:created>
  <dcterms:modified xsi:type="dcterms:W3CDTF">2013-12-23T23:15:00Z</dcterms:modified>
  <cp:category/>
</cp:coreProperties>
</file>