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b/>
          <w:bCs/>
          <w:color w:val="21252E"/>
          <w:sz w:val="64"/>
          <w:szCs w:val="64"/>
        </w:rPr>
        <w:t xml:space="preserve">LabSetu</w:t>
      </w:r>
    </w:p>
    <w:p>
      <w:pPr>
        <w:spacing w:after="400"/>
        <w:jc w:val="center"/>
      </w:pPr>
      <w:r>
        <w:rPr>
          <w:color w:val="647591"/>
          <w:sz w:val="24"/>
          <w:szCs w:val="24"/>
        </w:rPr>
        <w:t xml:space="preserve">An India-first, audit-grade Laboratory Information Management System</w:t>
      </w:r>
    </w:p>
    <w:p>
      <w:pPr>
        <w:spacing w:after="80"/>
        <w:jc w:val="center"/>
      </w:pPr>
      <w:r>
        <w:rPr>
          <w:b/>
          <w:bCs/>
          <w:color w:val="1F63C9"/>
          <w:sz w:val="30"/>
          <w:szCs w:val="30"/>
        </w:rPr>
        <w:t xml:space="preserve">Implementation Report</w:t>
      </w:r>
    </w:p>
    <w:p>
      <w:pPr>
        <w:spacing w:after="900"/>
        <w:jc w:val="center"/>
      </w:pPr>
      <w:r>
        <w:rPr>
          <w:color w:val="647591"/>
          <w:sz w:val="20"/>
          <w:szCs w:val="20"/>
        </w:rPr>
        <w:t xml:space="preserve">Foundation release v0.1  ·  2 August 2026</w:t>
      </w:r>
    </w:p>
    <w:p>
      <w:pPr>
        <w:spacing w:after="60"/>
        <w:jc w:val="center"/>
      </w:pPr>
      <w:r>
        <w:rPr>
          <w:color w:val="333A47"/>
          <w:sz w:val="20"/>
          <w:szCs w:val="20"/>
        </w:rPr>
        <w:t xml:space="preserve">Beachhead vertical: Diagnostics / Pathology</w:t>
      </w:r>
    </w:p>
    <w:p>
      <w:pPr>
        <w:spacing w:after="600"/>
        <w:jc w:val="center"/>
      </w:pPr>
      <w:r>
        <w:rPr>
          <w:color w:val="647591"/>
          <w:sz w:val="20"/>
          <w:szCs w:val="20"/>
        </w:rPr>
        <w:t xml:space="preserve">Phase two: Mid-size pharmaceutical QC</w:t>
      </w:r>
    </w:p>
    <w:p>
      <w:pPr>
        <w:jc w:val="center"/>
      </w:pPr>
      <w:r>
        <w:rPr>
          <w:i/>
          <w:iCs/>
          <w:color w:val="647591"/>
          <w:sz w:val="18"/>
          <w:szCs w:val="18"/>
        </w:rPr>
        <w:t xml:space="preserve">Built against the market analysis in "LabWare &amp; The LIMS Opportunity in India"</w:t>
      </w:r>
    </w:p>
    <w:p>
      <w:r>
        <w:br w:type="page"/>
      </w:r>
    </w:p>
    <w:p>
      <w:pPr>
        <w:pStyle w:val="Heading1"/>
        <w:spacing w:after="160" w:before="360"/>
      </w:pPr>
      <w:r>
        <w:rPr>
          <w:b/>
          <w:bCs/>
          <w:color w:val="21252E"/>
          <w:sz w:val="32"/>
          <w:szCs w:val="32"/>
        </w:rPr>
        <w:t xml:space="preserve">1. Executive Summary</w:t>
      </w:r>
    </w:p>
    <w:p>
      <w:pPr>
        <w:spacing w:after="120" w:line="276"/>
      </w:pPr>
      <w:r>
        <w:rPr>
          <w:color w:val="333A47"/>
          <w:sz w:val="21"/>
          <w:szCs w:val="21"/>
        </w:rPr>
        <w:t xml:space="preserve">LabSetu is a working, containerised, TLS-secured Laboratory Information Management System built for the </w:t>
      </w:r>
      <w:r>
        <w:rPr>
          <w:b/>
          <w:bCs/>
          <w:color w:val="21252E"/>
          <w:sz w:val="21"/>
          <w:szCs w:val="21"/>
        </w:rPr>
        <w:t xml:space="preserve">"missing middle"</w:t>
      </w:r>
      <w:r>
        <w:rPr>
          <w:color w:val="333A47"/>
          <w:sz w:val="21"/>
          <w:szCs w:val="21"/>
        </w:rPr>
        <w:t xml:space="preserve"> identified in the market report: mid-sized Indian diagnostic labs that have outgrown spreadsheets but are priced out of LabWare, Thermo Fisher and LabVantage, and underserved by diagnostics-only Indian tools that lack regulation-grade depth.</w:t>
      </w:r>
    </w:p>
    <w:p>
      <w:pPr>
        <w:spacing w:after="140"/>
      </w:pPr>
    </w:p>
    <w:p>
      <w:pPr>
        <w:pStyle w:val="Heading3"/>
        <w:spacing w:after="100" w:before="200"/>
      </w:pPr>
      <w:r>
        <w:rPr>
          <w:b/>
          <w:bCs/>
          <w:color w:val="1F63C9"/>
          <w:sz w:val="22"/>
          <w:szCs w:val="22"/>
        </w:rPr>
        <w:t xml:space="preserve">What is being sold</w:t>
      </w:r>
    </w:p>
    <w:p>
      <w:pPr>
        <w:spacing w:after="120" w:line="276"/>
      </w:pPr>
      <w:r>
        <w:rPr>
          <w:color w:val="333A47"/>
          <w:sz w:val="21"/>
          <w:szCs w:val="21"/>
        </w:rPr>
        <w:t xml:space="preserve">Not digitisation. The report (§11.1) documented staff at NABL-accredited laboratories describing the backdating of quality-control logs before inspections. The product claim is narrower and more defensible:</w:t>
      </w:r>
    </w:p>
    <w:p>
      <w:pPr>
        <w:pBdr>
          <w:left w:val="single" w:color="1F63C9" w:sz="12" w:space="12"/>
        </w:pBdr>
        <w:spacing w:after="160" w:before="100"/>
        <w:ind w:left="431"/>
      </w:pPr>
      <w:r>
        <w:rPr>
          <w:i/>
          <w:iCs/>
          <w:color w:val="21252E"/>
          <w:sz w:val="21"/>
          <w:szCs w:val="21"/>
        </w:rPr>
        <w:t xml:space="preserve">The time a record was created is assigned by the server, forms part of a tamper-evident hash chain, and cannot be set, edited or deleted by any user — including a tenant administrator.</w:t>
      </w:r>
    </w:p>
    <w:p>
      <w:pPr>
        <w:spacing w:after="120" w:line="276"/>
      </w:pPr>
      <w:r>
        <w:rPr>
          <w:color w:val="333A47"/>
          <w:sz w:val="21"/>
          <w:szCs w:val="21"/>
        </w:rPr>
        <w:t xml:space="preserve">Every architectural decision in this report exists to make that claim true and demonstrable.</w:t>
      </w:r>
    </w:p>
    <w:p>
      <w:pPr>
        <w:spacing w:after="140"/>
      </w:pPr>
    </w:p>
    <w:p>
      <w:pPr>
        <w:pStyle w:val="Heading3"/>
        <w:spacing w:after="100" w:before="200"/>
      </w:pPr>
      <w:r>
        <w:rPr>
          <w:b/>
          <w:bCs/>
          <w:color w:val="1F63C9"/>
          <w:sz w:val="22"/>
          <w:szCs w:val="22"/>
        </w:rPr>
        <w:t xml:space="preserve">Status at a glance</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40%"/>
            <w:shd w:fill="F4F6F8" w:val="clear"/>
            <w:tcMar>
              <w:top w:type="dxa" w:w="90"/>
              <w:left w:type="dxa" w:w="130"/>
              <w:bottom w:type="dxa" w:w="90"/>
              <w:right w:type="dxa" w:w="130"/>
            </w:tcMar>
          </w:tcPr>
          <w:p>
            <w:pPr>
              <w:spacing w:after="0"/>
            </w:pPr>
            <w:r>
              <w:rPr>
                <w:b/>
                <w:bCs/>
                <w:color w:val="21252E"/>
                <w:sz w:val="18"/>
                <w:szCs w:val="18"/>
              </w:rPr>
              <w:t xml:space="preserve">Dimension</w:t>
            </w:r>
          </w:p>
        </w:tc>
        <w:tc>
          <w:tcPr>
            <w:tcW w:type="pct" w:w="60%"/>
            <w:shd w:fill="F4F6F8" w:val="clear"/>
            <w:tcMar>
              <w:top w:type="dxa" w:w="90"/>
              <w:left w:type="dxa" w:w="130"/>
              <w:bottom w:type="dxa" w:w="90"/>
              <w:right w:type="dxa" w:w="130"/>
            </w:tcMar>
          </w:tcPr>
          <w:p>
            <w:pPr>
              <w:spacing w:after="0"/>
            </w:pPr>
            <w:r>
              <w:rPr>
                <w:b/>
                <w:bCs/>
                <w:color w:val="21252E"/>
                <w:sz w:val="18"/>
                <w:szCs w:val="18"/>
              </w:rPr>
              <w:t xml:space="preserve">Status</w:t>
            </w:r>
          </w:p>
        </w:tc>
      </w:tr>
      <w:tr>
        <w:tc>
          <w:tcPr>
            <w:tcW w:type="pct" w:w="40%"/>
            <w:tcMar>
              <w:top w:type="dxa" w:w="90"/>
              <w:left w:type="dxa" w:w="130"/>
              <w:bottom w:type="dxa" w:w="90"/>
              <w:right w:type="dxa" w:w="130"/>
            </w:tcMar>
          </w:tcPr>
          <w:p>
            <w:pPr>
              <w:spacing w:after="0"/>
            </w:pPr>
            <w:r>
              <w:rPr>
                <w:color w:val="333A47"/>
                <w:sz w:val="19"/>
                <w:szCs w:val="19"/>
              </w:rPr>
              <w:t xml:space="preserve">Core clinical workflow</w:t>
            </w:r>
          </w:p>
        </w:tc>
        <w:tc>
          <w:tcPr>
            <w:tcW w:type="pct" w:w="60%"/>
            <w:tcMar>
              <w:top w:type="dxa" w:w="90"/>
              <w:left w:type="dxa" w:w="130"/>
              <w:bottom w:type="dxa" w:w="90"/>
              <w:right w:type="dxa" w:w="130"/>
            </w:tcMar>
          </w:tcPr>
          <w:p>
            <w:pPr>
              <w:spacing w:after="0"/>
            </w:pPr>
            <w:r>
              <w:rPr>
                <w:b/>
                <w:bCs/>
                <w:color w:val="15803D"/>
                <w:sz w:val="19"/>
                <w:szCs w:val="19"/>
              </w:rPr>
              <w:t xml:space="preserve">Complete and verified</w:t>
            </w:r>
          </w:p>
        </w:tc>
      </w:tr>
      <w:tr>
        <w:tc>
          <w:tcPr>
            <w:tcW w:type="pct" w:w="40%"/>
            <w:tcMar>
              <w:top w:type="dxa" w:w="90"/>
              <w:left w:type="dxa" w:w="130"/>
              <w:bottom w:type="dxa" w:w="90"/>
              <w:right w:type="dxa" w:w="130"/>
            </w:tcMar>
          </w:tcPr>
          <w:p>
            <w:pPr>
              <w:spacing w:after="0"/>
            </w:pPr>
            <w:r>
              <w:rPr>
                <w:color w:val="333A47"/>
                <w:sz w:val="19"/>
                <w:szCs w:val="19"/>
              </w:rPr>
              <w:t xml:space="preserve">Automated verification</w:t>
            </w:r>
          </w:p>
        </w:tc>
        <w:tc>
          <w:tcPr>
            <w:tcW w:type="pct" w:w="60%"/>
            <w:tcMar>
              <w:top w:type="dxa" w:w="90"/>
              <w:left w:type="dxa" w:w="130"/>
              <w:bottom w:type="dxa" w:w="90"/>
              <w:right w:type="dxa" w:w="130"/>
            </w:tcMar>
          </w:tcPr>
          <w:p>
            <w:pPr>
              <w:spacing w:after="0"/>
            </w:pPr>
            <w:r>
              <w:rPr>
                <w:b/>
                <w:bCs/>
                <w:color w:val="15803D"/>
                <w:sz w:val="19"/>
                <w:szCs w:val="19"/>
              </w:rPr>
              <w:t xml:space="preserve">248 checks across 7 suites, all passing</w:t>
            </w:r>
          </w:p>
        </w:tc>
      </w:tr>
      <w:tr>
        <w:tc>
          <w:tcPr>
            <w:tcW w:type="pct" w:w="40%"/>
            <w:tcMar>
              <w:top w:type="dxa" w:w="90"/>
              <w:left w:type="dxa" w:w="130"/>
              <w:bottom w:type="dxa" w:w="90"/>
              <w:right w:type="dxa" w:w="130"/>
            </w:tcMar>
          </w:tcPr>
          <w:p>
            <w:pPr>
              <w:spacing w:after="0"/>
            </w:pPr>
            <w:r>
              <w:rPr>
                <w:color w:val="333A47"/>
                <w:sz w:val="19"/>
                <w:szCs w:val="19"/>
              </w:rPr>
              <w:t xml:space="preserve">Type safety</w:t>
            </w:r>
          </w:p>
        </w:tc>
        <w:tc>
          <w:tcPr>
            <w:tcW w:type="pct" w:w="60%"/>
            <w:tcMar>
              <w:top w:type="dxa" w:w="90"/>
              <w:left w:type="dxa" w:w="130"/>
              <w:bottom w:type="dxa" w:w="90"/>
              <w:right w:type="dxa" w:w="130"/>
            </w:tcMar>
          </w:tcPr>
          <w:p>
            <w:pPr>
              <w:spacing w:after="0"/>
            </w:pPr>
            <w:r>
              <w:rPr>
                <w:b/>
                <w:bCs/>
                <w:color w:val="15803D"/>
                <w:sz w:val="19"/>
                <w:szCs w:val="19"/>
              </w:rPr>
              <w:t xml:space="preserve">6 workspaces, 0 errors</w:t>
            </w:r>
          </w:p>
        </w:tc>
      </w:tr>
      <w:tr>
        <w:tc>
          <w:tcPr>
            <w:tcW w:type="pct" w:w="40%"/>
            <w:tcMar>
              <w:top w:type="dxa" w:w="90"/>
              <w:left w:type="dxa" w:w="130"/>
              <w:bottom w:type="dxa" w:w="90"/>
              <w:right w:type="dxa" w:w="130"/>
            </w:tcMar>
          </w:tcPr>
          <w:p>
            <w:pPr>
              <w:spacing w:after="0"/>
            </w:pPr>
            <w:r>
              <w:rPr>
                <w:color w:val="333A47"/>
                <w:sz w:val="19"/>
                <w:szCs w:val="19"/>
              </w:rPr>
              <w:t xml:space="preserve">Hosting</w:t>
            </w:r>
          </w:p>
        </w:tc>
        <w:tc>
          <w:tcPr>
            <w:tcW w:type="pct" w:w="60%"/>
            <w:tcMar>
              <w:top w:type="dxa" w:w="90"/>
              <w:left w:type="dxa" w:w="130"/>
              <w:bottom w:type="dxa" w:w="90"/>
              <w:right w:type="dxa" w:w="130"/>
            </w:tcMar>
          </w:tcPr>
          <w:p>
            <w:pPr>
              <w:spacing w:after="0"/>
            </w:pPr>
            <w:r>
              <w:rPr>
                <w:b/>
                <w:bCs/>
                <w:color w:val="15803D"/>
                <w:sz w:val="19"/>
                <w:szCs w:val="19"/>
              </w:rPr>
              <w:t xml:space="preserve">Containerised, HTTPS, hardened, running</w:t>
            </w:r>
          </w:p>
        </w:tc>
      </w:tr>
      <w:tr>
        <w:tc>
          <w:tcPr>
            <w:tcW w:type="pct" w:w="40%"/>
            <w:tcMar>
              <w:top w:type="dxa" w:w="90"/>
              <w:left w:type="dxa" w:w="130"/>
              <w:bottom w:type="dxa" w:w="90"/>
              <w:right w:type="dxa" w:w="130"/>
            </w:tcMar>
          </w:tcPr>
          <w:p>
            <w:pPr>
              <w:spacing w:after="0"/>
            </w:pPr>
            <w:r>
              <w:rPr>
                <w:color w:val="333A47"/>
                <w:sz w:val="19"/>
                <w:szCs w:val="19"/>
              </w:rPr>
              <w:t xml:space="preserve">Mobile / responsive</w:t>
            </w:r>
          </w:p>
        </w:tc>
        <w:tc>
          <w:tcPr>
            <w:tcW w:type="pct" w:w="60%"/>
            <w:tcMar>
              <w:top w:type="dxa" w:w="90"/>
              <w:left w:type="dxa" w:w="130"/>
              <w:bottom w:type="dxa" w:w="90"/>
              <w:right w:type="dxa" w:w="130"/>
            </w:tcMar>
          </w:tcPr>
          <w:p>
            <w:pPr>
              <w:spacing w:after="0"/>
            </w:pPr>
            <w:r>
              <w:rPr>
                <w:b/>
                <w:bCs/>
                <w:color w:val="15803D"/>
                <w:sz w:val="19"/>
                <w:szCs w:val="19"/>
              </w:rPr>
              <w:t xml:space="preserve">Verified 320px → desktop, incl. landscape and 200% zoom</w:t>
            </w:r>
          </w:p>
        </w:tc>
      </w:tr>
      <w:tr>
        <w:tc>
          <w:tcPr>
            <w:tcW w:type="pct" w:w="40%"/>
            <w:tcMar>
              <w:top w:type="dxa" w:w="90"/>
              <w:left w:type="dxa" w:w="130"/>
              <w:bottom w:type="dxa" w:w="90"/>
              <w:right w:type="dxa" w:w="130"/>
            </w:tcMar>
          </w:tcPr>
          <w:p>
            <w:pPr>
              <w:spacing w:after="0"/>
            </w:pPr>
            <w:r>
              <w:rPr>
                <w:color w:val="333A47"/>
                <w:sz w:val="19"/>
                <w:szCs w:val="19"/>
              </w:rPr>
              <w:t xml:space="preserve">Requirements coverage</w:t>
            </w:r>
          </w:p>
        </w:tc>
        <w:tc>
          <w:tcPr>
            <w:tcW w:type="pct" w:w="60%"/>
            <w:tcMar>
              <w:top w:type="dxa" w:w="90"/>
              <w:left w:type="dxa" w:w="130"/>
              <w:bottom w:type="dxa" w:w="90"/>
              <w:right w:type="dxa" w:w="130"/>
            </w:tcMar>
          </w:tcPr>
          <w:p>
            <w:pPr>
              <w:spacing w:after="0"/>
            </w:pPr>
            <w:r>
              <w:rPr>
                <w:b/>
                <w:bCs/>
                <w:color w:val="A16207"/>
                <w:sz w:val="19"/>
                <w:szCs w:val="19"/>
              </w:rPr>
              <w:t xml:space="preserve">18 built · 2 partial · 6 gaps · 5 deferred</w:t>
            </w:r>
          </w:p>
        </w:tc>
      </w:tr>
      <w:tr>
        <w:tc>
          <w:tcPr>
            <w:tcW w:type="pct" w:w="40%"/>
            <w:tcMar>
              <w:top w:type="dxa" w:w="90"/>
              <w:left w:type="dxa" w:w="130"/>
              <w:bottom w:type="dxa" w:w="90"/>
              <w:right w:type="dxa" w:w="130"/>
            </w:tcMar>
          </w:tcPr>
          <w:p>
            <w:pPr>
              <w:spacing w:after="0"/>
            </w:pPr>
            <w:r>
              <w:rPr>
                <w:color w:val="333A47"/>
                <w:sz w:val="19"/>
                <w:szCs w:val="19"/>
              </w:rPr>
              <w:t xml:space="preserve">Ready for a demonstration</w:t>
            </w:r>
          </w:p>
        </w:tc>
        <w:tc>
          <w:tcPr>
            <w:tcW w:type="pct" w:w="60%"/>
            <w:tcMar>
              <w:top w:type="dxa" w:w="90"/>
              <w:left w:type="dxa" w:w="130"/>
              <w:bottom w:type="dxa" w:w="90"/>
              <w:right w:type="dxa" w:w="130"/>
            </w:tcMar>
          </w:tcPr>
          <w:p>
            <w:pPr>
              <w:spacing w:after="0"/>
            </w:pPr>
            <w:r>
              <w:rPr>
                <w:b/>
                <w:bCs/>
                <w:color w:val="15803D"/>
                <w:sz w:val="19"/>
                <w:szCs w:val="19"/>
              </w:rPr>
              <w:t xml:space="preserve">Yes</w:t>
            </w:r>
          </w:p>
        </w:tc>
      </w:tr>
      <w:tr>
        <w:tc>
          <w:tcPr>
            <w:tcW w:type="pct" w:w="40%"/>
            <w:tcMar>
              <w:top w:type="dxa" w:w="90"/>
              <w:left w:type="dxa" w:w="130"/>
              <w:bottom w:type="dxa" w:w="90"/>
              <w:right w:type="dxa" w:w="130"/>
            </w:tcMar>
          </w:tcPr>
          <w:p>
            <w:pPr>
              <w:spacing w:after="0"/>
            </w:pPr>
            <w:r>
              <w:rPr>
                <w:color w:val="333A47"/>
                <w:sz w:val="19"/>
                <w:szCs w:val="19"/>
              </w:rPr>
              <w:t xml:space="preserve">Ready for real patient data</w:t>
            </w:r>
          </w:p>
        </w:tc>
        <w:tc>
          <w:tcPr>
            <w:tcW w:type="pct" w:w="60%"/>
            <w:tcMar>
              <w:top w:type="dxa" w:w="90"/>
              <w:left w:type="dxa" w:w="130"/>
              <w:bottom w:type="dxa" w:w="90"/>
              <w:right w:type="dxa" w:w="130"/>
            </w:tcMar>
          </w:tcPr>
          <w:p>
            <w:pPr>
              <w:spacing w:after="0"/>
            </w:pPr>
            <w:r>
              <w:rPr>
                <w:b/>
                <w:bCs/>
                <w:color w:val="B91C1C"/>
                <w:sz w:val="19"/>
                <w:szCs w:val="19"/>
              </w:rPr>
              <w:t xml:space="preserve">No — four blockers (§10)</w:t>
            </w:r>
          </w:p>
        </w:tc>
      </w:tr>
    </w:tbl>
    <w:p>
      <w:pPr>
        <w:spacing w:after="140"/>
      </w:pPr>
    </w:p>
    <w:p>
      <w:pPr>
        <w:pStyle w:val="Heading3"/>
        <w:spacing w:after="100" w:before="200"/>
      </w:pPr>
      <w:r>
        <w:rPr>
          <w:b/>
          <w:bCs/>
          <w:color w:val="1F63C9"/>
          <w:sz w:val="22"/>
          <w:szCs w:val="22"/>
        </w:rPr>
        <w:t xml:space="preserve">Scale of the implementation</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60%"/>
            <w:shd w:fill="F4F6F8" w:val="clear"/>
            <w:tcMar>
              <w:top w:type="dxa" w:w="90"/>
              <w:left w:type="dxa" w:w="130"/>
              <w:bottom w:type="dxa" w:w="90"/>
              <w:right w:type="dxa" w:w="130"/>
            </w:tcMar>
          </w:tcPr>
          <w:p>
            <w:pPr>
              <w:spacing w:after="0"/>
            </w:pPr>
            <w:r>
              <w:rPr>
                <w:b/>
                <w:bCs/>
                <w:color w:val="21252E"/>
                <w:sz w:val="18"/>
                <w:szCs w:val="18"/>
              </w:rPr>
              <w:t xml:space="preserve">Metric</w:t>
            </w:r>
          </w:p>
        </w:tc>
        <w:tc>
          <w:tcPr>
            <w:tcW w:type="pct" w:w="40%"/>
            <w:shd w:fill="F4F6F8" w:val="clear"/>
            <w:tcMar>
              <w:top w:type="dxa" w:w="90"/>
              <w:left w:type="dxa" w:w="130"/>
              <w:bottom w:type="dxa" w:w="90"/>
              <w:right w:type="dxa" w:w="130"/>
            </w:tcMar>
          </w:tcPr>
          <w:p>
            <w:pPr>
              <w:spacing w:after="0"/>
            </w:pPr>
            <w:r>
              <w:rPr>
                <w:b/>
                <w:bCs/>
                <w:color w:val="21252E"/>
                <w:sz w:val="18"/>
                <w:szCs w:val="18"/>
              </w:rPr>
              <w:t xml:space="preserve">Count</w:t>
            </w:r>
          </w:p>
        </w:tc>
      </w:tr>
      <w:tr>
        <w:tc>
          <w:tcPr>
            <w:tcW w:type="pct" w:w="60%"/>
            <w:tcMar>
              <w:top w:type="dxa" w:w="90"/>
              <w:left w:type="dxa" w:w="130"/>
              <w:bottom w:type="dxa" w:w="90"/>
              <w:right w:type="dxa" w:w="130"/>
            </w:tcMar>
          </w:tcPr>
          <w:p>
            <w:pPr>
              <w:spacing w:after="0"/>
            </w:pPr>
            <w:r>
              <w:rPr>
                <w:color w:val="333A47"/>
                <w:sz w:val="19"/>
                <w:szCs w:val="19"/>
              </w:rPr>
              <w:t xml:space="preserve">Source files</w:t>
            </w:r>
          </w:p>
        </w:tc>
        <w:tc>
          <w:tcPr>
            <w:tcW w:type="pct" w:w="40%"/>
            <w:tcMar>
              <w:top w:type="dxa" w:w="90"/>
              <w:left w:type="dxa" w:w="130"/>
              <w:bottom w:type="dxa" w:w="90"/>
              <w:right w:type="dxa" w:w="130"/>
            </w:tcMar>
          </w:tcPr>
          <w:p>
            <w:pPr>
              <w:spacing w:after="0"/>
            </w:pPr>
            <w:r>
              <w:rPr>
                <w:color w:val="333A47"/>
                <w:sz w:val="19"/>
                <w:szCs w:val="19"/>
              </w:rPr>
              <w:t xml:space="preserve">115</w:t>
            </w:r>
          </w:p>
        </w:tc>
      </w:tr>
      <w:tr>
        <w:tc>
          <w:tcPr>
            <w:tcW w:type="pct" w:w="60%"/>
            <w:tcMar>
              <w:top w:type="dxa" w:w="90"/>
              <w:left w:type="dxa" w:w="130"/>
              <w:bottom w:type="dxa" w:w="90"/>
              <w:right w:type="dxa" w:w="130"/>
            </w:tcMar>
          </w:tcPr>
          <w:p>
            <w:pPr>
              <w:spacing w:after="0"/>
            </w:pPr>
            <w:r>
              <w:rPr>
                <w:color w:val="333A47"/>
                <w:sz w:val="19"/>
                <w:szCs w:val="19"/>
              </w:rPr>
              <w:t xml:space="preserve">Lines of code</w:t>
            </w:r>
          </w:p>
        </w:tc>
        <w:tc>
          <w:tcPr>
            <w:tcW w:type="pct" w:w="40%"/>
            <w:tcMar>
              <w:top w:type="dxa" w:w="90"/>
              <w:left w:type="dxa" w:w="130"/>
              <w:bottom w:type="dxa" w:w="90"/>
              <w:right w:type="dxa" w:w="130"/>
            </w:tcMar>
          </w:tcPr>
          <w:p>
            <w:pPr>
              <w:spacing w:after="0"/>
            </w:pPr>
            <w:r>
              <w:rPr>
                <w:color w:val="333A47"/>
                <w:sz w:val="19"/>
                <w:szCs w:val="19"/>
              </w:rPr>
              <w:t xml:space="preserve">23,133</w:t>
            </w:r>
          </w:p>
        </w:tc>
      </w:tr>
      <w:tr>
        <w:tc>
          <w:tcPr>
            <w:tcW w:type="pct" w:w="60%"/>
            <w:tcMar>
              <w:top w:type="dxa" w:w="90"/>
              <w:left w:type="dxa" w:w="130"/>
              <w:bottom w:type="dxa" w:w="90"/>
              <w:right w:type="dxa" w:w="130"/>
            </w:tcMar>
          </w:tcPr>
          <w:p>
            <w:pPr>
              <w:spacing w:after="0"/>
            </w:pPr>
            <w:r>
              <w:rPr>
                <w:color w:val="333A47"/>
                <w:sz w:val="19"/>
                <w:szCs w:val="19"/>
              </w:rPr>
              <w:t xml:space="preserve">Documentation files</w:t>
            </w:r>
          </w:p>
        </w:tc>
        <w:tc>
          <w:tcPr>
            <w:tcW w:type="pct" w:w="40%"/>
            <w:tcMar>
              <w:top w:type="dxa" w:w="90"/>
              <w:left w:type="dxa" w:w="130"/>
              <w:bottom w:type="dxa" w:w="90"/>
              <w:right w:type="dxa" w:w="130"/>
            </w:tcMar>
          </w:tcPr>
          <w:p>
            <w:pPr>
              <w:spacing w:after="0"/>
            </w:pPr>
            <w:r>
              <w:rPr>
                <w:color w:val="333A47"/>
                <w:sz w:val="19"/>
                <w:szCs w:val="19"/>
              </w:rPr>
              <w:t xml:space="preserve">13 (1,893 lines)</w:t>
            </w:r>
          </w:p>
        </w:tc>
      </w:tr>
      <w:tr>
        <w:tc>
          <w:tcPr>
            <w:tcW w:type="pct" w:w="60%"/>
            <w:tcMar>
              <w:top w:type="dxa" w:w="90"/>
              <w:left w:type="dxa" w:w="130"/>
              <w:bottom w:type="dxa" w:w="90"/>
              <w:right w:type="dxa" w:w="130"/>
            </w:tcMar>
          </w:tcPr>
          <w:p>
            <w:pPr>
              <w:spacing w:after="0"/>
            </w:pPr>
            <w:r>
              <w:rPr>
                <w:color w:val="333A47"/>
                <w:sz w:val="19"/>
                <w:szCs w:val="19"/>
              </w:rPr>
              <w:t xml:space="preserve">Database models</w:t>
            </w:r>
          </w:p>
        </w:tc>
        <w:tc>
          <w:tcPr>
            <w:tcW w:type="pct" w:w="40%"/>
            <w:tcMar>
              <w:top w:type="dxa" w:w="90"/>
              <w:left w:type="dxa" w:w="130"/>
              <w:bottom w:type="dxa" w:w="90"/>
              <w:right w:type="dxa" w:w="130"/>
            </w:tcMar>
          </w:tcPr>
          <w:p>
            <w:pPr>
              <w:spacing w:after="0"/>
            </w:pPr>
            <w:r>
              <w:rPr>
                <w:color w:val="333A47"/>
                <w:sz w:val="19"/>
                <w:szCs w:val="19"/>
              </w:rPr>
              <w:t xml:space="preserve">47</w:t>
            </w:r>
          </w:p>
        </w:tc>
      </w:tr>
      <w:tr>
        <w:tc>
          <w:tcPr>
            <w:tcW w:type="pct" w:w="60%"/>
            <w:tcMar>
              <w:top w:type="dxa" w:w="90"/>
              <w:left w:type="dxa" w:w="130"/>
              <w:bottom w:type="dxa" w:w="90"/>
              <w:right w:type="dxa" w:w="130"/>
            </w:tcMar>
          </w:tcPr>
          <w:p>
            <w:pPr>
              <w:spacing w:after="0"/>
            </w:pPr>
            <w:r>
              <w:rPr>
                <w:color w:val="333A47"/>
                <w:sz w:val="19"/>
                <w:szCs w:val="19"/>
              </w:rPr>
              <w:t xml:space="preserve">Database enums</w:t>
            </w:r>
          </w:p>
        </w:tc>
        <w:tc>
          <w:tcPr>
            <w:tcW w:type="pct" w:w="40%"/>
            <w:tcMar>
              <w:top w:type="dxa" w:w="90"/>
              <w:left w:type="dxa" w:w="130"/>
              <w:bottom w:type="dxa" w:w="90"/>
              <w:right w:type="dxa" w:w="130"/>
            </w:tcMar>
          </w:tcPr>
          <w:p>
            <w:pPr>
              <w:spacing w:after="0"/>
            </w:pPr>
            <w:r>
              <w:rPr>
                <w:color w:val="333A47"/>
                <w:sz w:val="19"/>
                <w:szCs w:val="19"/>
              </w:rPr>
              <w:t xml:space="preserve">28</w:t>
            </w:r>
          </w:p>
        </w:tc>
      </w:tr>
      <w:tr>
        <w:tc>
          <w:tcPr>
            <w:tcW w:type="pct" w:w="60%"/>
            <w:tcMar>
              <w:top w:type="dxa" w:w="90"/>
              <w:left w:type="dxa" w:w="130"/>
              <w:bottom w:type="dxa" w:w="90"/>
              <w:right w:type="dxa" w:w="130"/>
            </w:tcMar>
          </w:tcPr>
          <w:p>
            <w:pPr>
              <w:spacing w:after="0"/>
            </w:pPr>
            <w:r>
              <w:rPr>
                <w:color w:val="333A47"/>
                <w:sz w:val="19"/>
                <w:szCs w:val="19"/>
              </w:rPr>
              <w:t xml:space="preserve">API endpoints</w:t>
            </w:r>
          </w:p>
        </w:tc>
        <w:tc>
          <w:tcPr>
            <w:tcW w:type="pct" w:w="40%"/>
            <w:tcMar>
              <w:top w:type="dxa" w:w="90"/>
              <w:left w:type="dxa" w:w="130"/>
              <w:bottom w:type="dxa" w:w="90"/>
              <w:right w:type="dxa" w:w="130"/>
            </w:tcMar>
          </w:tcPr>
          <w:p>
            <w:pPr>
              <w:spacing w:after="0"/>
            </w:pPr>
            <w:r>
              <w:rPr>
                <w:color w:val="333A47"/>
                <w:sz w:val="19"/>
                <w:szCs w:val="19"/>
              </w:rPr>
              <w:t xml:space="preserve">53</w:t>
            </w:r>
          </w:p>
        </w:tc>
      </w:tr>
      <w:tr>
        <w:tc>
          <w:tcPr>
            <w:tcW w:type="pct" w:w="60%"/>
            <w:tcMar>
              <w:top w:type="dxa" w:w="90"/>
              <w:left w:type="dxa" w:w="130"/>
              <w:bottom w:type="dxa" w:w="90"/>
              <w:right w:type="dxa" w:w="130"/>
            </w:tcMar>
          </w:tcPr>
          <w:p>
            <w:pPr>
              <w:spacing w:after="0"/>
            </w:pPr>
            <w:r>
              <w:rPr>
                <w:color w:val="333A47"/>
                <w:sz w:val="19"/>
                <w:szCs w:val="19"/>
              </w:rPr>
              <w:t xml:space="preserve">Web screens</w:t>
            </w:r>
          </w:p>
        </w:tc>
        <w:tc>
          <w:tcPr>
            <w:tcW w:type="pct" w:w="40%"/>
            <w:tcMar>
              <w:top w:type="dxa" w:w="90"/>
              <w:left w:type="dxa" w:w="130"/>
              <w:bottom w:type="dxa" w:w="90"/>
              <w:right w:type="dxa" w:w="130"/>
            </w:tcMar>
          </w:tcPr>
          <w:p>
            <w:pPr>
              <w:spacing w:after="0"/>
            </w:pPr>
            <w:r>
              <w:rPr>
                <w:color w:val="333A47"/>
                <w:sz w:val="19"/>
                <w:szCs w:val="19"/>
              </w:rPr>
              <w:t xml:space="preserve">11</w:t>
            </w:r>
          </w:p>
        </w:tc>
      </w:tr>
      <w:tr>
        <w:tc>
          <w:tcPr>
            <w:tcW w:type="pct" w:w="60%"/>
            <w:tcMar>
              <w:top w:type="dxa" w:w="90"/>
              <w:left w:type="dxa" w:w="130"/>
              <w:bottom w:type="dxa" w:w="90"/>
              <w:right w:type="dxa" w:w="130"/>
            </w:tcMar>
          </w:tcPr>
          <w:p>
            <w:pPr>
              <w:spacing w:after="0"/>
            </w:pPr>
            <w:r>
              <w:rPr>
                <w:color w:val="333A47"/>
                <w:sz w:val="19"/>
                <w:szCs w:val="19"/>
              </w:rPr>
              <w:t xml:space="preserve">Architecture Decision Records</w:t>
            </w:r>
          </w:p>
        </w:tc>
        <w:tc>
          <w:tcPr>
            <w:tcW w:type="pct" w:w="40%"/>
            <w:tcMar>
              <w:top w:type="dxa" w:w="90"/>
              <w:left w:type="dxa" w:w="130"/>
              <w:bottom w:type="dxa" w:w="90"/>
              <w:right w:type="dxa" w:w="130"/>
            </w:tcMar>
          </w:tcPr>
          <w:p>
            <w:pPr>
              <w:spacing w:after="0"/>
            </w:pPr>
            <w:r>
              <w:rPr>
                <w:color w:val="333A47"/>
                <w:sz w:val="19"/>
                <w:szCs w:val="19"/>
              </w:rPr>
              <w:t xml:space="preserve">5</w:t>
            </w:r>
          </w:p>
        </w:tc>
      </w:tr>
      <w:tr>
        <w:tc>
          <w:tcPr>
            <w:tcW w:type="pct" w:w="60%"/>
            <w:tcMar>
              <w:top w:type="dxa" w:w="90"/>
              <w:left w:type="dxa" w:w="130"/>
              <w:bottom w:type="dxa" w:w="90"/>
              <w:right w:type="dxa" w:w="130"/>
            </w:tcMar>
          </w:tcPr>
          <w:p>
            <w:pPr>
              <w:spacing w:after="0"/>
            </w:pPr>
            <w:r>
              <w:rPr>
                <w:color w:val="333A47"/>
                <w:sz w:val="19"/>
                <w:szCs w:val="19"/>
              </w:rPr>
              <w:t xml:space="preserve">Permission definitions</w:t>
            </w:r>
          </w:p>
        </w:tc>
        <w:tc>
          <w:tcPr>
            <w:tcW w:type="pct" w:w="40%"/>
            <w:tcMar>
              <w:top w:type="dxa" w:w="90"/>
              <w:left w:type="dxa" w:w="130"/>
              <w:bottom w:type="dxa" w:w="90"/>
              <w:right w:type="dxa" w:w="130"/>
            </w:tcMar>
          </w:tcPr>
          <w:p>
            <w:pPr>
              <w:spacing w:after="0"/>
            </w:pPr>
            <w:r>
              <w:rPr>
                <w:color w:val="333A47"/>
                <w:sz w:val="19"/>
                <w:szCs w:val="19"/>
              </w:rPr>
              <w:t xml:space="preserve">47</w:t>
            </w:r>
          </w:p>
        </w:tc>
      </w:tr>
      <w:tr>
        <w:tc>
          <w:tcPr>
            <w:tcW w:type="pct" w:w="60%"/>
            <w:tcMar>
              <w:top w:type="dxa" w:w="90"/>
              <w:left w:type="dxa" w:w="130"/>
              <w:bottom w:type="dxa" w:w="90"/>
              <w:right w:type="dxa" w:w="130"/>
            </w:tcMar>
          </w:tcPr>
          <w:p>
            <w:pPr>
              <w:spacing w:after="0"/>
            </w:pPr>
            <w:r>
              <w:rPr>
                <w:color w:val="333A47"/>
                <w:sz w:val="19"/>
                <w:szCs w:val="19"/>
              </w:rPr>
              <w:t xml:space="preserve">Default roles</w:t>
            </w:r>
          </w:p>
        </w:tc>
        <w:tc>
          <w:tcPr>
            <w:tcW w:type="pct" w:w="40%"/>
            <w:tcMar>
              <w:top w:type="dxa" w:w="90"/>
              <w:left w:type="dxa" w:w="130"/>
              <w:bottom w:type="dxa" w:w="90"/>
              <w:right w:type="dxa" w:w="130"/>
            </w:tcMar>
          </w:tcPr>
          <w:p>
            <w:pPr>
              <w:spacing w:after="0"/>
            </w:pPr>
            <w:r>
              <w:rPr>
                <w:color w:val="333A47"/>
                <w:sz w:val="19"/>
                <w:szCs w:val="19"/>
              </w:rPr>
              <w:t xml:space="preserve">7</w:t>
            </w:r>
          </w:p>
        </w:tc>
      </w:tr>
    </w:tbl>
    <w:p>
      <w:r>
        <w:br w:type="page"/>
      </w:r>
    </w:p>
    <w:p>
      <w:pPr>
        <w:pStyle w:val="Heading1"/>
        <w:spacing w:after="160" w:before="360"/>
      </w:pPr>
      <w:r>
        <w:rPr>
          <w:b/>
          <w:bCs/>
          <w:color w:val="21252E"/>
          <w:sz w:val="32"/>
          <w:szCs w:val="32"/>
        </w:rPr>
        <w:t xml:space="preserve">2. Scope Delivered</w:t>
      </w:r>
    </w:p>
    <w:p>
      <w:pPr>
        <w:pStyle w:val="Heading2"/>
        <w:spacing w:after="120" w:before="280"/>
      </w:pPr>
      <w:r>
        <w:rPr>
          <w:b/>
          <w:bCs/>
          <w:color w:val="21252E"/>
          <w:sz w:val="25"/>
          <w:szCs w:val="25"/>
        </w:rPr>
        <w:t xml:space="preserve">2.1 Applications</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18%"/>
            <w:shd w:fill="F4F6F8" w:val="clear"/>
            <w:tcMar>
              <w:top w:type="dxa" w:w="90"/>
              <w:left w:type="dxa" w:w="130"/>
              <w:bottom w:type="dxa" w:w="90"/>
              <w:right w:type="dxa" w:w="130"/>
            </w:tcMar>
          </w:tcPr>
          <w:p>
            <w:pPr>
              <w:spacing w:after="0"/>
            </w:pPr>
            <w:r>
              <w:rPr>
                <w:b/>
                <w:bCs/>
                <w:color w:val="21252E"/>
                <w:sz w:val="18"/>
                <w:szCs w:val="18"/>
              </w:rPr>
              <w:t xml:space="preserve">Component</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Technology</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Purpose</w:t>
            </w:r>
          </w:p>
        </w:tc>
      </w:tr>
      <w:tr>
        <w:tc>
          <w:tcPr>
            <w:tcW w:type="pct" w:w="18%"/>
            <w:tcMar>
              <w:top w:type="dxa" w:w="90"/>
              <w:left w:type="dxa" w:w="130"/>
              <w:bottom w:type="dxa" w:w="90"/>
              <w:right w:type="dxa" w:w="130"/>
            </w:tcMar>
          </w:tcPr>
          <w:p>
            <w:pPr>
              <w:spacing w:after="0"/>
            </w:pPr>
            <w:r>
              <w:rPr>
                <w:color w:val="333A47"/>
                <w:sz w:val="19"/>
                <w:szCs w:val="19"/>
              </w:rPr>
              <w:t xml:space="preserve">API</w:t>
            </w:r>
          </w:p>
        </w:tc>
        <w:tc>
          <w:tcPr>
            <w:tcW w:type="pct" w:w="27%"/>
            <w:tcMar>
              <w:top w:type="dxa" w:w="90"/>
              <w:left w:type="dxa" w:w="130"/>
              <w:bottom w:type="dxa" w:w="90"/>
              <w:right w:type="dxa" w:w="130"/>
            </w:tcMar>
          </w:tcPr>
          <w:p>
            <w:pPr>
              <w:spacing w:after="0"/>
            </w:pPr>
            <w:r>
              <w:rPr>
                <w:color w:val="333A47"/>
                <w:sz w:val="19"/>
                <w:szCs w:val="19"/>
              </w:rPr>
              <w:t xml:space="preserve">NestJS 11 (TypeScript)</w:t>
            </w:r>
          </w:p>
        </w:tc>
        <w:tc>
          <w:tcPr>
            <w:tcW w:type="pct" w:w="55%"/>
            <w:tcMar>
              <w:top w:type="dxa" w:w="90"/>
              <w:left w:type="dxa" w:w="130"/>
              <w:bottom w:type="dxa" w:w="90"/>
              <w:right w:type="dxa" w:w="130"/>
            </w:tcMar>
          </w:tcPr>
          <w:p>
            <w:pPr>
              <w:spacing w:after="0"/>
            </w:pPr>
            <w:r>
              <w:rPr>
                <w:color w:val="333A47"/>
                <w:sz w:val="19"/>
                <w:szCs w:val="19"/>
              </w:rPr>
              <w:t xml:space="preserve">Modular monolith — the entire backend</w:t>
            </w:r>
          </w:p>
        </w:tc>
      </w:tr>
      <w:tr>
        <w:tc>
          <w:tcPr>
            <w:tcW w:type="pct" w:w="18%"/>
            <w:tcMar>
              <w:top w:type="dxa" w:w="90"/>
              <w:left w:type="dxa" w:w="130"/>
              <w:bottom w:type="dxa" w:w="90"/>
              <w:right w:type="dxa" w:w="130"/>
            </w:tcMar>
          </w:tcPr>
          <w:p>
            <w:pPr>
              <w:spacing w:after="0"/>
            </w:pPr>
            <w:r>
              <w:rPr>
                <w:color w:val="333A47"/>
                <w:sz w:val="19"/>
                <w:szCs w:val="19"/>
              </w:rPr>
              <w:t xml:space="preserve">Web</w:t>
            </w:r>
          </w:p>
        </w:tc>
        <w:tc>
          <w:tcPr>
            <w:tcW w:type="pct" w:w="27%"/>
            <w:tcMar>
              <w:top w:type="dxa" w:w="90"/>
              <w:left w:type="dxa" w:w="130"/>
              <w:bottom w:type="dxa" w:w="90"/>
              <w:right w:type="dxa" w:w="130"/>
            </w:tcMar>
          </w:tcPr>
          <w:p>
            <w:pPr>
              <w:spacing w:after="0"/>
            </w:pPr>
            <w:r>
              <w:rPr>
                <w:color w:val="333A47"/>
                <w:sz w:val="19"/>
                <w:szCs w:val="19"/>
              </w:rPr>
              <w:t xml:space="preserve">Next.js 15, React 19</w:t>
            </w:r>
          </w:p>
        </w:tc>
        <w:tc>
          <w:tcPr>
            <w:tcW w:type="pct" w:w="55%"/>
            <w:tcMar>
              <w:top w:type="dxa" w:w="90"/>
              <w:left w:type="dxa" w:w="130"/>
              <w:bottom w:type="dxa" w:w="90"/>
              <w:right w:type="dxa" w:w="130"/>
            </w:tcMar>
          </w:tcPr>
          <w:p>
            <w:pPr>
              <w:spacing w:after="0"/>
            </w:pPr>
            <w:r>
              <w:rPr>
                <w:color w:val="333A47"/>
                <w:sz w:val="19"/>
                <w:szCs w:val="19"/>
              </w:rPr>
              <w:t xml:space="preserve">Server-rendered UI, httpOnly sessions, PWA</w:t>
            </w:r>
          </w:p>
        </w:tc>
      </w:tr>
      <w:tr>
        <w:tc>
          <w:tcPr>
            <w:tcW w:type="pct" w:w="18%"/>
            <w:tcMar>
              <w:top w:type="dxa" w:w="90"/>
              <w:left w:type="dxa" w:w="130"/>
              <w:bottom w:type="dxa" w:w="90"/>
              <w:right w:type="dxa" w:w="130"/>
            </w:tcMar>
          </w:tcPr>
          <w:p>
            <w:pPr>
              <w:spacing w:after="0"/>
            </w:pPr>
            <w:r>
              <w:rPr>
                <w:color w:val="333A47"/>
                <w:sz w:val="19"/>
                <w:szCs w:val="19"/>
              </w:rPr>
              <w:t xml:space="preserve">Gateway</w:t>
            </w:r>
          </w:p>
        </w:tc>
        <w:tc>
          <w:tcPr>
            <w:tcW w:type="pct" w:w="27%"/>
            <w:tcMar>
              <w:top w:type="dxa" w:w="90"/>
              <w:left w:type="dxa" w:w="130"/>
              <w:bottom w:type="dxa" w:w="90"/>
              <w:right w:type="dxa" w:w="130"/>
            </w:tcMar>
          </w:tcPr>
          <w:p>
            <w:pPr>
              <w:spacing w:after="0"/>
            </w:pPr>
            <w:r>
              <w:rPr>
                <w:color w:val="333A47"/>
                <w:sz w:val="19"/>
                <w:szCs w:val="19"/>
              </w:rPr>
              <w:t xml:space="preserve">Node 22 (TypeScript)</w:t>
            </w:r>
          </w:p>
        </w:tc>
        <w:tc>
          <w:tcPr>
            <w:tcW w:type="pct" w:w="55%"/>
            <w:tcMar>
              <w:top w:type="dxa" w:w="90"/>
              <w:left w:type="dxa" w:w="130"/>
              <w:bottom w:type="dxa" w:w="90"/>
              <w:right w:type="dxa" w:w="130"/>
            </w:tcMar>
          </w:tcPr>
          <w:p>
            <w:pPr>
              <w:spacing w:after="0"/>
            </w:pPr>
            <w:r>
              <w:rPr>
                <w:color w:val="333A47"/>
                <w:sz w:val="19"/>
                <w:szCs w:val="19"/>
              </w:rPr>
              <w:t xml:space="preserve">On-premises analyzer agent — ASTM, HL7, file drop</w:t>
            </w:r>
          </w:p>
        </w:tc>
      </w:tr>
      <w:tr>
        <w:tc>
          <w:tcPr>
            <w:tcW w:type="pct" w:w="18%"/>
            <w:tcMar>
              <w:top w:type="dxa" w:w="90"/>
              <w:left w:type="dxa" w:w="130"/>
              <w:bottom w:type="dxa" w:w="90"/>
              <w:right w:type="dxa" w:w="130"/>
            </w:tcMar>
          </w:tcPr>
          <w:p>
            <w:pPr>
              <w:spacing w:after="0"/>
            </w:pPr>
            <w:r>
              <w:rPr>
                <w:color w:val="333A47"/>
                <w:sz w:val="19"/>
                <w:szCs w:val="19"/>
              </w:rPr>
              <w:t xml:space="preserve">Database</w:t>
            </w:r>
          </w:p>
        </w:tc>
        <w:tc>
          <w:tcPr>
            <w:tcW w:type="pct" w:w="27%"/>
            <w:tcMar>
              <w:top w:type="dxa" w:w="90"/>
              <w:left w:type="dxa" w:w="130"/>
              <w:bottom w:type="dxa" w:w="90"/>
              <w:right w:type="dxa" w:w="130"/>
            </w:tcMar>
          </w:tcPr>
          <w:p>
            <w:pPr>
              <w:spacing w:after="0"/>
            </w:pPr>
            <w:r>
              <w:rPr>
                <w:color w:val="333A47"/>
                <w:sz w:val="19"/>
                <w:szCs w:val="19"/>
              </w:rPr>
              <w:t xml:space="preserve">PostgreSQL 16</w:t>
            </w:r>
          </w:p>
        </w:tc>
        <w:tc>
          <w:tcPr>
            <w:tcW w:type="pct" w:w="55%"/>
            <w:tcMar>
              <w:top w:type="dxa" w:w="90"/>
              <w:left w:type="dxa" w:w="130"/>
              <w:bottom w:type="dxa" w:w="90"/>
              <w:right w:type="dxa" w:w="130"/>
            </w:tcMar>
          </w:tcPr>
          <w:p>
            <w:pPr>
              <w:spacing w:after="0"/>
            </w:pPr>
            <w:r>
              <w:rPr>
                <w:color w:val="333A47"/>
                <w:sz w:val="19"/>
                <w:szCs w:val="19"/>
              </w:rPr>
              <w:t xml:space="preserve">Row Level Security tenancy, append-only audit</w:t>
            </w:r>
          </w:p>
        </w:tc>
      </w:tr>
      <w:tr>
        <w:tc>
          <w:tcPr>
            <w:tcW w:type="pct" w:w="18%"/>
            <w:tcMar>
              <w:top w:type="dxa" w:w="90"/>
              <w:left w:type="dxa" w:w="130"/>
              <w:bottom w:type="dxa" w:w="90"/>
              <w:right w:type="dxa" w:w="130"/>
            </w:tcMar>
          </w:tcPr>
          <w:p>
            <w:pPr>
              <w:spacing w:after="0"/>
            </w:pPr>
            <w:r>
              <w:rPr>
                <w:color w:val="333A47"/>
                <w:sz w:val="19"/>
                <w:szCs w:val="19"/>
              </w:rPr>
              <w:t xml:space="preserve">Cache / queue</w:t>
            </w:r>
          </w:p>
        </w:tc>
        <w:tc>
          <w:tcPr>
            <w:tcW w:type="pct" w:w="27%"/>
            <w:tcMar>
              <w:top w:type="dxa" w:w="90"/>
              <w:left w:type="dxa" w:w="130"/>
              <w:bottom w:type="dxa" w:w="90"/>
              <w:right w:type="dxa" w:w="130"/>
            </w:tcMar>
          </w:tcPr>
          <w:p>
            <w:pPr>
              <w:spacing w:after="0"/>
            </w:pPr>
            <w:r>
              <w:rPr>
                <w:color w:val="333A47"/>
                <w:sz w:val="19"/>
                <w:szCs w:val="19"/>
              </w:rPr>
              <w:t xml:space="preserve">Redis 7</w:t>
            </w:r>
          </w:p>
        </w:tc>
        <w:tc>
          <w:tcPr>
            <w:tcW w:type="pct" w:w="55%"/>
            <w:tcMar>
              <w:top w:type="dxa" w:w="90"/>
              <w:left w:type="dxa" w:w="130"/>
              <w:bottom w:type="dxa" w:w="90"/>
              <w:right w:type="dxa" w:w="130"/>
            </w:tcMar>
          </w:tcPr>
          <w:p>
            <w:pPr>
              <w:spacing w:after="0"/>
            </w:pPr>
            <w:r>
              <w:rPr>
                <w:color w:val="333A47"/>
                <w:sz w:val="19"/>
                <w:szCs w:val="19"/>
              </w:rPr>
              <w:t xml:space="preserve">Sessions, rate limiting, future job queue</w:t>
            </w:r>
          </w:p>
        </w:tc>
      </w:tr>
      <w:tr>
        <w:tc>
          <w:tcPr>
            <w:tcW w:type="pct" w:w="18%"/>
            <w:tcMar>
              <w:top w:type="dxa" w:w="90"/>
              <w:left w:type="dxa" w:w="130"/>
              <w:bottom w:type="dxa" w:w="90"/>
              <w:right w:type="dxa" w:w="130"/>
            </w:tcMar>
          </w:tcPr>
          <w:p>
            <w:pPr>
              <w:spacing w:after="0"/>
            </w:pPr>
            <w:r>
              <w:rPr>
                <w:color w:val="333A47"/>
                <w:sz w:val="19"/>
                <w:szCs w:val="19"/>
              </w:rPr>
              <w:t xml:space="preserve">Object storage</w:t>
            </w:r>
          </w:p>
        </w:tc>
        <w:tc>
          <w:tcPr>
            <w:tcW w:type="pct" w:w="27%"/>
            <w:tcMar>
              <w:top w:type="dxa" w:w="90"/>
              <w:left w:type="dxa" w:w="130"/>
              <w:bottom w:type="dxa" w:w="90"/>
              <w:right w:type="dxa" w:w="130"/>
            </w:tcMar>
          </w:tcPr>
          <w:p>
            <w:pPr>
              <w:spacing w:after="0"/>
            </w:pPr>
            <w:r>
              <w:rPr>
                <w:color w:val="333A47"/>
                <w:sz w:val="19"/>
                <w:szCs w:val="19"/>
              </w:rPr>
              <w:t xml:space="preserve">S3 / MinIO</w:t>
            </w:r>
          </w:p>
        </w:tc>
        <w:tc>
          <w:tcPr>
            <w:tcW w:type="pct" w:w="55%"/>
            <w:tcMar>
              <w:top w:type="dxa" w:w="90"/>
              <w:left w:type="dxa" w:w="130"/>
              <w:bottom w:type="dxa" w:w="90"/>
              <w:right w:type="dxa" w:w="130"/>
            </w:tcMar>
          </w:tcPr>
          <w:p>
            <w:pPr>
              <w:spacing w:after="0"/>
            </w:pPr>
            <w:r>
              <w:rPr>
                <w:color w:val="333A47"/>
                <w:sz w:val="19"/>
                <w:szCs w:val="19"/>
              </w:rPr>
              <w:t xml:space="preserve">Raw instrument payloads, report PDFs, attachments</w:t>
            </w:r>
          </w:p>
        </w:tc>
      </w:tr>
      <w:tr>
        <w:tc>
          <w:tcPr>
            <w:tcW w:type="pct" w:w="18%"/>
            <w:tcMar>
              <w:top w:type="dxa" w:w="90"/>
              <w:left w:type="dxa" w:w="130"/>
              <w:bottom w:type="dxa" w:w="90"/>
              <w:right w:type="dxa" w:w="130"/>
            </w:tcMar>
          </w:tcPr>
          <w:p>
            <w:pPr>
              <w:spacing w:after="0"/>
            </w:pPr>
            <w:r>
              <w:rPr>
                <w:color w:val="333A47"/>
                <w:sz w:val="19"/>
                <w:szCs w:val="19"/>
              </w:rPr>
              <w:t xml:space="preserve">Edge</w:t>
            </w:r>
          </w:p>
        </w:tc>
        <w:tc>
          <w:tcPr>
            <w:tcW w:type="pct" w:w="27%"/>
            <w:tcMar>
              <w:top w:type="dxa" w:w="90"/>
              <w:left w:type="dxa" w:w="130"/>
              <w:bottom w:type="dxa" w:w="90"/>
              <w:right w:type="dxa" w:w="130"/>
            </w:tcMar>
          </w:tcPr>
          <w:p>
            <w:pPr>
              <w:spacing w:after="0"/>
            </w:pPr>
            <w:r>
              <w:rPr>
                <w:color w:val="333A47"/>
                <w:sz w:val="19"/>
                <w:szCs w:val="19"/>
              </w:rPr>
              <w:t xml:space="preserve">Caddy 2</w:t>
            </w:r>
          </w:p>
        </w:tc>
        <w:tc>
          <w:tcPr>
            <w:tcW w:type="pct" w:w="55%"/>
            <w:tcMar>
              <w:top w:type="dxa" w:w="90"/>
              <w:left w:type="dxa" w:w="130"/>
              <w:bottom w:type="dxa" w:w="90"/>
              <w:right w:type="dxa" w:w="130"/>
            </w:tcMar>
          </w:tcPr>
          <w:p>
            <w:pPr>
              <w:spacing w:after="0"/>
            </w:pPr>
            <w:r>
              <w:rPr>
                <w:color w:val="333A47"/>
                <w:sz w:val="19"/>
                <w:szCs w:val="19"/>
              </w:rPr>
              <w:t xml:space="preserve">Automatic TLS, security headers, single origin</w:t>
            </w:r>
          </w:p>
        </w:tc>
      </w:tr>
    </w:tbl>
    <w:p>
      <w:pPr>
        <w:spacing w:after="140"/>
      </w:pPr>
    </w:p>
    <w:p>
      <w:pPr>
        <w:pStyle w:val="Heading2"/>
        <w:spacing w:after="120" w:before="280"/>
      </w:pPr>
      <w:r>
        <w:rPr>
          <w:b/>
          <w:bCs/>
          <w:color w:val="21252E"/>
          <w:sz w:val="25"/>
          <w:szCs w:val="25"/>
        </w:rPr>
        <w:t xml:space="preserve">2.2 Shared packages</w:t>
      </w:r>
    </w:p>
    <w:p>
      <w:pPr>
        <w:pStyle w:val="ListParagraph"/>
        <w:numPr>
          <w:ilvl w:val="0"/>
          <w:numId w:val="1"/>
        </w:numPr>
        <w:spacing w:after="80" w:line="276"/>
      </w:pPr>
      <w:r>
        <w:rPr>
          <w:color w:val="333A47"/>
          <w:sz w:val="21"/>
          <w:szCs w:val="21"/>
        </w:rPr>
        <w:t xml:space="preserve">@labsetu/contracts — Zod schemas, enums and the permission registry shared by API, web and gateway, so client and server validation cannot drift apart.</w:t>
      </w:r>
    </w:p>
    <w:p>
      <w:pPr>
        <w:pStyle w:val="ListParagraph"/>
        <w:numPr>
          <w:ilvl w:val="0"/>
          <w:numId w:val="1"/>
        </w:numPr>
        <w:spacing w:after="80" w:line="276"/>
      </w:pPr>
      <w:r>
        <w:rPr>
          <w:color w:val="333A47"/>
          <w:sz w:val="21"/>
          <w:szCs w:val="21"/>
        </w:rPr>
        <w:t xml:space="preserve">@labsetu/crypto — envelope encryption, blind indexes, canonical JSON and the audit hash chain. Frozen interfaces, independently tested.</w:t>
      </w:r>
    </w:p>
    <w:p>
      <w:pPr>
        <w:pStyle w:val="ListParagraph"/>
        <w:numPr>
          <w:ilvl w:val="0"/>
          <w:numId w:val="1"/>
        </w:numPr>
        <w:spacing w:after="80" w:line="276"/>
      </w:pPr>
      <w:r>
        <w:rPr>
          <w:color w:val="333A47"/>
          <w:sz w:val="21"/>
          <w:szCs w:val="21"/>
        </w:rPr>
        <w:t xml:space="preserve">@labsetu/db — Prisma schema, the RLS security layer, and a realistic seed.</w:t>
      </w:r>
    </w:p>
    <w:p>
      <w:pPr>
        <w:spacing w:after="140"/>
      </w:pPr>
    </w:p>
    <w:p>
      <w:pPr>
        <w:pStyle w:val="Heading2"/>
        <w:spacing w:after="120" w:before="280"/>
      </w:pPr>
      <w:r>
        <w:rPr>
          <w:b/>
          <w:bCs/>
          <w:color w:val="21252E"/>
          <w:sz w:val="25"/>
          <w:szCs w:val="25"/>
        </w:rPr>
        <w:t xml:space="preserve">2.3 Functional modules built</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Module</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What it does</w:t>
            </w:r>
          </w:p>
        </w:tc>
      </w:tr>
      <w:tr>
        <w:tc>
          <w:tcPr>
            <w:tcW w:type="pct" w:w="24%"/>
            <w:tcMar>
              <w:top w:type="dxa" w:w="90"/>
              <w:left w:type="dxa" w:w="130"/>
              <w:bottom w:type="dxa" w:w="90"/>
              <w:right w:type="dxa" w:w="130"/>
            </w:tcMar>
          </w:tcPr>
          <w:p>
            <w:pPr>
              <w:spacing w:after="0"/>
            </w:pPr>
            <w:r>
              <w:rPr>
                <w:color w:val="333A47"/>
                <w:sz w:val="19"/>
                <w:szCs w:val="19"/>
              </w:rPr>
              <w:t xml:space="preserve">Authentication</w:t>
            </w:r>
          </w:p>
        </w:tc>
        <w:tc>
          <w:tcPr>
            <w:tcW w:type="pct" w:w="76%"/>
            <w:tcMar>
              <w:top w:type="dxa" w:w="90"/>
              <w:left w:type="dxa" w:w="130"/>
              <w:bottom w:type="dxa" w:w="90"/>
              <w:right w:type="dxa" w:w="130"/>
            </w:tcMar>
          </w:tcPr>
          <w:p>
            <w:pPr>
              <w:spacing w:after="0"/>
            </w:pPr>
            <w:r>
              <w:rPr>
                <w:color w:val="333A47"/>
                <w:sz w:val="19"/>
                <w:szCs w:val="19"/>
              </w:rPr>
              <w:t xml:space="preserve">Argon2id, JWT with refresh rotation and reuse detection, TOTP MFA, electronic signatures with re-authentication</w:t>
            </w:r>
          </w:p>
        </w:tc>
      </w:tr>
      <w:tr>
        <w:tc>
          <w:tcPr>
            <w:tcW w:type="pct" w:w="24%"/>
            <w:tcMar>
              <w:top w:type="dxa" w:w="90"/>
              <w:left w:type="dxa" w:w="130"/>
              <w:bottom w:type="dxa" w:w="90"/>
              <w:right w:type="dxa" w:w="130"/>
            </w:tcMar>
          </w:tcPr>
          <w:p>
            <w:pPr>
              <w:spacing w:after="0"/>
            </w:pPr>
            <w:r>
              <w:rPr>
                <w:color w:val="333A47"/>
                <w:sz w:val="19"/>
                <w:szCs w:val="19"/>
              </w:rPr>
              <w:t xml:space="preserve">Patients</w:t>
            </w:r>
          </w:p>
        </w:tc>
        <w:tc>
          <w:tcPr>
            <w:tcW w:type="pct" w:w="76%"/>
            <w:tcMar>
              <w:top w:type="dxa" w:w="90"/>
              <w:left w:type="dxa" w:w="130"/>
              <w:bottom w:type="dxa" w:w="90"/>
              <w:right w:type="dxa" w:w="130"/>
            </w:tcMar>
          </w:tcPr>
          <w:p>
            <w:pPr>
              <w:spacing w:after="0"/>
            </w:pPr>
            <w:r>
              <w:rPr>
                <w:color w:val="333A47"/>
                <w:sz w:val="19"/>
                <w:szCs w:val="19"/>
              </w:rPr>
              <w:t xml:space="preserve">Per-patient encrypted identifiers, blind-index search, DPDP consent, crypto-shredded erasure</w:t>
            </w:r>
          </w:p>
        </w:tc>
      </w:tr>
      <w:tr>
        <w:tc>
          <w:tcPr>
            <w:tcW w:type="pct" w:w="24%"/>
            <w:tcMar>
              <w:top w:type="dxa" w:w="90"/>
              <w:left w:type="dxa" w:w="130"/>
              <w:bottom w:type="dxa" w:w="90"/>
              <w:right w:type="dxa" w:w="130"/>
            </w:tcMar>
          </w:tcPr>
          <w:p>
            <w:pPr>
              <w:spacing w:after="0"/>
            </w:pPr>
            <w:r>
              <w:rPr>
                <w:color w:val="333A47"/>
                <w:sz w:val="19"/>
                <w:szCs w:val="19"/>
              </w:rPr>
              <w:t xml:space="preserve">Catalog</w:t>
            </w:r>
          </w:p>
        </w:tc>
        <w:tc>
          <w:tcPr>
            <w:tcW w:type="pct" w:w="76%"/>
            <w:tcMar>
              <w:top w:type="dxa" w:w="90"/>
              <w:left w:type="dxa" w:w="130"/>
              <w:bottom w:type="dxa" w:w="90"/>
              <w:right w:type="dxa" w:w="130"/>
            </w:tcMar>
          </w:tcPr>
          <w:p>
            <w:pPr>
              <w:spacing w:after="0"/>
            </w:pPr>
            <w:r>
              <w:rPr>
                <w:color w:val="333A47"/>
                <w:sz w:val="19"/>
                <w:szCs w:val="19"/>
              </w:rPr>
              <w:t xml:space="preserve">Versioned tests, analytes, panels, methods, age- and sex-specific reference ranges</w:t>
            </w:r>
          </w:p>
        </w:tc>
      </w:tr>
      <w:tr>
        <w:tc>
          <w:tcPr>
            <w:tcW w:type="pct" w:w="24%"/>
            <w:tcMar>
              <w:top w:type="dxa" w:w="90"/>
              <w:left w:type="dxa" w:w="130"/>
              <w:bottom w:type="dxa" w:w="90"/>
              <w:right w:type="dxa" w:w="130"/>
            </w:tcMar>
          </w:tcPr>
          <w:p>
            <w:pPr>
              <w:spacing w:after="0"/>
            </w:pPr>
            <w:r>
              <w:rPr>
                <w:color w:val="333A47"/>
                <w:sz w:val="19"/>
                <w:szCs w:val="19"/>
              </w:rPr>
              <w:t xml:space="preserve">Workflow</w:t>
            </w:r>
          </w:p>
        </w:tc>
        <w:tc>
          <w:tcPr>
            <w:tcW w:type="pct" w:w="76%"/>
            <w:tcMar>
              <w:top w:type="dxa" w:w="90"/>
              <w:left w:type="dxa" w:w="130"/>
              <w:bottom w:type="dxa" w:w="90"/>
              <w:right w:type="dxa" w:w="130"/>
            </w:tcMar>
          </w:tcPr>
          <w:p>
            <w:pPr>
              <w:spacing w:after="0"/>
            </w:pPr>
            <w:r>
              <w:rPr>
                <w:color w:val="333A47"/>
                <w:sz w:val="19"/>
                <w:szCs w:val="19"/>
              </w:rPr>
              <w:t xml:space="preserve">Orders, gapless accessioning, chain of custody, result entry, verification, authorisation</w:t>
            </w:r>
          </w:p>
        </w:tc>
      </w:tr>
      <w:tr>
        <w:tc>
          <w:tcPr>
            <w:tcW w:type="pct" w:w="24%"/>
            <w:tcMar>
              <w:top w:type="dxa" w:w="90"/>
              <w:left w:type="dxa" w:w="130"/>
              <w:bottom w:type="dxa" w:w="90"/>
              <w:right w:type="dxa" w:w="130"/>
            </w:tcMar>
          </w:tcPr>
          <w:p>
            <w:pPr>
              <w:spacing w:after="0"/>
            </w:pPr>
            <w:r>
              <w:rPr>
                <w:color w:val="333A47"/>
                <w:sz w:val="19"/>
                <w:szCs w:val="19"/>
              </w:rPr>
              <w:t xml:space="preserve">Quality control</w:t>
            </w:r>
          </w:p>
        </w:tc>
        <w:tc>
          <w:tcPr>
            <w:tcW w:type="pct" w:w="76%"/>
            <w:tcMar>
              <w:top w:type="dxa" w:w="90"/>
              <w:left w:type="dxa" w:w="130"/>
              <w:bottom w:type="dxa" w:w="90"/>
              <w:right w:type="dxa" w:w="130"/>
            </w:tcMar>
          </w:tcPr>
          <w:p>
            <w:pPr>
              <w:spacing w:after="0"/>
            </w:pPr>
            <w:r>
              <w:rPr>
                <w:color w:val="333A47"/>
                <w:sz w:val="19"/>
                <w:szCs w:val="19"/>
              </w:rPr>
              <w:t xml:space="preserve">QC lots and targets, Westgard multi-rules, authorisation gating, documented overrides</w:t>
            </w:r>
          </w:p>
        </w:tc>
      </w:tr>
      <w:tr>
        <w:tc>
          <w:tcPr>
            <w:tcW w:type="pct" w:w="24%"/>
            <w:tcMar>
              <w:top w:type="dxa" w:w="90"/>
              <w:left w:type="dxa" w:w="130"/>
              <w:bottom w:type="dxa" w:w="90"/>
              <w:right w:type="dxa" w:w="130"/>
            </w:tcMar>
          </w:tcPr>
          <w:p>
            <w:pPr>
              <w:spacing w:after="0"/>
            </w:pPr>
            <w:r>
              <w:rPr>
                <w:color w:val="333A47"/>
                <w:sz w:val="19"/>
                <w:szCs w:val="19"/>
              </w:rPr>
              <w:t xml:space="preserve">Reports</w:t>
            </w:r>
          </w:p>
        </w:tc>
        <w:tc>
          <w:tcPr>
            <w:tcW w:type="pct" w:w="76%"/>
            <w:tcMar>
              <w:top w:type="dxa" w:w="90"/>
              <w:left w:type="dxa" w:w="130"/>
              <w:bottom w:type="dxa" w:w="90"/>
              <w:right w:type="dxa" w:w="130"/>
            </w:tcMar>
          </w:tcPr>
          <w:p>
            <w:pPr>
              <w:spacing w:after="0"/>
            </w:pPr>
            <w:r>
              <w:rPr>
                <w:color w:val="333A47"/>
                <w:sz w:val="19"/>
                <w:szCs w:val="19"/>
              </w:rPr>
              <w:t xml:space="preserve">Versioned composition, signature-backed release, amendment with mandatory reason, consent-checked delivery</w:t>
            </w:r>
          </w:p>
        </w:tc>
      </w:tr>
      <w:tr>
        <w:tc>
          <w:tcPr>
            <w:tcW w:type="pct" w:w="24%"/>
            <w:tcMar>
              <w:top w:type="dxa" w:w="90"/>
              <w:left w:type="dxa" w:w="130"/>
              <w:bottom w:type="dxa" w:w="90"/>
              <w:right w:type="dxa" w:w="130"/>
            </w:tcMar>
          </w:tcPr>
          <w:p>
            <w:pPr>
              <w:spacing w:after="0"/>
            </w:pPr>
            <w:r>
              <w:rPr>
                <w:color w:val="333A47"/>
                <w:sz w:val="19"/>
                <w:szCs w:val="19"/>
              </w:rPr>
              <w:t xml:space="preserve">Instrument ingest</w:t>
            </w:r>
          </w:p>
        </w:tc>
        <w:tc>
          <w:tcPr>
            <w:tcW w:type="pct" w:w="76%"/>
            <w:tcMar>
              <w:top w:type="dxa" w:w="90"/>
              <w:left w:type="dxa" w:w="130"/>
              <w:bottom w:type="dxa" w:w="90"/>
              <w:right w:type="dxa" w:w="130"/>
            </w:tcMar>
          </w:tcPr>
          <w:p>
            <w:pPr>
              <w:spacing w:after="0"/>
            </w:pPr>
            <w:r>
              <w:rPr>
                <w:color w:val="333A47"/>
                <w:sz w:val="19"/>
                <w:szCs w:val="19"/>
              </w:rPr>
              <w:t xml:space="preserve">Device enrolment, HMAC-signed intake, channel mapping, held-exception queue</w:t>
            </w:r>
          </w:p>
        </w:tc>
      </w:tr>
      <w:tr>
        <w:tc>
          <w:tcPr>
            <w:tcW w:type="pct" w:w="24%"/>
            <w:tcMar>
              <w:top w:type="dxa" w:w="90"/>
              <w:left w:type="dxa" w:w="130"/>
              <w:bottom w:type="dxa" w:w="90"/>
              <w:right w:type="dxa" w:w="130"/>
            </w:tcMar>
          </w:tcPr>
          <w:p>
            <w:pPr>
              <w:spacing w:after="0"/>
            </w:pPr>
            <w:r>
              <w:rPr>
                <w:color w:val="333A47"/>
                <w:sz w:val="19"/>
                <w:szCs w:val="19"/>
              </w:rPr>
              <w:t xml:space="preserve">Compliance</w:t>
            </w:r>
          </w:p>
        </w:tc>
        <w:tc>
          <w:tcPr>
            <w:tcW w:type="pct" w:w="76%"/>
            <w:tcMar>
              <w:top w:type="dxa" w:w="90"/>
              <w:left w:type="dxa" w:w="130"/>
              <w:bottom w:type="dxa" w:w="90"/>
              <w:right w:type="dxa" w:w="130"/>
            </w:tcMar>
          </w:tcPr>
          <w:p>
            <w:pPr>
              <w:spacing w:after="0"/>
            </w:pPr>
            <w:r>
              <w:rPr>
                <w:color w:val="333A47"/>
                <w:sz w:val="19"/>
                <w:szCs w:val="19"/>
              </w:rPr>
              <w:t xml:space="preserve">Audit search, chain verification, NABL quality indicators</w:t>
            </w:r>
          </w:p>
        </w:tc>
      </w:tr>
    </w:tbl>
    <w:p>
      <w:r>
        <w:br w:type="page"/>
      </w:r>
    </w:p>
    <w:p>
      <w:pPr>
        <w:pStyle w:val="Heading1"/>
        <w:spacing w:after="160" w:before="360"/>
      </w:pPr>
      <w:r>
        <w:rPr>
          <w:b/>
          <w:bCs/>
          <w:color w:val="21252E"/>
          <w:sz w:val="32"/>
          <w:szCs w:val="32"/>
        </w:rPr>
        <w:t xml:space="preserve">3. Architecture</w:t>
      </w:r>
    </w:p>
    <w:p>
      <w:pPr>
        <w:pStyle w:val="Heading2"/>
        <w:spacing w:after="120" w:before="280"/>
      </w:pPr>
      <w:r>
        <w:rPr>
          <w:b/>
          <w:bCs/>
          <w:color w:val="21252E"/>
          <w:sz w:val="25"/>
          <w:szCs w:val="25"/>
        </w:rPr>
        <w:t xml:space="preserve">3.1 The five decisions that shape everything</w:t>
      </w:r>
    </w:p>
    <w:p>
      <w:pPr>
        <w:spacing w:after="120" w:line="276"/>
      </w:pPr>
      <w:r>
        <w:rPr>
          <w:color w:val="333A47"/>
          <w:sz w:val="21"/>
          <w:szCs w:val="21"/>
        </w:rPr>
        <w:t xml:space="preserve">Each is recorded as an Architecture Decision Record with context, alternatives considered, and consequences.</w:t>
      </w:r>
    </w:p>
    <w:p>
      <w:pPr>
        <w:spacing w:after="10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8%"/>
            <w:shd w:fill="F4F6F8" w:val="clear"/>
            <w:tcMar>
              <w:top w:type="dxa" w:w="90"/>
              <w:left w:type="dxa" w:w="130"/>
              <w:bottom w:type="dxa" w:w="90"/>
              <w:right w:type="dxa" w:w="130"/>
            </w:tcMar>
          </w:tcPr>
          <w:p>
            <w:pPr>
              <w:spacing w:after="0"/>
            </w:pPr>
            <w:r>
              <w:rPr>
                <w:b/>
                <w:bCs/>
                <w:color w:val="21252E"/>
                <w:sz w:val="18"/>
                <w:szCs w:val="18"/>
              </w:rPr>
              <w:t xml:space="preserve">ADR</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Decision</w:t>
            </w:r>
          </w:p>
        </w:tc>
        <w:tc>
          <w:tcPr>
            <w:tcW w:type="pct" w:w="65%"/>
            <w:shd w:fill="F4F6F8" w:val="clear"/>
            <w:tcMar>
              <w:top w:type="dxa" w:w="90"/>
              <w:left w:type="dxa" w:w="130"/>
              <w:bottom w:type="dxa" w:w="90"/>
              <w:right w:type="dxa" w:w="130"/>
            </w:tcMar>
          </w:tcPr>
          <w:p>
            <w:pPr>
              <w:spacing w:after="0"/>
            </w:pPr>
            <w:r>
              <w:rPr>
                <w:b/>
                <w:bCs/>
                <w:color w:val="21252E"/>
                <w:sz w:val="18"/>
                <w:szCs w:val="18"/>
              </w:rPr>
              <w:t xml:space="preserve">Why</w:t>
            </w:r>
          </w:p>
        </w:tc>
      </w:tr>
      <w:tr>
        <w:tc>
          <w:tcPr>
            <w:tcW w:type="pct" w:w="8%"/>
            <w:tcMar>
              <w:top w:type="dxa" w:w="90"/>
              <w:left w:type="dxa" w:w="130"/>
              <w:bottom w:type="dxa" w:w="90"/>
              <w:right w:type="dxa" w:w="130"/>
            </w:tcMar>
          </w:tcPr>
          <w:p>
            <w:pPr>
              <w:spacing w:after="0"/>
            </w:pPr>
            <w:r>
              <w:rPr>
                <w:color w:val="333A47"/>
                <w:sz w:val="19"/>
                <w:szCs w:val="19"/>
              </w:rPr>
              <w:t xml:space="preserve">0001</w:t>
            </w:r>
          </w:p>
        </w:tc>
        <w:tc>
          <w:tcPr>
            <w:tcW w:type="pct" w:w="27%"/>
            <w:tcMar>
              <w:top w:type="dxa" w:w="90"/>
              <w:left w:type="dxa" w:w="130"/>
              <w:bottom w:type="dxa" w:w="90"/>
              <w:right w:type="dxa" w:w="130"/>
            </w:tcMar>
          </w:tcPr>
          <w:p>
            <w:pPr>
              <w:spacing w:after="0"/>
            </w:pPr>
            <w:r>
              <w:rPr>
                <w:color w:val="333A47"/>
                <w:sz w:val="19"/>
                <w:szCs w:val="19"/>
              </w:rPr>
              <w:t xml:space="preserve">Modular monolith, not microservices</w:t>
            </w:r>
          </w:p>
        </w:tc>
        <w:tc>
          <w:tcPr>
            <w:tcW w:type="pct" w:w="65%"/>
            <w:tcMar>
              <w:top w:type="dxa" w:w="90"/>
              <w:left w:type="dxa" w:w="130"/>
              <w:bottom w:type="dxa" w:w="90"/>
              <w:right w:type="dxa" w:w="130"/>
            </w:tcMar>
          </w:tcPr>
          <w:p>
            <w:pPr>
              <w:spacing w:after="0"/>
            </w:pPr>
            <w:r>
              <w:rPr>
                <w:color w:val="333A47"/>
                <w:sz w:val="19"/>
                <w:szCs w:val="19"/>
              </w:rPr>
              <w:t xml:space="preserve">A data change and its audit entry must commit in ONE transaction. Trivial in a monolith, genuinely hard across service boundaries.</w:t>
            </w:r>
          </w:p>
        </w:tc>
      </w:tr>
      <w:tr>
        <w:tc>
          <w:tcPr>
            <w:tcW w:type="pct" w:w="8%"/>
            <w:tcMar>
              <w:top w:type="dxa" w:w="90"/>
              <w:left w:type="dxa" w:w="130"/>
              <w:bottom w:type="dxa" w:w="90"/>
              <w:right w:type="dxa" w:w="130"/>
            </w:tcMar>
          </w:tcPr>
          <w:p>
            <w:pPr>
              <w:spacing w:after="0"/>
            </w:pPr>
            <w:r>
              <w:rPr>
                <w:color w:val="333A47"/>
                <w:sz w:val="19"/>
                <w:szCs w:val="19"/>
              </w:rPr>
              <w:t xml:space="preserve">0002</w:t>
            </w:r>
          </w:p>
        </w:tc>
        <w:tc>
          <w:tcPr>
            <w:tcW w:type="pct" w:w="27%"/>
            <w:tcMar>
              <w:top w:type="dxa" w:w="90"/>
              <w:left w:type="dxa" w:w="130"/>
              <w:bottom w:type="dxa" w:w="90"/>
              <w:right w:type="dxa" w:w="130"/>
            </w:tcMar>
          </w:tcPr>
          <w:p>
            <w:pPr>
              <w:spacing w:after="0"/>
            </w:pPr>
            <w:r>
              <w:rPr>
                <w:color w:val="333A47"/>
                <w:sz w:val="19"/>
                <w:szCs w:val="19"/>
              </w:rPr>
              <w:t xml:space="preserve">Tenant isolation via PostgreSQL RLS</w:t>
            </w:r>
          </w:p>
        </w:tc>
        <w:tc>
          <w:tcPr>
            <w:tcW w:type="pct" w:w="65%"/>
            <w:tcMar>
              <w:top w:type="dxa" w:w="90"/>
              <w:left w:type="dxa" w:w="130"/>
              <w:bottom w:type="dxa" w:w="90"/>
              <w:right w:type="dxa" w:w="130"/>
            </w:tcMar>
          </w:tcPr>
          <w:p>
            <w:pPr>
              <w:spacing w:after="0"/>
            </w:pPr>
            <w:r>
              <w:rPr>
                <w:color w:val="333A47"/>
                <w:sz w:val="19"/>
                <w:szCs w:val="19"/>
              </w:rPr>
              <w:t xml:space="preserve">Application-layer filtering fails eventually because it relies on every developer remembering it forever. RLS makes it a database guarantee — and it fails closed: no tenant context returns zero rows, never a leak.</w:t>
            </w:r>
          </w:p>
        </w:tc>
      </w:tr>
      <w:tr>
        <w:tc>
          <w:tcPr>
            <w:tcW w:type="pct" w:w="8%"/>
            <w:tcMar>
              <w:top w:type="dxa" w:w="90"/>
              <w:left w:type="dxa" w:w="130"/>
              <w:bottom w:type="dxa" w:w="90"/>
              <w:right w:type="dxa" w:w="130"/>
            </w:tcMar>
          </w:tcPr>
          <w:p>
            <w:pPr>
              <w:spacing w:after="0"/>
            </w:pPr>
            <w:r>
              <w:rPr>
                <w:color w:val="333A47"/>
                <w:sz w:val="19"/>
                <w:szCs w:val="19"/>
              </w:rPr>
              <w:t xml:space="preserve">0003</w:t>
            </w:r>
          </w:p>
        </w:tc>
        <w:tc>
          <w:tcPr>
            <w:tcW w:type="pct" w:w="27%"/>
            <w:tcMar>
              <w:top w:type="dxa" w:w="90"/>
              <w:left w:type="dxa" w:w="130"/>
              <w:bottom w:type="dxa" w:w="90"/>
              <w:right w:type="dxa" w:w="130"/>
            </w:tcMar>
          </w:tcPr>
          <w:p>
            <w:pPr>
              <w:spacing w:after="0"/>
            </w:pPr>
            <w:r>
              <w:rPr>
                <w:color w:val="333A47"/>
                <w:sz w:val="19"/>
                <w:szCs w:val="19"/>
              </w:rPr>
              <w:t xml:space="preserve">Append-only, hash-chained audit trail</w:t>
            </w:r>
          </w:p>
        </w:tc>
        <w:tc>
          <w:tcPr>
            <w:tcW w:type="pct" w:w="65%"/>
            <w:tcMar>
              <w:top w:type="dxa" w:w="90"/>
              <w:left w:type="dxa" w:w="130"/>
              <w:bottom w:type="dxa" w:w="90"/>
              <w:right w:type="dxa" w:w="130"/>
            </w:tcMar>
          </w:tcPr>
          <w:p>
            <w:pPr>
              <w:spacing w:after="0"/>
            </w:pPr>
            <w:r>
              <w:rPr>
                <w:color w:val="333A47"/>
                <w:sz w:val="19"/>
                <w:szCs w:val="19"/>
              </w:rPr>
              <w:t xml:space="preserve">The application role holds INSERT and SELECT only. Timestamps come from the database. Each entry hashes the previous one, so removing or altering history breaks every subsequent link.</w:t>
            </w:r>
          </w:p>
        </w:tc>
      </w:tr>
      <w:tr>
        <w:tc>
          <w:tcPr>
            <w:tcW w:type="pct" w:w="8%"/>
            <w:tcMar>
              <w:top w:type="dxa" w:w="90"/>
              <w:left w:type="dxa" w:w="130"/>
              <w:bottom w:type="dxa" w:w="90"/>
              <w:right w:type="dxa" w:w="130"/>
            </w:tcMar>
          </w:tcPr>
          <w:p>
            <w:pPr>
              <w:spacing w:after="0"/>
            </w:pPr>
            <w:r>
              <w:rPr>
                <w:color w:val="333A47"/>
                <w:sz w:val="19"/>
                <w:szCs w:val="19"/>
              </w:rPr>
              <w:t xml:space="preserve">0004</w:t>
            </w:r>
          </w:p>
        </w:tc>
        <w:tc>
          <w:tcPr>
            <w:tcW w:type="pct" w:w="27%"/>
            <w:tcMar>
              <w:top w:type="dxa" w:w="90"/>
              <w:left w:type="dxa" w:w="130"/>
              <w:bottom w:type="dxa" w:w="90"/>
              <w:right w:type="dxa" w:w="130"/>
            </w:tcMar>
          </w:tcPr>
          <w:p>
            <w:pPr>
              <w:spacing w:after="0"/>
            </w:pPr>
            <w:r>
              <w:rPr>
                <w:color w:val="333A47"/>
                <w:sz w:val="19"/>
                <w:szCs w:val="19"/>
              </w:rPr>
              <w:t xml:space="preserve">Normalise instrument data at the edge</w:t>
            </w:r>
          </w:p>
        </w:tc>
        <w:tc>
          <w:tcPr>
            <w:tcW w:type="pct" w:w="65%"/>
            <w:tcMar>
              <w:top w:type="dxa" w:w="90"/>
              <w:left w:type="dxa" w:w="130"/>
              <w:bottom w:type="dxa" w:w="90"/>
              <w:right w:type="dxa" w:w="130"/>
            </w:tcMar>
          </w:tcPr>
          <w:p>
            <w:pPr>
              <w:spacing w:after="0"/>
            </w:pPr>
            <w:r>
              <w:rPr>
                <w:color w:val="333A47"/>
                <w:sz w:val="19"/>
                <w:szCs w:val="19"/>
              </w:rPr>
              <w:t xml:space="preserve">Adding an analyzer becomes configuration, not API code — which is what stops the industry’s biggest cost sink from consuming the roadmap.</w:t>
            </w:r>
          </w:p>
        </w:tc>
      </w:tr>
      <w:tr>
        <w:tc>
          <w:tcPr>
            <w:tcW w:type="pct" w:w="8%"/>
            <w:tcMar>
              <w:top w:type="dxa" w:w="90"/>
              <w:left w:type="dxa" w:w="130"/>
              <w:bottom w:type="dxa" w:w="90"/>
              <w:right w:type="dxa" w:w="130"/>
            </w:tcMar>
          </w:tcPr>
          <w:p>
            <w:pPr>
              <w:spacing w:after="0"/>
            </w:pPr>
            <w:r>
              <w:rPr>
                <w:color w:val="333A47"/>
                <w:sz w:val="19"/>
                <w:szCs w:val="19"/>
              </w:rPr>
              <w:t xml:space="preserve">0005</w:t>
            </w:r>
          </w:p>
        </w:tc>
        <w:tc>
          <w:tcPr>
            <w:tcW w:type="pct" w:w="27%"/>
            <w:tcMar>
              <w:top w:type="dxa" w:w="90"/>
              <w:left w:type="dxa" w:w="130"/>
              <w:bottom w:type="dxa" w:w="90"/>
              <w:right w:type="dxa" w:w="130"/>
            </w:tcMar>
          </w:tcPr>
          <w:p>
            <w:pPr>
              <w:spacing w:after="0"/>
            </w:pPr>
            <w:r>
              <w:rPr>
                <w:color w:val="333A47"/>
                <w:sz w:val="19"/>
                <w:szCs w:val="19"/>
              </w:rPr>
              <w:t xml:space="preserve">Crypto-shredding for DPDP erasure</w:t>
            </w:r>
          </w:p>
        </w:tc>
        <w:tc>
          <w:tcPr>
            <w:tcW w:type="pct" w:w="65%"/>
            <w:tcMar>
              <w:top w:type="dxa" w:w="90"/>
              <w:left w:type="dxa" w:w="130"/>
              <w:bottom w:type="dxa" w:w="90"/>
              <w:right w:type="dxa" w:w="130"/>
            </w:tcMar>
          </w:tcPr>
          <w:p>
            <w:pPr>
              <w:spacing w:after="0"/>
            </w:pPr>
            <w:r>
              <w:rPr>
                <w:color w:val="333A47"/>
                <w:sz w:val="19"/>
                <w:szCs w:val="19"/>
              </w:rPr>
              <w:t xml:space="preserve">Reconciles the right to erasure with records-retention duty: destroy the patient’s key, keep the clinical record and audit chain intact.</w:t>
            </w:r>
          </w:p>
        </w:tc>
      </w:tr>
    </w:tbl>
    <w:p>
      <w:pPr>
        <w:spacing w:after="140"/>
      </w:pPr>
    </w:p>
    <w:p>
      <w:pPr>
        <w:pStyle w:val="Heading2"/>
        <w:spacing w:after="120" w:before="280"/>
      </w:pPr>
      <w:r>
        <w:rPr>
          <w:b/>
          <w:bCs/>
          <w:color w:val="21252E"/>
          <w:sz w:val="25"/>
          <w:szCs w:val="25"/>
        </w:rPr>
        <w:t xml:space="preserve">3.2 Request lifecycle</w:t>
      </w:r>
    </w:p>
    <w:p>
      <w:pPr>
        <w:spacing w:after="120" w:line="276"/>
      </w:pPr>
      <w:r>
        <w:rPr>
          <w:color w:val="333A47"/>
          <w:sz w:val="21"/>
          <w:szCs w:val="21"/>
        </w:rPr>
        <w:t xml:space="preserve">Every authenticated request passes through the same ordered pipeline. The ordering is deliberate: the cheapest rejection happens first, and the transaction opens only once the tenant is known.</w:t>
      </w:r>
    </w:p>
    <w:p>
      <w:pPr>
        <w:shd w:fill="F4F6F8" w:val="clear"/>
        <w:spacing w:after="120"/>
        <w:ind w:left="215"/>
      </w:pPr>
      <w:r>
        <w:rPr>
          <w:rFonts w:ascii="Consolas" w:cs="Consolas" w:eastAsia="Consolas" w:hAnsi="Consolas"/>
          <w:color w:val="2C3340"/>
          <w:sz w:val="18"/>
          <w:szCs w:val="18"/>
        </w:rPr>
        <w:t xml:space="preserve">Request</w:t>
      </w:r>
    </w:p>
    <w:p>
      <w:pPr>
        <w:shd w:fill="F4F6F8" w:val="clear"/>
        <w:spacing w:after="120"/>
        <w:ind w:left="215"/>
      </w:pPr>
      <w:r>
        <w:rPr>
          <w:rFonts w:ascii="Consolas" w:cs="Consolas" w:eastAsia="Consolas" w:hAnsi="Consolas"/>
          <w:color w:val="2C3340"/>
          <w:sz w:val="18"/>
          <w:szCs w:val="18"/>
        </w:rPr>
        <w:t xml:space="preserve">  → Rate limit          cheapest rejection first</w:t>
      </w:r>
    </w:p>
    <w:p>
      <w:pPr>
        <w:shd w:fill="F4F6F8" w:val="clear"/>
        <w:spacing w:after="120"/>
        <w:ind w:left="215"/>
      </w:pPr>
      <w:r>
        <w:rPr>
          <w:rFonts w:ascii="Consolas" w:cs="Consolas" w:eastAsia="Consolas" w:hAnsi="Consolas"/>
          <w:color w:val="2C3340"/>
          <w:sz w:val="18"/>
          <w:szCs w:val="18"/>
        </w:rPr>
        <w:t xml:space="preserve">  → RequestContext      request id, IP, user agent → AsyncLocalStorage</w:t>
      </w:r>
    </w:p>
    <w:p>
      <w:pPr>
        <w:shd w:fill="F4F6F8" w:val="clear"/>
        <w:spacing w:after="120"/>
        <w:ind w:left="215"/>
      </w:pPr>
      <w:r>
        <w:rPr>
          <w:rFonts w:ascii="Consolas" w:cs="Consolas" w:eastAsia="Consolas" w:hAnsi="Consolas"/>
          <w:color w:val="2C3340"/>
          <w:sz w:val="18"/>
          <w:szCs w:val="18"/>
        </w:rPr>
        <w:t xml:space="preserve">  → JwtAuthGuard        identity, token version, session validity</w:t>
      </w:r>
    </w:p>
    <w:p>
      <w:pPr>
        <w:shd w:fill="F4F6F8" w:val="clear"/>
        <w:spacing w:after="120"/>
        <w:ind w:left="215"/>
      </w:pPr>
      <w:r>
        <w:rPr>
          <w:rFonts w:ascii="Consolas" w:cs="Consolas" w:eastAsia="Consolas" w:hAnsi="Consolas"/>
          <w:color w:val="2C3340"/>
          <w:sz w:val="18"/>
          <w:szCs w:val="18"/>
        </w:rPr>
        <w:t xml:space="preserve">  → PermissionsGuard    deny-by-default; an undeclared route is closed</w:t>
      </w:r>
    </w:p>
    <w:p>
      <w:pPr>
        <w:shd w:fill="F4F6F8" w:val="clear"/>
        <w:spacing w:after="120"/>
        <w:ind w:left="215"/>
      </w:pPr>
      <w:r>
        <w:rPr>
          <w:rFonts w:ascii="Consolas" w:cs="Consolas" w:eastAsia="Consolas" w:hAnsi="Consolas"/>
          <w:color w:val="2C3340"/>
          <w:sz w:val="18"/>
          <w:szCs w:val="18"/>
        </w:rPr>
        <w:t xml:space="preserve">  → TenantTransaction   BEGIN; set_config(app.tenant_id, …, LOCAL)</w:t>
      </w:r>
    </w:p>
    <w:p>
      <w:pPr>
        <w:shd w:fill="F4F6F8" w:val="clear"/>
        <w:spacing w:after="120"/>
        <w:ind w:left="215"/>
      </w:pPr>
      <w:r>
        <w:rPr>
          <w:rFonts w:ascii="Consolas" w:cs="Consolas" w:eastAsia="Consolas" w:hAnsi="Consolas"/>
          <w:color w:val="2C3340"/>
          <w:sz w:val="18"/>
          <w:szCs w:val="18"/>
        </w:rPr>
        <w:t xml:space="preserve">      → Handler          domain service</w:t>
      </w:r>
    </w:p>
    <w:p>
      <w:pPr>
        <w:shd w:fill="F4F6F8" w:val="clear"/>
        <w:spacing w:after="120"/>
        <w:ind w:left="215"/>
      </w:pPr>
      <w:r>
        <w:rPr>
          <w:rFonts w:ascii="Consolas" w:cs="Consolas" w:eastAsia="Consolas" w:hAnsi="Consolas"/>
          <w:color w:val="2C3340"/>
          <w:sz w:val="18"/>
          <w:szCs w:val="18"/>
        </w:rPr>
        <w:t xml:space="preserve">      → AuditService     hash-chained entry, SAME transaction</w:t>
      </w:r>
    </w:p>
    <w:p>
      <w:pPr>
        <w:shd w:fill="F4F6F8" w:val="clear"/>
        <w:spacing w:after="120"/>
        <w:ind w:left="215"/>
      </w:pPr>
      <w:r>
        <w:rPr>
          <w:rFonts w:ascii="Consolas" w:cs="Consolas" w:eastAsia="Consolas" w:hAnsi="Consolas"/>
          <w:color w:val="2C3340"/>
          <w:sz w:val="18"/>
          <w:szCs w:val="18"/>
        </w:rPr>
        <w:t xml:space="preserve">  → COMMIT              data change and audit entry commit together</w:t>
      </w:r>
    </w:p>
    <w:p>
      <w:pPr>
        <w:spacing w:after="140"/>
      </w:pPr>
    </w:p>
    <w:p>
      <w:pPr>
        <w:shd w:fill="F4F6F8" w:val="clear"/>
        <w:spacing w:after="0" w:before="140"/>
        <w:ind w:left="172"/>
      </w:pPr>
      <w:r>
        <w:rPr>
          <w:b/>
          <w:bCs/>
          <w:color w:val="1F63C9"/>
          <w:sz w:val="20"/>
          <w:szCs w:val="20"/>
        </w:rPr>
        <w:t xml:space="preserve">Why this matters</w:t>
      </w:r>
    </w:p>
    <w:p>
      <w:pPr>
        <w:shd w:fill="F4F6F8" w:val="clear"/>
        <w:spacing w:after="160"/>
        <w:ind w:left="172"/>
      </w:pPr>
      <w:r>
        <w:rPr>
          <w:color w:val="333A47"/>
          <w:sz w:val="20"/>
          <w:szCs w:val="20"/>
        </w:rPr>
        <w:t xml:space="preserve">There is no window in which a data change exists without its audit entry. They commit together or neither does. An audit trail that can silently miss an entry is not an audit trail.</w:t>
      </w:r>
    </w:p>
    <w:p>
      <w:r>
        <w:br w:type="page"/>
      </w:r>
    </w:p>
    <w:p>
      <w:pPr>
        <w:pStyle w:val="Heading1"/>
        <w:spacing w:after="160" w:before="360"/>
      </w:pPr>
      <w:r>
        <w:rPr>
          <w:b/>
          <w:bCs/>
          <w:color w:val="21252E"/>
          <w:sz w:val="32"/>
          <w:szCs w:val="32"/>
        </w:rPr>
        <w:t xml:space="preserve">4. Compliance Implementation</w:t>
      </w:r>
    </w:p>
    <w:p>
      <w:pPr>
        <w:spacing w:after="120" w:line="276"/>
      </w:pPr>
      <w:r>
        <w:rPr>
          <w:color w:val="333A47"/>
          <w:sz w:val="21"/>
          <w:szCs w:val="21"/>
        </w:rPr>
        <w:t xml:space="preserve">Software cannot make a laboratory compliant — accreditation assesses people, procedures and competence as well as records. What follows is how the software supports those obligations.</w:t>
      </w:r>
    </w:p>
    <w:p>
      <w:pPr>
        <w:spacing w:after="140"/>
      </w:pPr>
    </w:p>
    <w:p>
      <w:pPr>
        <w:pStyle w:val="Heading2"/>
        <w:spacing w:after="120" w:before="280"/>
      </w:pPr>
      <w:r>
        <w:rPr>
          <w:b/>
          <w:bCs/>
          <w:color w:val="21252E"/>
          <w:sz w:val="25"/>
          <w:szCs w:val="25"/>
        </w:rPr>
        <w:t xml:space="preserve">4.1 Audit trail guarantees</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Guarantee</w:t>
            </w:r>
          </w:p>
        </w:tc>
        <w:tc>
          <w:tcPr>
            <w:tcW w:type="pct" w:w="58%"/>
            <w:shd w:fill="F4F6F8" w:val="clear"/>
            <w:tcMar>
              <w:top w:type="dxa" w:w="90"/>
              <w:left w:type="dxa" w:w="130"/>
              <w:bottom w:type="dxa" w:w="90"/>
              <w:right w:type="dxa" w:w="130"/>
            </w:tcMar>
          </w:tcPr>
          <w:p>
            <w:pPr>
              <w:spacing w:after="0"/>
            </w:pPr>
            <w:r>
              <w:rPr>
                <w:b/>
                <w:bCs/>
                <w:color w:val="21252E"/>
                <w:sz w:val="18"/>
                <w:szCs w:val="18"/>
              </w:rPr>
              <w:t xml:space="preserve">Mechanism</w:t>
            </w:r>
          </w:p>
        </w:tc>
        <w:tc>
          <w:tcPr>
            <w:tcW w:type="pct" w:w="16%"/>
            <w:shd w:fill="F4F6F8" w:val="clear"/>
            <w:tcMar>
              <w:top w:type="dxa" w:w="90"/>
              <w:left w:type="dxa" w:w="130"/>
              <w:bottom w:type="dxa" w:w="90"/>
              <w:right w:type="dxa" w:w="130"/>
            </w:tcMar>
          </w:tcPr>
          <w:p>
            <w:pPr>
              <w:spacing w:after="0"/>
            </w:pPr>
            <w:r>
              <w:rPr>
                <w:b/>
                <w:bCs/>
                <w:color w:val="21252E"/>
                <w:sz w:val="18"/>
                <w:szCs w:val="18"/>
              </w:rPr>
              <w:t xml:space="preserve">Verified</w:t>
            </w:r>
          </w:p>
        </w:tc>
      </w:tr>
      <w:tr>
        <w:tc>
          <w:tcPr>
            <w:tcW w:type="pct" w:w="26%"/>
            <w:tcMar>
              <w:top w:type="dxa" w:w="90"/>
              <w:left w:type="dxa" w:w="130"/>
              <w:bottom w:type="dxa" w:w="90"/>
              <w:right w:type="dxa" w:w="130"/>
            </w:tcMar>
          </w:tcPr>
          <w:p>
            <w:pPr>
              <w:spacing w:after="0"/>
            </w:pPr>
            <w:r>
              <w:rPr>
                <w:color w:val="333A47"/>
                <w:sz w:val="19"/>
                <w:szCs w:val="19"/>
              </w:rPr>
              <w:t xml:space="preserve">Cannot be edited or deleted</w:t>
            </w:r>
          </w:p>
        </w:tc>
        <w:tc>
          <w:tcPr>
            <w:tcW w:type="pct" w:w="58%"/>
            <w:tcMar>
              <w:top w:type="dxa" w:w="90"/>
              <w:left w:type="dxa" w:w="130"/>
              <w:bottom w:type="dxa" w:w="90"/>
              <w:right w:type="dxa" w:w="130"/>
            </w:tcMar>
          </w:tcPr>
          <w:p>
            <w:pPr>
              <w:spacing w:after="0"/>
            </w:pPr>
            <w:r>
              <w:rPr>
                <w:color w:val="333A47"/>
                <w:sz w:val="19"/>
                <w:szCs w:val="19"/>
              </w:rPr>
              <w:t xml:space="preserve">GRANT INSERT, SELECT only. No UPDATE/DELETE to the application role, enforced at the database.</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Time is server-authoritative</w:t>
            </w:r>
          </w:p>
        </w:tc>
        <w:tc>
          <w:tcPr>
            <w:tcW w:type="pct" w:w="58%"/>
            <w:tcMar>
              <w:top w:type="dxa" w:w="90"/>
              <w:left w:type="dxa" w:w="130"/>
              <w:bottom w:type="dxa" w:w="90"/>
              <w:right w:type="dxa" w:w="130"/>
            </w:tcMar>
          </w:tcPr>
          <w:p>
            <w:pPr>
              <w:spacing w:after="0"/>
            </w:pPr>
            <w:r>
              <w:rPr>
                <w:color w:val="333A47"/>
                <w:sz w:val="19"/>
                <w:szCs w:val="19"/>
              </w:rPr>
              <w:t xml:space="preserve">occurredAt DEFAULT now(), plus a trigger that overwrites any client-supplied value.</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Tampering is detectable</w:t>
            </w:r>
          </w:p>
        </w:tc>
        <w:tc>
          <w:tcPr>
            <w:tcW w:type="pct" w:w="58%"/>
            <w:tcMar>
              <w:top w:type="dxa" w:w="90"/>
              <w:left w:type="dxa" w:w="130"/>
              <w:bottom w:type="dxa" w:w="90"/>
              <w:right w:type="dxa" w:w="130"/>
            </w:tcMar>
          </w:tcPr>
          <w:p>
            <w:pPr>
              <w:spacing w:after="0"/>
            </w:pPr>
            <w:r>
              <w:rPr>
                <w:color w:val="333A47"/>
                <w:sz w:val="19"/>
                <w:szCs w:val="19"/>
              </w:rPr>
              <w:t xml:space="preserve">Per-tenant hash chain: hash = SHA256(prevHash ‖ canonical_json(entry)).</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Gaps are detectable</w:t>
            </w:r>
          </w:p>
        </w:tc>
        <w:tc>
          <w:tcPr>
            <w:tcW w:type="pct" w:w="58%"/>
            <w:tcMar>
              <w:top w:type="dxa" w:w="90"/>
              <w:left w:type="dxa" w:w="130"/>
              <w:bottom w:type="dxa" w:w="90"/>
              <w:right w:type="dxa" w:w="130"/>
            </w:tcMar>
          </w:tcPr>
          <w:p>
            <w:pPr>
              <w:spacing w:after="0"/>
            </w:pPr>
            <w:r>
              <w:rPr>
                <w:color w:val="333A47"/>
                <w:sz w:val="19"/>
                <w:szCs w:val="19"/>
              </w:rPr>
              <w:t xml:space="preserve">Per-tenant monotonic sequence with a unique constraint.</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Attributable</w:t>
            </w:r>
          </w:p>
        </w:tc>
        <w:tc>
          <w:tcPr>
            <w:tcW w:type="pct" w:w="58%"/>
            <w:tcMar>
              <w:top w:type="dxa" w:w="90"/>
              <w:left w:type="dxa" w:w="130"/>
              <w:bottom w:type="dxa" w:w="90"/>
              <w:right w:type="dxa" w:w="130"/>
            </w:tcMar>
          </w:tcPr>
          <w:p>
            <w:pPr>
              <w:spacing w:after="0"/>
            </w:pPr>
            <w:r>
              <w:rPr>
                <w:color w:val="333A47"/>
                <w:sz w:val="19"/>
                <w:szCs w:val="19"/>
              </w:rPr>
              <w:t xml:space="preserve">Actor id, display name, role AT THE TIME, IP, user agent, request id.</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Explained</w:t>
            </w:r>
          </w:p>
        </w:tc>
        <w:tc>
          <w:tcPr>
            <w:tcW w:type="pct" w:w="58%"/>
            <w:tcMar>
              <w:top w:type="dxa" w:w="90"/>
              <w:left w:type="dxa" w:w="130"/>
              <w:bottom w:type="dxa" w:w="90"/>
              <w:right w:type="dxa" w:w="130"/>
            </w:tcMar>
          </w:tcPr>
          <w:p>
            <w:pPr>
              <w:spacing w:after="0"/>
            </w:pPr>
            <w:r>
              <w:rPr>
                <w:color w:val="333A47"/>
                <w:sz w:val="19"/>
                <w:szCs w:val="19"/>
              </w:rPr>
              <w:t xml:space="preserve">A reason is mandatory for any change to released or authorised data.</w:t>
            </w:r>
          </w:p>
        </w:tc>
        <w:tc>
          <w:tcPr>
            <w:tcW w:type="pct" w:w="16%"/>
            <w:tcMar>
              <w:top w:type="dxa" w:w="90"/>
              <w:left w:type="dxa" w:w="130"/>
              <w:bottom w:type="dxa" w:w="90"/>
              <w:right w:type="dxa" w:w="130"/>
            </w:tcMar>
          </w:tcPr>
          <w:p>
            <w:pPr>
              <w:spacing w:after="0"/>
            </w:pPr>
            <w:r>
              <w:rPr>
                <w:color w:val="333A47"/>
                <w:sz w:val="19"/>
                <w:szCs w:val="19"/>
              </w:rPr>
              <w:t xml:space="preserve">Yes</w:t>
            </w:r>
          </w:p>
        </w:tc>
      </w:tr>
      <w:tr>
        <w:tc>
          <w:tcPr>
            <w:tcW w:type="pct" w:w="26%"/>
            <w:tcMar>
              <w:top w:type="dxa" w:w="90"/>
              <w:left w:type="dxa" w:w="130"/>
              <w:bottom w:type="dxa" w:w="90"/>
              <w:right w:type="dxa" w:w="130"/>
            </w:tcMar>
          </w:tcPr>
          <w:p>
            <w:pPr>
              <w:spacing w:after="0"/>
            </w:pPr>
            <w:r>
              <w:rPr>
                <w:color w:val="333A47"/>
                <w:sz w:val="19"/>
                <w:szCs w:val="19"/>
              </w:rPr>
              <w:t xml:space="preserve">Contains no PII or secrets</w:t>
            </w:r>
          </w:p>
        </w:tc>
        <w:tc>
          <w:tcPr>
            <w:tcW w:type="pct" w:w="58%"/>
            <w:tcMar>
              <w:top w:type="dxa" w:w="90"/>
              <w:left w:type="dxa" w:w="130"/>
              <w:bottom w:type="dxa" w:w="90"/>
              <w:right w:type="dxa" w:w="130"/>
            </w:tcMar>
          </w:tcPr>
          <w:p>
            <w:pPr>
              <w:spacing w:after="0"/>
            </w:pPr>
            <w:r>
              <w:rPr>
                <w:color w:val="333A47"/>
                <w:sz w:val="19"/>
                <w:szCs w:val="19"/>
              </w:rPr>
              <w:t xml:space="preserve">Redaction layer over a closed key list; asserted by test.</w:t>
            </w:r>
          </w:p>
        </w:tc>
        <w:tc>
          <w:tcPr>
            <w:tcW w:type="pct" w:w="16%"/>
            <w:tcMar>
              <w:top w:type="dxa" w:w="90"/>
              <w:left w:type="dxa" w:w="130"/>
              <w:bottom w:type="dxa" w:w="90"/>
              <w:right w:type="dxa" w:w="130"/>
            </w:tcMar>
          </w:tcPr>
          <w:p>
            <w:pPr>
              <w:spacing w:after="0"/>
            </w:pPr>
            <w:r>
              <w:rPr>
                <w:color w:val="333A47"/>
                <w:sz w:val="19"/>
                <w:szCs w:val="19"/>
              </w:rPr>
              <w:t xml:space="preserve">Yes</w:t>
            </w:r>
          </w:p>
        </w:tc>
      </w:tr>
    </w:tbl>
    <w:p>
      <w:pPr>
        <w:spacing w:after="140"/>
      </w:pPr>
    </w:p>
    <w:p>
      <w:pPr>
        <w:pStyle w:val="Heading2"/>
        <w:spacing w:after="120" w:before="280"/>
      </w:pPr>
      <w:r>
        <w:rPr>
          <w:b/>
          <w:bCs/>
          <w:color w:val="21252E"/>
          <w:sz w:val="25"/>
          <w:szCs w:val="25"/>
        </w:rPr>
        <w:t xml:space="preserve">4.2 Controls that actively block unsafe actions</w:t>
      </w:r>
    </w:p>
    <w:p>
      <w:pPr>
        <w:spacing w:after="120" w:line="276"/>
      </w:pPr>
      <w:r>
        <w:rPr>
          <w:color w:val="333A47"/>
          <w:sz w:val="21"/>
          <w:szCs w:val="21"/>
        </w:rPr>
        <w:t xml:space="preserve">These are not advisory warnings. Each one refuses the operation.</w:t>
      </w:r>
    </w:p>
    <w:p>
      <w:pPr>
        <w:spacing w:after="100"/>
      </w:pP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Control</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Behaviour</w:t>
            </w:r>
          </w:p>
        </w:tc>
      </w:tr>
      <w:tr>
        <w:tc>
          <w:tcPr>
            <w:tcW w:type="pct" w:w="24%"/>
            <w:tcMar>
              <w:top w:type="dxa" w:w="90"/>
              <w:left w:type="dxa" w:w="130"/>
              <w:bottom w:type="dxa" w:w="90"/>
              <w:right w:type="dxa" w:w="130"/>
            </w:tcMar>
          </w:tcPr>
          <w:p>
            <w:pPr>
              <w:spacing w:after="0"/>
            </w:pPr>
            <w:r>
              <w:rPr>
                <w:color w:val="333A47"/>
                <w:sz w:val="19"/>
                <w:szCs w:val="19"/>
              </w:rPr>
              <w:t xml:space="preserve">Role separation (RBAC)</w:t>
            </w:r>
          </w:p>
        </w:tc>
        <w:tc>
          <w:tcPr>
            <w:tcW w:type="pct" w:w="76%"/>
            <w:tcMar>
              <w:top w:type="dxa" w:w="90"/>
              <w:left w:type="dxa" w:w="130"/>
              <w:bottom w:type="dxa" w:w="90"/>
              <w:right w:type="dxa" w:w="130"/>
            </w:tcMar>
          </w:tcPr>
          <w:p>
            <w:pPr>
              <w:spacing w:after="0"/>
            </w:pPr>
            <w:r>
              <w:rPr>
                <w:color w:val="333A47"/>
                <w:sz w:val="19"/>
                <w:szCs w:val="19"/>
              </w:rPr>
              <w:t xml:space="preserve">A technician holds no result:authorize permission at all — the route returns 403.</w:t>
            </w:r>
          </w:p>
        </w:tc>
      </w:tr>
      <w:tr>
        <w:tc>
          <w:tcPr>
            <w:tcW w:type="pct" w:w="24%"/>
            <w:tcMar>
              <w:top w:type="dxa" w:w="90"/>
              <w:left w:type="dxa" w:w="130"/>
              <w:bottom w:type="dxa" w:w="90"/>
              <w:right w:type="dxa" w:w="130"/>
            </w:tcMar>
          </w:tcPr>
          <w:p>
            <w:pPr>
              <w:spacing w:after="0"/>
            </w:pPr>
            <w:r>
              <w:rPr>
                <w:color w:val="333A47"/>
                <w:sz w:val="19"/>
                <w:szCs w:val="19"/>
              </w:rPr>
              <w:t xml:space="preserve">Four-eyes</w:t>
            </w:r>
          </w:p>
        </w:tc>
        <w:tc>
          <w:tcPr>
            <w:tcW w:type="pct" w:w="76%"/>
            <w:tcMar>
              <w:top w:type="dxa" w:w="90"/>
              <w:left w:type="dxa" w:w="130"/>
              <w:bottom w:type="dxa" w:w="90"/>
              <w:right w:type="dxa" w:w="130"/>
            </w:tcMar>
          </w:tcPr>
          <w:p>
            <w:pPr>
              <w:spacing w:after="0"/>
            </w:pPr>
            <w:r>
              <w:rPr>
                <w:color w:val="333A47"/>
                <w:sz w:val="19"/>
                <w:szCs w:val="19"/>
              </w:rPr>
              <w:t xml:space="preserve">The person who entered a result cannot authorise it. Configurable per tenant; the setting change is itself audited.</w:t>
            </w:r>
          </w:p>
        </w:tc>
      </w:tr>
      <w:tr>
        <w:tc>
          <w:tcPr>
            <w:tcW w:type="pct" w:w="24%"/>
            <w:tcMar>
              <w:top w:type="dxa" w:w="90"/>
              <w:left w:type="dxa" w:w="130"/>
              <w:bottom w:type="dxa" w:w="90"/>
              <w:right w:type="dxa" w:w="130"/>
            </w:tcMar>
          </w:tcPr>
          <w:p>
            <w:pPr>
              <w:spacing w:after="0"/>
            </w:pPr>
            <w:r>
              <w:rPr>
                <w:color w:val="333A47"/>
                <w:sz w:val="19"/>
                <w:szCs w:val="19"/>
              </w:rPr>
              <w:t xml:space="preserve">Competency</w:t>
            </w:r>
          </w:p>
        </w:tc>
        <w:tc>
          <w:tcPr>
            <w:tcW w:type="pct" w:w="76%"/>
            <w:tcMar>
              <w:top w:type="dxa" w:w="90"/>
              <w:left w:type="dxa" w:w="130"/>
              <w:bottom w:type="dxa" w:w="90"/>
              <w:right w:type="dxa" w:w="130"/>
            </w:tcMar>
          </w:tcPr>
          <w:p>
            <w:pPr>
              <w:spacing w:after="0"/>
            </w:pPr>
            <w:r>
              <w:rPr>
                <w:color w:val="333A47"/>
                <w:sz w:val="19"/>
                <w:szCs w:val="19"/>
              </w:rPr>
              <w:t xml:space="preserve">Authorisation is refused unless the user holds current, unexpired competency for that specific test.</w:t>
            </w:r>
          </w:p>
        </w:tc>
      </w:tr>
      <w:tr>
        <w:tc>
          <w:tcPr>
            <w:tcW w:type="pct" w:w="24%"/>
            <w:tcMar>
              <w:top w:type="dxa" w:w="90"/>
              <w:left w:type="dxa" w:w="130"/>
              <w:bottom w:type="dxa" w:w="90"/>
              <w:right w:type="dxa" w:w="130"/>
            </w:tcMar>
          </w:tcPr>
          <w:p>
            <w:pPr>
              <w:spacing w:after="0"/>
            </w:pPr>
            <w:r>
              <w:rPr>
                <w:color w:val="333A47"/>
                <w:sz w:val="19"/>
                <w:szCs w:val="19"/>
              </w:rPr>
              <w:t xml:space="preserve">QC gating</w:t>
            </w:r>
          </w:p>
        </w:tc>
        <w:tc>
          <w:tcPr>
            <w:tcW w:type="pct" w:w="76%"/>
            <w:tcMar>
              <w:top w:type="dxa" w:w="90"/>
              <w:left w:type="dxa" w:w="130"/>
              <w:bottom w:type="dxa" w:w="90"/>
              <w:right w:type="dxa" w:w="130"/>
            </w:tcMar>
          </w:tcPr>
          <w:p>
            <w:pPr>
              <w:spacing w:after="0"/>
            </w:pPr>
            <w:r>
              <w:rPr>
                <w:color w:val="333A47"/>
                <w:sz w:val="19"/>
                <w:szCs w:val="19"/>
              </w:rPr>
              <w:t xml:space="preserve">A failed quality-control run blocks authorisation of patient results on that analyzer until resolved with a documented corrective action.</w:t>
            </w:r>
          </w:p>
        </w:tc>
      </w:tr>
      <w:tr>
        <w:tc>
          <w:tcPr>
            <w:tcW w:type="pct" w:w="24%"/>
            <w:tcMar>
              <w:top w:type="dxa" w:w="90"/>
              <w:left w:type="dxa" w:w="130"/>
              <w:bottom w:type="dxa" w:w="90"/>
              <w:right w:type="dxa" w:w="130"/>
            </w:tcMar>
          </w:tcPr>
          <w:p>
            <w:pPr>
              <w:spacing w:after="0"/>
            </w:pPr>
            <w:r>
              <w:rPr>
                <w:color w:val="333A47"/>
                <w:sz w:val="19"/>
                <w:szCs w:val="19"/>
              </w:rPr>
              <w:t xml:space="preserve">Electronic signature</w:t>
            </w:r>
          </w:p>
        </w:tc>
        <w:tc>
          <w:tcPr>
            <w:tcW w:type="pct" w:w="76%"/>
            <w:tcMar>
              <w:top w:type="dxa" w:w="90"/>
              <w:left w:type="dxa" w:w="130"/>
              <w:bottom w:type="dxa" w:w="90"/>
              <w:right w:type="dxa" w:w="130"/>
            </w:tcMar>
          </w:tcPr>
          <w:p>
            <w:pPr>
              <w:spacing w:after="0"/>
            </w:pPr>
            <w:r>
              <w:rPr>
                <w:color w:val="333A47"/>
                <w:sz w:val="19"/>
                <w:szCs w:val="19"/>
              </w:rPr>
              <w:t xml:space="preserve">Requires re-authentication (password + TOTP) and is bound to a content hash. If the result changes after signing, the signature is refused.</w:t>
            </w:r>
          </w:p>
        </w:tc>
      </w:tr>
      <w:tr>
        <w:tc>
          <w:tcPr>
            <w:tcW w:type="pct" w:w="24%"/>
            <w:tcMar>
              <w:top w:type="dxa" w:w="90"/>
              <w:left w:type="dxa" w:w="130"/>
              <w:bottom w:type="dxa" w:w="90"/>
              <w:right w:type="dxa" w:w="130"/>
            </w:tcMar>
          </w:tcPr>
          <w:p>
            <w:pPr>
              <w:spacing w:after="0"/>
            </w:pPr>
            <w:r>
              <w:rPr>
                <w:color w:val="333A47"/>
                <w:sz w:val="19"/>
                <w:szCs w:val="19"/>
              </w:rPr>
              <w:t xml:space="preserve">State machine</w:t>
            </w:r>
          </w:p>
        </w:tc>
        <w:tc>
          <w:tcPr>
            <w:tcW w:type="pct" w:w="76%"/>
            <w:tcMar>
              <w:top w:type="dxa" w:w="90"/>
              <w:left w:type="dxa" w:w="130"/>
              <w:bottom w:type="dxa" w:w="90"/>
              <w:right w:type="dxa" w:w="130"/>
            </w:tcMar>
          </w:tcPr>
          <w:p>
            <w:pPr>
              <w:spacing w:after="0"/>
            </w:pPr>
            <w:r>
              <w:rPr>
                <w:color w:val="333A47"/>
                <w:sz w:val="19"/>
                <w:szCs w:val="19"/>
              </w:rPr>
              <w:t xml:space="preserve">Invalid lifecycle transitions throw rather than silently no-op.</w:t>
            </w:r>
          </w:p>
        </w:tc>
      </w:tr>
      <w:tr>
        <w:tc>
          <w:tcPr>
            <w:tcW w:type="pct" w:w="24%"/>
            <w:tcMar>
              <w:top w:type="dxa" w:w="90"/>
              <w:left w:type="dxa" w:w="130"/>
              <w:bottom w:type="dxa" w:w="90"/>
              <w:right w:type="dxa" w:w="130"/>
            </w:tcMar>
          </w:tcPr>
          <w:p>
            <w:pPr>
              <w:spacing w:after="0"/>
            </w:pPr>
            <w:r>
              <w:rPr>
                <w:color w:val="333A47"/>
                <w:sz w:val="19"/>
                <w:szCs w:val="19"/>
              </w:rPr>
              <w:t xml:space="preserve">Instrument results</w:t>
            </w:r>
          </w:p>
        </w:tc>
        <w:tc>
          <w:tcPr>
            <w:tcW w:type="pct" w:w="76%"/>
            <w:tcMar>
              <w:top w:type="dxa" w:w="90"/>
              <w:left w:type="dxa" w:w="130"/>
              <w:bottom w:type="dxa" w:w="90"/>
              <w:right w:type="dxa" w:w="130"/>
            </w:tcMar>
          </w:tcPr>
          <w:p>
            <w:pPr>
              <w:spacing w:after="0"/>
            </w:pPr>
            <w:r>
              <w:rPr>
                <w:color w:val="333A47"/>
                <w:sz w:val="19"/>
                <w:szCs w:val="19"/>
              </w:rPr>
              <w:t xml:space="preserve">Never auto-authorised. They land at RESULT_ENTERED and still require human verification and authorisation.</w:t>
            </w:r>
          </w:p>
        </w:tc>
      </w:tr>
      <w:tr>
        <w:tc>
          <w:tcPr>
            <w:tcW w:type="pct" w:w="24%"/>
            <w:tcMar>
              <w:top w:type="dxa" w:w="90"/>
              <w:left w:type="dxa" w:w="130"/>
              <w:bottom w:type="dxa" w:w="90"/>
              <w:right w:type="dxa" w:w="130"/>
            </w:tcMar>
          </w:tcPr>
          <w:p>
            <w:pPr>
              <w:spacing w:after="0"/>
            </w:pPr>
            <w:r>
              <w:rPr>
                <w:color w:val="333A47"/>
                <w:sz w:val="19"/>
                <w:szCs w:val="19"/>
              </w:rPr>
              <w:t xml:space="preserve">Unmatched results</w:t>
            </w:r>
          </w:p>
        </w:tc>
        <w:tc>
          <w:tcPr>
            <w:tcW w:type="pct" w:w="76%"/>
            <w:tcMar>
              <w:top w:type="dxa" w:w="90"/>
              <w:left w:type="dxa" w:w="130"/>
              <w:bottom w:type="dxa" w:w="90"/>
              <w:right w:type="dxa" w:w="130"/>
            </w:tcMar>
          </w:tcPr>
          <w:p>
            <w:pPr>
              <w:spacing w:after="0"/>
            </w:pPr>
            <w:r>
              <w:rPr>
                <w:color w:val="333A47"/>
                <w:sz w:val="19"/>
                <w:szCs w:val="19"/>
              </w:rPr>
              <w:t xml:space="preserve">Held in a review queue, never guessed. A mis-matched result is a patient-safety event; a queue item is an inconvenience.</w:t>
            </w:r>
          </w:p>
        </w:tc>
      </w:tr>
      <w:tr>
        <w:tc>
          <w:tcPr>
            <w:tcW w:type="pct" w:w="24%"/>
            <w:tcMar>
              <w:top w:type="dxa" w:w="90"/>
              <w:left w:type="dxa" w:w="130"/>
              <w:bottom w:type="dxa" w:w="90"/>
              <w:right w:type="dxa" w:w="130"/>
            </w:tcMar>
          </w:tcPr>
          <w:p>
            <w:pPr>
              <w:spacing w:after="0"/>
            </w:pPr>
            <w:r>
              <w:rPr>
                <w:color w:val="333A47"/>
                <w:sz w:val="19"/>
                <w:szCs w:val="19"/>
              </w:rPr>
              <w:t xml:space="preserve">Consent</w:t>
            </w:r>
          </w:p>
        </w:tc>
        <w:tc>
          <w:tcPr>
            <w:tcW w:type="pct" w:w="76%"/>
            <w:tcMar>
              <w:top w:type="dxa" w:w="90"/>
              <w:left w:type="dxa" w:w="130"/>
              <w:bottom w:type="dxa" w:w="90"/>
              <w:right w:type="dxa" w:w="130"/>
            </w:tcMar>
          </w:tcPr>
          <w:p>
            <w:pPr>
              <w:spacing w:after="0"/>
            </w:pPr>
            <w:r>
              <w:rPr>
                <w:color w:val="333A47"/>
                <w:sz w:val="19"/>
                <w:szCs w:val="19"/>
              </w:rPr>
              <w:t xml:space="preserve">Electronic report delivery is blocked without a valid DPDP consent record for that purpose.</w:t>
            </w:r>
          </w:p>
        </w:tc>
      </w:tr>
    </w:tbl>
    <w:p>
      <w:pPr>
        <w:spacing w:after="140"/>
      </w:pPr>
    </w:p>
    <w:p>
      <w:pPr>
        <w:pStyle w:val="Heading2"/>
        <w:spacing w:after="120" w:before="280"/>
      </w:pPr>
      <w:r>
        <w:rPr>
          <w:b/>
          <w:bCs/>
          <w:color w:val="21252E"/>
          <w:sz w:val="25"/>
          <w:szCs w:val="25"/>
        </w:rPr>
        <w:t xml:space="preserve">4.3 DPDP Act, 2023</w:t>
      </w:r>
    </w:p>
    <w:p>
      <w:pPr>
        <w:pStyle w:val="ListParagraph"/>
        <w:numPr>
          <w:ilvl w:val="0"/>
          <w:numId w:val="1"/>
        </w:numPr>
        <w:spacing w:after="80" w:line="276"/>
      </w:pPr>
      <w:r>
        <w:rPr>
          <w:color w:val="333A47"/>
          <w:sz w:val="21"/>
          <w:szCs w:val="21"/>
        </w:rPr>
        <w:t xml:space="preserve">Per-patient encryption keys, so erasure is achieved by destroying one key — the clinical record and audit chain survive, de-identified.</w:t>
      </w:r>
    </w:p>
    <w:p>
      <w:pPr>
        <w:pStyle w:val="ListParagraph"/>
        <w:numPr>
          <w:ilvl w:val="0"/>
          <w:numId w:val="1"/>
        </w:numPr>
        <w:spacing w:after="80" w:line="276"/>
      </w:pPr>
      <w:r>
        <w:rPr>
          <w:color w:val="333A47"/>
          <w:sz w:val="21"/>
          <w:szCs w:val="21"/>
        </w:rPr>
        <w:t xml:space="preserve">Erasure survives a backup restore, because the key is gone from the key store. Row deletion would not.</w:t>
      </w:r>
    </w:p>
    <w:p>
      <w:pPr>
        <w:pStyle w:val="ListParagraph"/>
        <w:numPr>
          <w:ilvl w:val="0"/>
          <w:numId w:val="1"/>
        </w:numPr>
        <w:spacing w:after="80" w:line="276"/>
      </w:pPr>
      <w:r>
        <w:rPr>
          <w:color w:val="333A47"/>
          <w:sz w:val="21"/>
          <w:szCs w:val="21"/>
        </w:rPr>
        <w:t xml:space="preserve">Consent recorded per patient per purpose, with the notice version actually shown.</w:t>
      </w:r>
    </w:p>
    <w:p>
      <w:pPr>
        <w:pStyle w:val="ListParagraph"/>
        <w:numPr>
          <w:ilvl w:val="0"/>
          <w:numId w:val="1"/>
        </w:numPr>
        <w:spacing w:after="80" w:line="276"/>
      </w:pPr>
      <w:r>
        <w:rPr>
          <w:color w:val="333A47"/>
          <w:sz w:val="21"/>
          <w:szCs w:val="21"/>
        </w:rPr>
        <w:t xml:space="preserve">Data residency (ap-south-1 / ap-south-2) asserted at boot — the API refuses to start outside an approved India region.</w:t>
      </w:r>
    </w:p>
    <w:p>
      <w:pPr>
        <w:pStyle w:val="ListParagraph"/>
        <w:numPr>
          <w:ilvl w:val="0"/>
          <w:numId w:val="1"/>
        </w:numPr>
        <w:spacing w:after="80" w:line="276"/>
      </w:pPr>
      <w:r>
        <w:rPr>
          <w:color w:val="333A47"/>
          <w:sz w:val="21"/>
          <w:szCs w:val="21"/>
        </w:rPr>
        <w:t xml:space="preserve">Blind indexes allow exact-match search without decryption; substring search on encrypted identifiers is deliberately not offered.</w:t>
      </w:r>
    </w:p>
    <w:p>
      <w:r>
        <w:br w:type="page"/>
      </w:r>
    </w:p>
    <w:p>
      <w:pPr>
        <w:pStyle w:val="Heading1"/>
        <w:spacing w:after="160" w:before="360"/>
      </w:pPr>
      <w:r>
        <w:rPr>
          <w:b/>
          <w:bCs/>
          <w:color w:val="21252E"/>
          <w:sz w:val="32"/>
          <w:szCs w:val="32"/>
        </w:rPr>
        <w:t xml:space="preserve">5. Verification</w:t>
      </w:r>
    </w:p>
    <w:p>
      <w:pPr>
        <w:spacing w:after="120" w:line="276"/>
      </w:pPr>
      <w:r>
        <w:rPr>
          <w:color w:val="333A47"/>
          <w:sz w:val="21"/>
          <w:szCs w:val="21"/>
        </w:rPr>
        <w:t xml:space="preserve">All suites run against the </w:t>
      </w:r>
      <w:r>
        <w:rPr>
          <w:b/>
          <w:bCs/>
          <w:color w:val="21252E"/>
          <w:sz w:val="21"/>
          <w:szCs w:val="21"/>
        </w:rPr>
        <w:t xml:space="preserve">deployed, containerised stack over HTTPS</w:t>
      </w:r>
      <w:r>
        <w:rPr>
          <w:color w:val="333A47"/>
          <w:sz w:val="21"/>
          <w:szCs w:val="21"/>
        </w:rPr>
        <w:t xml:space="preserve"> — not against a development server. One command: </w:t>
      </w:r>
    </w:p>
    <w:p>
      <w:pPr>
        <w:shd w:fill="F4F6F8" w:val="clear"/>
        <w:spacing w:after="120"/>
        <w:ind w:left="215"/>
      </w:pPr>
      <w:r>
        <w:rPr>
          <w:rFonts w:ascii="Consolas" w:cs="Consolas" w:eastAsia="Consolas" w:hAnsi="Consolas"/>
          <w:color w:val="2C3340"/>
          <w:sz w:val="18"/>
          <w:szCs w:val="18"/>
        </w:rPr>
        <w:t xml:space="preserve">npm run verify https://localhost</w:t>
      </w:r>
    </w:p>
    <w:p>
      <w:pPr>
        <w:spacing w:after="14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gridCol w:w="100"/>
      </w:tblGrid>
      <w:tr>
        <w:trPr>
          <w:tblHeader/>
        </w:trPr>
        <w:tc>
          <w:tcPr>
            <w:tcW w:type="pct" w:w="5%"/>
            <w:shd w:fill="F4F6F8" w:val="clear"/>
            <w:tcMar>
              <w:top w:type="dxa" w:w="90"/>
              <w:left w:type="dxa" w:w="130"/>
              <w:bottom w:type="dxa" w:w="90"/>
              <w:right w:type="dxa" w:w="130"/>
            </w:tcMar>
          </w:tcPr>
          <w:p>
            <w:pPr>
              <w:spacing w:after="0"/>
            </w:pPr>
            <w:r>
              <w:rPr>
                <w:b/>
                <w:bCs/>
                <w:color w:val="21252E"/>
                <w:sz w:val="18"/>
                <w:szCs w:val="18"/>
              </w:rPr>
              <w:t xml:space="preserve">#</w:t>
            </w:r>
          </w:p>
        </w:tc>
        <w:tc>
          <w:tcPr>
            <w:tcW w:type="pct" w:w="30%"/>
            <w:shd w:fill="F4F6F8" w:val="clear"/>
            <w:tcMar>
              <w:top w:type="dxa" w:w="90"/>
              <w:left w:type="dxa" w:w="130"/>
              <w:bottom w:type="dxa" w:w="90"/>
              <w:right w:type="dxa" w:w="130"/>
            </w:tcMar>
          </w:tcPr>
          <w:p>
            <w:pPr>
              <w:spacing w:after="0"/>
            </w:pPr>
            <w:r>
              <w:rPr>
                <w:b/>
                <w:bCs/>
                <w:color w:val="21252E"/>
                <w:sz w:val="18"/>
                <w:szCs w:val="18"/>
              </w:rPr>
              <w:t xml:space="preserve">Suite</w:t>
            </w:r>
          </w:p>
        </w:tc>
        <w:tc>
          <w:tcPr>
            <w:tcW w:type="pct" w:w="10%"/>
            <w:shd w:fill="F4F6F8" w:val="clear"/>
            <w:tcMar>
              <w:top w:type="dxa" w:w="90"/>
              <w:left w:type="dxa" w:w="130"/>
              <w:bottom w:type="dxa" w:w="90"/>
              <w:right w:type="dxa" w:w="130"/>
            </w:tcMar>
          </w:tcPr>
          <w:p>
            <w:pPr>
              <w:spacing w:after="0"/>
            </w:pPr>
            <w:r>
              <w:rPr>
                <w:b/>
                <w:bCs/>
                <w:color w:val="21252E"/>
                <w:sz w:val="18"/>
                <w:szCs w:val="18"/>
              </w:rPr>
              <w:t xml:space="preserve">Checks</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Covers</w:t>
            </w:r>
          </w:p>
        </w:tc>
      </w:tr>
      <w:tr>
        <w:tc>
          <w:tcPr>
            <w:tcW w:type="pct" w:w="5%"/>
            <w:tcMar>
              <w:top w:type="dxa" w:w="90"/>
              <w:left w:type="dxa" w:w="130"/>
              <w:bottom w:type="dxa" w:w="90"/>
              <w:right w:type="dxa" w:w="130"/>
            </w:tcMar>
          </w:tcPr>
          <w:p>
            <w:pPr>
              <w:spacing w:after="0"/>
            </w:pPr>
            <w:r>
              <w:rPr>
                <w:color w:val="333A47"/>
                <w:sz w:val="19"/>
                <w:szCs w:val="19"/>
              </w:rPr>
              <w:t xml:space="preserve">1</w:t>
            </w:r>
          </w:p>
        </w:tc>
        <w:tc>
          <w:tcPr>
            <w:tcW w:type="pct" w:w="30%"/>
            <w:tcMar>
              <w:top w:type="dxa" w:w="90"/>
              <w:left w:type="dxa" w:w="130"/>
              <w:bottom w:type="dxa" w:w="90"/>
              <w:right w:type="dxa" w:w="130"/>
            </w:tcMar>
          </w:tcPr>
          <w:p>
            <w:pPr>
              <w:spacing w:after="0"/>
            </w:pPr>
            <w:r>
              <w:rPr>
                <w:color w:val="333A47"/>
                <w:sz w:val="19"/>
                <w:szCs w:val="19"/>
              </w:rPr>
              <w:t xml:space="preserve">Clinical workflow + compliance</w:t>
            </w:r>
          </w:p>
        </w:tc>
        <w:tc>
          <w:tcPr>
            <w:tcW w:type="pct" w:w="10%"/>
            <w:tcMar>
              <w:top w:type="dxa" w:w="90"/>
              <w:left w:type="dxa" w:w="130"/>
              <w:bottom w:type="dxa" w:w="90"/>
              <w:right w:type="dxa" w:w="130"/>
            </w:tcMar>
          </w:tcPr>
          <w:p>
            <w:pPr>
              <w:spacing w:after="0"/>
            </w:pPr>
            <w:r>
              <w:rPr>
                <w:color w:val="333A47"/>
                <w:sz w:val="19"/>
                <w:szCs w:val="19"/>
              </w:rPr>
              <w:t xml:space="preserve">53</w:t>
            </w:r>
          </w:p>
        </w:tc>
        <w:tc>
          <w:tcPr>
            <w:tcW w:type="pct" w:w="55%"/>
            <w:tcMar>
              <w:top w:type="dxa" w:w="90"/>
              <w:left w:type="dxa" w:w="130"/>
              <w:bottom w:type="dxa" w:w="90"/>
              <w:right w:type="dxa" w:w="130"/>
            </w:tcMar>
          </w:tcPr>
          <w:p>
            <w:pPr>
              <w:spacing w:after="0"/>
            </w:pPr>
            <w:r>
              <w:rPr>
                <w:color w:val="333A47"/>
                <w:sz w:val="19"/>
                <w:szCs w:val="19"/>
              </w:rPr>
              <w:t xml:space="preserve">register → accession → result → verify → authorise → report</w:t>
            </w:r>
          </w:p>
        </w:tc>
      </w:tr>
      <w:tr>
        <w:tc>
          <w:tcPr>
            <w:tcW w:type="pct" w:w="5%"/>
            <w:tcMar>
              <w:top w:type="dxa" w:w="90"/>
              <w:left w:type="dxa" w:w="130"/>
              <w:bottom w:type="dxa" w:w="90"/>
              <w:right w:type="dxa" w:w="130"/>
            </w:tcMar>
          </w:tcPr>
          <w:p>
            <w:pPr>
              <w:spacing w:after="0"/>
            </w:pPr>
            <w:r>
              <w:rPr>
                <w:color w:val="333A47"/>
                <w:sz w:val="19"/>
                <w:szCs w:val="19"/>
              </w:rPr>
              <w:t xml:space="preserve">2</w:t>
            </w:r>
          </w:p>
        </w:tc>
        <w:tc>
          <w:tcPr>
            <w:tcW w:type="pct" w:w="30%"/>
            <w:tcMar>
              <w:top w:type="dxa" w:w="90"/>
              <w:left w:type="dxa" w:w="130"/>
              <w:bottom w:type="dxa" w:w="90"/>
              <w:right w:type="dxa" w:w="130"/>
            </w:tcMar>
          </w:tcPr>
          <w:p>
            <w:pPr>
              <w:spacing w:after="0"/>
            </w:pPr>
            <w:r>
              <w:rPr>
                <w:color w:val="333A47"/>
                <w:sz w:val="19"/>
                <w:szCs w:val="19"/>
              </w:rPr>
              <w:t xml:space="preserve">Gateway → API (instruments)</w:t>
            </w:r>
          </w:p>
        </w:tc>
        <w:tc>
          <w:tcPr>
            <w:tcW w:type="pct" w:w="10%"/>
            <w:tcMar>
              <w:top w:type="dxa" w:w="90"/>
              <w:left w:type="dxa" w:w="130"/>
              <w:bottom w:type="dxa" w:w="90"/>
              <w:right w:type="dxa" w:w="130"/>
            </w:tcMar>
          </w:tcPr>
          <w:p>
            <w:pPr>
              <w:spacing w:after="0"/>
            </w:pPr>
            <w:r>
              <w:rPr>
                <w:color w:val="333A47"/>
                <w:sz w:val="19"/>
                <w:szCs w:val="19"/>
              </w:rPr>
              <w:t xml:space="preserve">22</w:t>
            </w:r>
          </w:p>
        </w:tc>
        <w:tc>
          <w:tcPr>
            <w:tcW w:type="pct" w:w="55%"/>
            <w:tcMar>
              <w:top w:type="dxa" w:w="90"/>
              <w:left w:type="dxa" w:w="130"/>
              <w:bottom w:type="dxa" w:w="90"/>
              <w:right w:type="dxa" w:w="130"/>
            </w:tcMar>
          </w:tcPr>
          <w:p>
            <w:pPr>
              <w:spacing w:after="0"/>
            </w:pPr>
            <w:r>
              <w:rPr>
                <w:color w:val="333A47"/>
                <w:sz w:val="19"/>
                <w:szCs w:val="19"/>
              </w:rPr>
              <w:t xml:space="preserve">device auth, HMAC, idempotency, channel mapping, held queue</w:t>
            </w:r>
          </w:p>
        </w:tc>
      </w:tr>
      <w:tr>
        <w:tc>
          <w:tcPr>
            <w:tcW w:type="pct" w:w="5%"/>
            <w:tcMar>
              <w:top w:type="dxa" w:w="90"/>
              <w:left w:type="dxa" w:w="130"/>
              <w:bottom w:type="dxa" w:w="90"/>
              <w:right w:type="dxa" w:w="130"/>
            </w:tcMar>
          </w:tcPr>
          <w:p>
            <w:pPr>
              <w:spacing w:after="0"/>
            </w:pPr>
            <w:r>
              <w:rPr>
                <w:color w:val="333A47"/>
                <w:sz w:val="19"/>
                <w:szCs w:val="19"/>
              </w:rPr>
              <w:t xml:space="preserve">3</w:t>
            </w:r>
          </w:p>
        </w:tc>
        <w:tc>
          <w:tcPr>
            <w:tcW w:type="pct" w:w="30%"/>
            <w:tcMar>
              <w:top w:type="dxa" w:w="90"/>
              <w:left w:type="dxa" w:w="130"/>
              <w:bottom w:type="dxa" w:w="90"/>
              <w:right w:type="dxa" w:w="130"/>
            </w:tcMar>
          </w:tcPr>
          <w:p>
            <w:pPr>
              <w:spacing w:after="0"/>
            </w:pPr>
            <w:r>
              <w:rPr>
                <w:color w:val="333A47"/>
                <w:sz w:val="19"/>
                <w:szCs w:val="19"/>
              </w:rPr>
              <w:t xml:space="preserve">ASTM / HL7 parsers</w:t>
            </w:r>
          </w:p>
        </w:tc>
        <w:tc>
          <w:tcPr>
            <w:tcW w:type="pct" w:w="10%"/>
            <w:tcMar>
              <w:top w:type="dxa" w:w="90"/>
              <w:left w:type="dxa" w:w="130"/>
              <w:bottom w:type="dxa" w:w="90"/>
              <w:right w:type="dxa" w:w="130"/>
            </w:tcMar>
          </w:tcPr>
          <w:p>
            <w:pPr>
              <w:spacing w:after="0"/>
            </w:pPr>
            <w:r>
              <w:rPr>
                <w:color w:val="333A47"/>
                <w:sz w:val="19"/>
                <w:szCs w:val="19"/>
              </w:rPr>
              <w:t xml:space="preserve">35</w:t>
            </w:r>
          </w:p>
        </w:tc>
        <w:tc>
          <w:tcPr>
            <w:tcW w:type="pct" w:w="55%"/>
            <w:tcMar>
              <w:top w:type="dxa" w:w="90"/>
              <w:left w:type="dxa" w:w="130"/>
              <w:bottom w:type="dxa" w:w="90"/>
              <w:right w:type="dxa" w:w="130"/>
            </w:tcMar>
          </w:tcPr>
          <w:p>
            <w:pPr>
              <w:spacing w:after="0"/>
            </w:pPr>
            <w:r>
              <w:rPr>
                <w:color w:val="333A47"/>
                <w:sz w:val="19"/>
                <w:szCs w:val="19"/>
              </w:rPr>
              <w:t xml:space="preserve">real analyzer messages, non-standard delimiters, hostile input</w:t>
            </w:r>
          </w:p>
        </w:tc>
      </w:tr>
      <w:tr>
        <w:tc>
          <w:tcPr>
            <w:tcW w:type="pct" w:w="5%"/>
            <w:tcMar>
              <w:top w:type="dxa" w:w="90"/>
              <w:left w:type="dxa" w:w="130"/>
              <w:bottom w:type="dxa" w:w="90"/>
              <w:right w:type="dxa" w:w="130"/>
            </w:tcMar>
          </w:tcPr>
          <w:p>
            <w:pPr>
              <w:spacing w:after="0"/>
            </w:pPr>
            <w:r>
              <w:rPr>
                <w:color w:val="333A47"/>
                <w:sz w:val="19"/>
                <w:szCs w:val="19"/>
              </w:rPr>
              <w:t xml:space="preserve">4</w:t>
            </w:r>
          </w:p>
        </w:tc>
        <w:tc>
          <w:tcPr>
            <w:tcW w:type="pct" w:w="30%"/>
            <w:tcMar>
              <w:top w:type="dxa" w:w="90"/>
              <w:left w:type="dxa" w:w="130"/>
              <w:bottom w:type="dxa" w:w="90"/>
              <w:right w:type="dxa" w:w="130"/>
            </w:tcMar>
          </w:tcPr>
          <w:p>
            <w:pPr>
              <w:spacing w:after="0"/>
            </w:pPr>
            <w:r>
              <w:rPr>
                <w:color w:val="333A47"/>
                <w:sz w:val="19"/>
                <w:szCs w:val="19"/>
              </w:rPr>
              <w:t xml:space="preserve">Quality control + the QC gate</w:t>
            </w:r>
          </w:p>
        </w:tc>
        <w:tc>
          <w:tcPr>
            <w:tcW w:type="pct" w:w="10%"/>
            <w:tcMar>
              <w:top w:type="dxa" w:w="90"/>
              <w:left w:type="dxa" w:w="130"/>
              <w:bottom w:type="dxa" w:w="90"/>
              <w:right w:type="dxa" w:w="130"/>
            </w:tcMar>
          </w:tcPr>
          <w:p>
            <w:pPr>
              <w:spacing w:after="0"/>
            </w:pPr>
            <w:r>
              <w:rPr>
                <w:color w:val="333A47"/>
                <w:sz w:val="19"/>
                <w:szCs w:val="19"/>
              </w:rPr>
              <w:t xml:space="preserve">26</w:t>
            </w:r>
          </w:p>
        </w:tc>
        <w:tc>
          <w:tcPr>
            <w:tcW w:type="pct" w:w="55%"/>
            <w:tcMar>
              <w:top w:type="dxa" w:w="90"/>
              <w:left w:type="dxa" w:w="130"/>
              <w:bottom w:type="dxa" w:w="90"/>
              <w:right w:type="dxa" w:w="130"/>
            </w:tcMar>
          </w:tcPr>
          <w:p>
            <w:pPr>
              <w:spacing w:after="0"/>
            </w:pPr>
            <w:r>
              <w:rPr>
                <w:color w:val="333A47"/>
                <w:sz w:val="19"/>
                <w:szCs w:val="19"/>
              </w:rPr>
              <w:t xml:space="preserve">Westgard rules, drift detection, gate blocks and unblocks</w:t>
            </w:r>
          </w:p>
        </w:tc>
      </w:tr>
      <w:tr>
        <w:tc>
          <w:tcPr>
            <w:tcW w:type="pct" w:w="5%"/>
            <w:tcMar>
              <w:top w:type="dxa" w:w="90"/>
              <w:left w:type="dxa" w:w="130"/>
              <w:bottom w:type="dxa" w:w="90"/>
              <w:right w:type="dxa" w:w="130"/>
            </w:tcMar>
          </w:tcPr>
          <w:p>
            <w:pPr>
              <w:spacing w:after="0"/>
            </w:pPr>
            <w:r>
              <w:rPr>
                <w:color w:val="333A47"/>
                <w:sz w:val="19"/>
                <w:szCs w:val="19"/>
              </w:rPr>
              <w:t xml:space="preserve">5</w:t>
            </w:r>
          </w:p>
        </w:tc>
        <w:tc>
          <w:tcPr>
            <w:tcW w:type="pct" w:w="30%"/>
            <w:tcMar>
              <w:top w:type="dxa" w:w="90"/>
              <w:left w:type="dxa" w:w="130"/>
              <w:bottom w:type="dxa" w:w="90"/>
              <w:right w:type="dxa" w:w="130"/>
            </w:tcMar>
          </w:tcPr>
          <w:p>
            <w:pPr>
              <w:spacing w:after="0"/>
            </w:pPr>
            <w:r>
              <w:rPr>
                <w:color w:val="333A47"/>
                <w:sz w:val="19"/>
                <w:szCs w:val="19"/>
              </w:rPr>
              <w:t xml:space="preserve">Web UI, session, PWA, headers</w:t>
            </w:r>
          </w:p>
        </w:tc>
        <w:tc>
          <w:tcPr>
            <w:tcW w:type="pct" w:w="10%"/>
            <w:tcMar>
              <w:top w:type="dxa" w:w="90"/>
              <w:left w:type="dxa" w:w="130"/>
              <w:bottom w:type="dxa" w:w="90"/>
              <w:right w:type="dxa" w:w="130"/>
            </w:tcMar>
          </w:tcPr>
          <w:p>
            <w:pPr>
              <w:spacing w:after="0"/>
            </w:pPr>
            <w:r>
              <w:rPr>
                <w:color w:val="333A47"/>
                <w:sz w:val="19"/>
                <w:szCs w:val="19"/>
              </w:rPr>
              <w:t xml:space="preserve">38</w:t>
            </w:r>
          </w:p>
        </w:tc>
        <w:tc>
          <w:tcPr>
            <w:tcW w:type="pct" w:w="55%"/>
            <w:tcMar>
              <w:top w:type="dxa" w:w="90"/>
              <w:left w:type="dxa" w:w="130"/>
              <w:bottom w:type="dxa" w:w="90"/>
              <w:right w:type="dxa" w:w="130"/>
            </w:tcMar>
          </w:tcPr>
          <w:p>
            <w:pPr>
              <w:spacing w:after="0"/>
            </w:pPr>
            <w:r>
              <w:rPr>
                <w:color w:val="333A47"/>
                <w:sz w:val="19"/>
                <w:szCs w:val="19"/>
              </w:rPr>
              <w:t xml:space="preserve">session refresh, PWA assets, RBAC in the UI, edge headers</w:t>
            </w:r>
          </w:p>
        </w:tc>
      </w:tr>
      <w:tr>
        <w:tc>
          <w:tcPr>
            <w:tcW w:type="pct" w:w="5%"/>
            <w:tcMar>
              <w:top w:type="dxa" w:w="90"/>
              <w:left w:type="dxa" w:w="130"/>
              <w:bottom w:type="dxa" w:w="90"/>
              <w:right w:type="dxa" w:w="130"/>
            </w:tcMar>
          </w:tcPr>
          <w:p>
            <w:pPr>
              <w:spacing w:after="0"/>
            </w:pPr>
            <w:r>
              <w:rPr>
                <w:color w:val="333A47"/>
                <w:sz w:val="19"/>
                <w:szCs w:val="19"/>
              </w:rPr>
              <w:t xml:space="preserve">6</w:t>
            </w:r>
          </w:p>
        </w:tc>
        <w:tc>
          <w:tcPr>
            <w:tcW w:type="pct" w:w="30%"/>
            <w:tcMar>
              <w:top w:type="dxa" w:w="90"/>
              <w:left w:type="dxa" w:w="130"/>
              <w:bottom w:type="dxa" w:w="90"/>
              <w:right w:type="dxa" w:w="130"/>
            </w:tcMar>
          </w:tcPr>
          <w:p>
            <w:pPr>
              <w:spacing w:after="0"/>
            </w:pPr>
            <w:r>
              <w:rPr>
                <w:color w:val="333A47"/>
                <w:sz w:val="19"/>
                <w:szCs w:val="19"/>
              </w:rPr>
              <w:t xml:space="preserve">Visual — real Chromium</w:t>
            </w:r>
          </w:p>
        </w:tc>
        <w:tc>
          <w:tcPr>
            <w:tcW w:type="pct" w:w="10%"/>
            <w:tcMar>
              <w:top w:type="dxa" w:w="90"/>
              <w:left w:type="dxa" w:w="130"/>
              <w:bottom w:type="dxa" w:w="90"/>
              <w:right w:type="dxa" w:w="130"/>
            </w:tcMar>
          </w:tcPr>
          <w:p>
            <w:pPr>
              <w:spacing w:after="0"/>
            </w:pPr>
            <w:r>
              <w:rPr>
                <w:color w:val="333A47"/>
                <w:sz w:val="19"/>
                <w:szCs w:val="19"/>
              </w:rPr>
              <w:t xml:space="preserve">45</w:t>
            </w:r>
          </w:p>
        </w:tc>
        <w:tc>
          <w:tcPr>
            <w:tcW w:type="pct" w:w="55%"/>
            <w:tcMar>
              <w:top w:type="dxa" w:w="90"/>
              <w:left w:type="dxa" w:w="130"/>
              <w:bottom w:type="dxa" w:w="90"/>
              <w:right w:type="dxa" w:w="130"/>
            </w:tcMar>
          </w:tcPr>
          <w:p>
            <w:pPr>
              <w:spacing w:after="0"/>
            </w:pPr>
            <w:r>
              <w:rPr>
                <w:color w:val="333A47"/>
                <w:sz w:val="19"/>
                <w:szCs w:val="19"/>
              </w:rPr>
              <w:t xml:space="preserve">4 viewports: overflow, touch targets, legibility, console errors</w:t>
            </w:r>
          </w:p>
        </w:tc>
      </w:tr>
      <w:tr>
        <w:tc>
          <w:tcPr>
            <w:tcW w:type="pct" w:w="5%"/>
            <w:tcMar>
              <w:top w:type="dxa" w:w="90"/>
              <w:left w:type="dxa" w:w="130"/>
              <w:bottom w:type="dxa" w:w="90"/>
              <w:right w:type="dxa" w:w="130"/>
            </w:tcMar>
          </w:tcPr>
          <w:p>
            <w:pPr>
              <w:spacing w:after="0"/>
            </w:pPr>
            <w:r>
              <w:rPr>
                <w:color w:val="333A47"/>
                <w:sz w:val="19"/>
                <w:szCs w:val="19"/>
              </w:rPr>
              <w:t xml:space="preserve">7</w:t>
            </w:r>
          </w:p>
        </w:tc>
        <w:tc>
          <w:tcPr>
            <w:tcW w:type="pct" w:w="30%"/>
            <w:tcMar>
              <w:top w:type="dxa" w:w="90"/>
              <w:left w:type="dxa" w:w="130"/>
              <w:bottom w:type="dxa" w:w="90"/>
              <w:right w:type="dxa" w:w="130"/>
            </w:tcMar>
          </w:tcPr>
          <w:p>
            <w:pPr>
              <w:spacing w:after="0"/>
            </w:pPr>
            <w:r>
              <w:rPr>
                <w:color w:val="333A47"/>
                <w:sz w:val="19"/>
                <w:szCs w:val="19"/>
              </w:rPr>
              <w:t xml:space="preserve">Responsive edge cases</w:t>
            </w:r>
          </w:p>
        </w:tc>
        <w:tc>
          <w:tcPr>
            <w:tcW w:type="pct" w:w="10%"/>
            <w:tcMar>
              <w:top w:type="dxa" w:w="90"/>
              <w:left w:type="dxa" w:w="130"/>
              <w:bottom w:type="dxa" w:w="90"/>
              <w:right w:type="dxa" w:w="130"/>
            </w:tcMar>
          </w:tcPr>
          <w:p>
            <w:pPr>
              <w:spacing w:after="0"/>
            </w:pPr>
            <w:r>
              <w:rPr>
                <w:color w:val="333A47"/>
                <w:sz w:val="19"/>
                <w:szCs w:val="19"/>
              </w:rPr>
              <w:t xml:space="preserve">29</w:t>
            </w:r>
          </w:p>
        </w:tc>
        <w:tc>
          <w:tcPr>
            <w:tcW w:type="pct" w:w="55%"/>
            <w:tcMar>
              <w:top w:type="dxa" w:w="90"/>
              <w:left w:type="dxa" w:w="130"/>
              <w:bottom w:type="dxa" w:w="90"/>
              <w:right w:type="dxa" w:w="130"/>
            </w:tcMar>
          </w:tcPr>
          <w:p>
            <w:pPr>
              <w:spacing w:after="0"/>
            </w:pPr>
            <w:r>
              <w:rPr>
                <w:color w:val="333A47"/>
                <w:sz w:val="19"/>
                <w:szCs w:val="19"/>
              </w:rPr>
              <w:t xml:space="preserve">320px, landscape, 200% zoom, form errors, print stylesheet</w:t>
            </w:r>
          </w:p>
        </w:tc>
      </w:tr>
      <w:tr>
        <w:tc>
          <w:tcPr>
            <w:tcW w:type="pct" w:w="5%"/>
            <w:tcMar>
              <w:top w:type="dxa" w:w="90"/>
              <w:left w:type="dxa" w:w="130"/>
              <w:bottom w:type="dxa" w:w="90"/>
              <w:right w:type="dxa" w:w="130"/>
            </w:tcMar>
          </w:tcPr>
          <w:p>
            <w:pPr>
              <w:spacing w:after="0"/>
            </w:pPr>
            <w:r>
              <w:rPr>
                <w:b/>
                <w:bCs/>
                <w:color w:val="333A47"/>
                <w:sz w:val="19"/>
                <w:szCs w:val="19"/>
              </w:rPr>
              <w:t xml:space="preserve"/>
            </w:r>
          </w:p>
        </w:tc>
        <w:tc>
          <w:tcPr>
            <w:tcW w:type="pct" w:w="30%"/>
            <w:tcMar>
              <w:top w:type="dxa" w:w="90"/>
              <w:left w:type="dxa" w:w="130"/>
              <w:bottom w:type="dxa" w:w="90"/>
              <w:right w:type="dxa" w:w="130"/>
            </w:tcMar>
          </w:tcPr>
          <w:p>
            <w:pPr>
              <w:spacing w:after="0"/>
            </w:pPr>
            <w:r>
              <w:rPr>
                <w:b/>
                <w:bCs/>
                <w:color w:val="21252E"/>
                <w:sz w:val="19"/>
                <w:szCs w:val="19"/>
              </w:rPr>
              <w:t xml:space="preserve">Total</w:t>
            </w:r>
          </w:p>
        </w:tc>
        <w:tc>
          <w:tcPr>
            <w:tcW w:type="pct" w:w="10%"/>
            <w:tcMar>
              <w:top w:type="dxa" w:w="90"/>
              <w:left w:type="dxa" w:w="130"/>
              <w:bottom w:type="dxa" w:w="90"/>
              <w:right w:type="dxa" w:w="130"/>
            </w:tcMar>
          </w:tcPr>
          <w:p>
            <w:pPr>
              <w:spacing w:after="0"/>
            </w:pPr>
            <w:r>
              <w:rPr>
                <w:b/>
                <w:bCs/>
                <w:color w:val="15803D"/>
                <w:sz w:val="19"/>
                <w:szCs w:val="19"/>
              </w:rPr>
              <w:t xml:space="preserve">248</w:t>
            </w:r>
          </w:p>
        </w:tc>
        <w:tc>
          <w:tcPr>
            <w:tcW w:type="pct" w:w="55%"/>
            <w:tcMar>
              <w:top w:type="dxa" w:w="90"/>
              <w:left w:type="dxa" w:w="130"/>
              <w:bottom w:type="dxa" w:w="90"/>
              <w:right w:type="dxa" w:w="130"/>
            </w:tcMar>
          </w:tcPr>
          <w:p>
            <w:pPr>
              <w:spacing w:after="0"/>
            </w:pPr>
            <w:r>
              <w:rPr>
                <w:b/>
                <w:bCs/>
                <w:color w:val="15803D"/>
                <w:sz w:val="19"/>
                <w:szCs w:val="19"/>
              </w:rPr>
              <w:t xml:space="preserve">all passing</w:t>
            </w:r>
          </w:p>
        </w:tc>
      </w:tr>
    </w:tbl>
    <w:p>
      <w:pPr>
        <w:spacing w:after="140"/>
      </w:pPr>
    </w:p>
    <w:p>
      <w:pPr>
        <w:pStyle w:val="Heading2"/>
        <w:spacing w:after="120" w:before="280"/>
      </w:pPr>
      <w:r>
        <w:rPr>
          <w:b/>
          <w:bCs/>
          <w:color w:val="21252E"/>
          <w:sz w:val="25"/>
          <w:szCs w:val="25"/>
        </w:rPr>
        <w:t xml:space="preserve">5.1 What the tests actually assert</w:t>
      </w:r>
    </w:p>
    <w:p>
      <w:pPr>
        <w:spacing w:after="120" w:line="276"/>
      </w:pPr>
      <w:r>
        <w:rPr>
          <w:color w:val="333A47"/>
          <w:sz w:val="21"/>
          <w:szCs w:val="21"/>
        </w:rPr>
        <w:t xml:space="preserve">These verify that the controls fire, rather than assuming they do:</w:t>
      </w:r>
    </w:p>
    <w:p>
      <w:pPr>
        <w:pStyle w:val="ListParagraph"/>
        <w:numPr>
          <w:ilvl w:val="0"/>
          <w:numId w:val="1"/>
        </w:numPr>
        <w:spacing w:after="80" w:line="276"/>
      </w:pPr>
      <w:r>
        <w:rPr>
          <w:color w:val="333A47"/>
          <w:sz w:val="21"/>
          <w:szCs w:val="21"/>
        </w:rPr>
        <w:t xml:space="preserve">A technician cannot authorise; the person who entered a result cannot authorise it.</w:t>
      </w:r>
    </w:p>
    <w:p>
      <w:pPr>
        <w:pStyle w:val="ListParagraph"/>
        <w:numPr>
          <w:ilvl w:val="0"/>
          <w:numId w:val="1"/>
        </w:numPr>
        <w:spacing w:after="80" w:line="276"/>
      </w:pPr>
      <w:r>
        <w:rPr>
          <w:color w:val="333A47"/>
          <w:sz w:val="21"/>
          <w:szCs w:val="21"/>
        </w:rPr>
        <w:t xml:space="preserve">Authorisation without a valid signature is refused; a signature bound to stale content is refused.</w:t>
      </w:r>
    </w:p>
    <w:p>
      <w:pPr>
        <w:pStyle w:val="ListParagraph"/>
        <w:numPr>
          <w:ilvl w:val="0"/>
          <w:numId w:val="1"/>
        </w:numPr>
        <w:spacing w:after="80" w:line="276"/>
      </w:pPr>
      <w:r>
        <w:rPr>
          <w:color w:val="333A47"/>
          <w:sz w:val="21"/>
          <w:szCs w:val="21"/>
        </w:rPr>
        <w:t xml:space="preserve">An unsigned or tampered analyzer message is rejected; a replayed message is a no-op, not a duplicate result.</w:t>
      </w:r>
    </w:p>
    <w:p>
      <w:pPr>
        <w:pStyle w:val="ListParagraph"/>
        <w:numPr>
          <w:ilvl w:val="0"/>
          <w:numId w:val="1"/>
        </w:numPr>
        <w:spacing w:after="80" w:line="276"/>
      </w:pPr>
      <w:r>
        <w:rPr>
          <w:color w:val="333A47"/>
          <w:sz w:val="21"/>
          <w:szCs w:val="21"/>
        </w:rPr>
        <w:t xml:space="preserve">A failed QC run blocks authorisation, and a documented corrective action unblocks it.</w:t>
      </w:r>
    </w:p>
    <w:p>
      <w:pPr>
        <w:pStyle w:val="ListParagraph"/>
        <w:numPr>
          <w:ilvl w:val="0"/>
          <w:numId w:val="1"/>
        </w:numPr>
        <w:spacing w:after="80" w:line="276"/>
      </w:pPr>
      <w:r>
        <w:rPr>
          <w:color w:val="333A47"/>
          <w:sz w:val="21"/>
          <w:szCs w:val="21"/>
        </w:rPr>
        <w:t xml:space="preserve">UPDATE on the audit log is denied by the database itself.</w:t>
      </w:r>
    </w:p>
    <w:p>
      <w:pPr>
        <w:pStyle w:val="ListParagraph"/>
        <w:numPr>
          <w:ilvl w:val="0"/>
          <w:numId w:val="1"/>
        </w:numPr>
        <w:spacing w:after="80" w:line="276"/>
      </w:pPr>
      <w:r>
        <w:rPr>
          <w:color w:val="333A47"/>
          <w:sz w:val="21"/>
          <w:szCs w:val="21"/>
        </w:rPr>
        <w:t xml:space="preserve">With no tenant context set, queries return zero rows — the system fails closed.</w:t>
      </w:r>
    </w:p>
    <w:p>
      <w:pPr>
        <w:pStyle w:val="ListParagraph"/>
        <w:numPr>
          <w:ilvl w:val="0"/>
          <w:numId w:val="1"/>
        </w:numPr>
        <w:spacing w:after="80" w:line="276"/>
      </w:pPr>
      <w:r>
        <w:rPr>
          <w:color w:val="333A47"/>
          <w:sz w:val="21"/>
          <w:szCs w:val="21"/>
        </w:rPr>
        <w:t xml:space="preserve">An expired access token is refreshed transparently mid-session; a revoked one signs out cleanly.</w:t>
      </w:r>
    </w:p>
    <w:p>
      <w:pPr>
        <w:pStyle w:val="ListParagraph"/>
        <w:numPr>
          <w:ilvl w:val="0"/>
          <w:numId w:val="1"/>
        </w:numPr>
        <w:spacing w:after="80" w:line="276"/>
      </w:pPr>
      <w:r>
        <w:rPr>
          <w:color w:val="333A47"/>
          <w:sz w:val="21"/>
          <w:szCs w:val="21"/>
        </w:rPr>
        <w:t xml:space="preserve">No screen overflows horizontally at 320px, in landscape, or at 200% zoom.</w:t>
      </w:r>
    </w:p>
    <w:p>
      <w:pPr>
        <w:spacing w:after="140"/>
      </w:pPr>
    </w:p>
    <w:p>
      <w:pPr>
        <w:pStyle w:val="Heading2"/>
        <w:spacing w:after="120" w:before="280"/>
      </w:pPr>
      <w:r>
        <w:rPr>
          <w:b/>
          <w:bCs/>
          <w:color w:val="21252E"/>
          <w:sz w:val="25"/>
          <w:szCs w:val="25"/>
        </w:rPr>
        <w:t xml:space="preserve">5.2 Static audit</w:t>
      </w:r>
    </w:p>
    <w:p>
      <w:pPr>
        <w:spacing w:after="120" w:line="276"/>
      </w:pPr>
      <w:r>
        <w:rPr>
          <w:color w:val="333A47"/>
          <w:sz w:val="21"/>
          <w:szCs w:val="21"/>
        </w:rPr>
        <w:t xml:space="preserve">A separate audit (</w:t>
      </w:r>
      <w:r>
        <w:rPr>
          <w:b/>
          <w:bCs/>
          <w:color w:val="21252E"/>
          <w:sz w:val="21"/>
          <w:szCs w:val="21"/>
        </w:rPr>
        <w:t xml:space="preserve">npm run audit:trace</w:t>
      </w:r>
      <w:r>
        <w:rPr>
          <w:color w:val="333A47"/>
          <w:sz w:val="21"/>
          <w:szCs w:val="21"/>
        </w:rPr>
        <w:t xml:space="preserve">) checks that nothing is declared without being wired — a permission with no route, a model nothing reads, an endpoint no screen reaches. Current result: </w:t>
      </w:r>
      <w:r>
        <w:rPr>
          <w:b/>
          <w:bCs/>
          <w:color w:val="21252E"/>
          <w:sz w:val="21"/>
          <w:szCs w:val="21"/>
        </w:rPr>
        <w:t xml:space="preserve">no dead ends</w:t>
      </w:r>
      <w:r>
        <w:rPr>
          <w:color w:val="333A47"/>
          <w:sz w:val="21"/>
          <w:szCs w:val="21"/>
        </w:rPr>
        <w:t xml:space="preserve">.</w:t>
      </w:r>
    </w:p>
    <w:p>
      <w:r>
        <w:br w:type="page"/>
      </w:r>
    </w:p>
    <w:p>
      <w:pPr>
        <w:pStyle w:val="Heading1"/>
        <w:spacing w:after="160" w:before="360"/>
      </w:pPr>
      <w:r>
        <w:rPr>
          <w:b/>
          <w:bCs/>
          <w:color w:val="21252E"/>
          <w:sz w:val="32"/>
          <w:szCs w:val="32"/>
        </w:rPr>
        <w:t xml:space="preserve">6. Requirements Coverage</w:t>
      </w:r>
    </w:p>
    <w:p>
      <w:pPr>
        <w:spacing w:after="120" w:line="276"/>
      </w:pPr>
      <w:r>
        <w:rPr>
          <w:color w:val="333A47"/>
          <w:sz w:val="21"/>
          <w:szCs w:val="21"/>
        </w:rPr>
        <w:t xml:space="preserve">Traced against the capabilities and buyer requirements in the market report. Regenerated from the codebase, not asserted by hand.</w:t>
      </w:r>
    </w:p>
    <w:p>
      <w:pPr>
        <w:spacing w:after="140"/>
      </w:pPr>
    </w:p>
    <w:p>
      <w:pPr>
        <w:pStyle w:val="Heading2"/>
        <w:spacing w:after="120" w:before="280"/>
      </w:pPr>
      <w:r>
        <w:rPr>
          <w:b/>
          <w:bCs/>
          <w:color w:val="21252E"/>
          <w:sz w:val="25"/>
          <w:szCs w:val="25"/>
        </w:rPr>
        <w:t xml:space="preserve">6.1 Built and verified (18)</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72%"/>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28%"/>
            <w:shd w:fill="F4F6F8" w:val="clear"/>
            <w:tcMar>
              <w:top w:type="dxa" w:w="90"/>
              <w:left w:type="dxa" w:w="130"/>
              <w:bottom w:type="dxa" w:w="90"/>
              <w:right w:type="dxa" w:w="130"/>
            </w:tcMar>
          </w:tcPr>
          <w:p>
            <w:pPr>
              <w:spacing w:after="0"/>
            </w:pPr>
            <w:r>
              <w:rPr>
                <w:b/>
                <w:bCs/>
                <w:color w:val="21252E"/>
                <w:sz w:val="18"/>
                <w:szCs w:val="18"/>
              </w:rPr>
              <w:t xml:space="preserve">Source</w:t>
            </w:r>
          </w:p>
        </w:tc>
      </w:tr>
      <w:tr>
        <w:tc>
          <w:tcPr>
            <w:tcW w:type="pct" w:w="72%"/>
            <w:tcMar>
              <w:top w:type="dxa" w:w="90"/>
              <w:left w:type="dxa" w:w="130"/>
              <w:bottom w:type="dxa" w:w="90"/>
              <w:right w:type="dxa" w:w="130"/>
            </w:tcMar>
          </w:tcPr>
          <w:p>
            <w:pPr>
              <w:spacing w:after="0"/>
            </w:pPr>
            <w:r>
              <w:rPr>
                <w:color w:val="333A47"/>
                <w:sz w:val="19"/>
                <w:szCs w:val="19"/>
              </w:rPr>
              <w:t xml:space="preserve">Sample login, accessioning and tracking</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Result entry with validation and delta checks</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Instrument interfacing (ASTM, HL7, file)</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Workflows and dashboards</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Training / analyst certification enforcement</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Barcode scan input</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Data search and audit trail</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Mobile access (PWA, installable)</w:t>
            </w:r>
          </w:p>
        </w:tc>
        <w:tc>
          <w:tcPr>
            <w:tcW w:type="pct" w:w="28%"/>
            <w:tcMar>
              <w:top w:type="dxa" w:w="90"/>
              <w:left w:type="dxa" w:w="130"/>
              <w:bottom w:type="dxa" w:w="90"/>
              <w:right w:type="dxa" w:w="130"/>
            </w:tcMar>
          </w:tcPr>
          <w:p>
            <w:pPr>
              <w:spacing w:after="0"/>
            </w:pPr>
            <w:r>
              <w:rPr>
                <w:color w:val="333A47"/>
                <w:sz w:val="19"/>
                <w:szCs w:val="19"/>
              </w:rPr>
              <w:t xml:space="preserve">§2.3</w:t>
            </w:r>
          </w:p>
        </w:tc>
      </w:tr>
      <w:tr>
        <w:tc>
          <w:tcPr>
            <w:tcW w:type="pct" w:w="72%"/>
            <w:tcMar>
              <w:top w:type="dxa" w:w="90"/>
              <w:left w:type="dxa" w:w="130"/>
              <w:bottom w:type="dxa" w:w="90"/>
              <w:right w:type="dxa" w:w="130"/>
            </w:tcMar>
          </w:tcPr>
          <w:p>
            <w:pPr>
              <w:spacing w:after="0"/>
            </w:pPr>
            <w:r>
              <w:rPr>
                <w:color w:val="333A47"/>
                <w:sz w:val="19"/>
                <w:szCs w:val="19"/>
              </w:rPr>
              <w:t xml:space="preserve">Quality control with Westgard rules and gating</w:t>
            </w:r>
          </w:p>
        </w:tc>
        <w:tc>
          <w:tcPr>
            <w:tcW w:type="pct" w:w="28%"/>
            <w:tcMar>
              <w:top w:type="dxa" w:w="90"/>
              <w:left w:type="dxa" w:w="130"/>
              <w:bottom w:type="dxa" w:w="90"/>
              <w:right w:type="dxa" w:w="130"/>
            </w:tcMar>
          </w:tcPr>
          <w:p>
            <w:pPr>
              <w:spacing w:after="0"/>
            </w:pPr>
            <w:r>
              <w:rPr>
                <w:color w:val="333A47"/>
                <w:sz w:val="19"/>
                <w:szCs w:val="19"/>
              </w:rPr>
              <w:t xml:space="preserve">§2.3 / NABL</w:t>
            </w:r>
          </w:p>
        </w:tc>
      </w:tr>
      <w:tr>
        <w:tc>
          <w:tcPr>
            <w:tcW w:type="pct" w:w="72%"/>
            <w:tcMar>
              <w:top w:type="dxa" w:w="90"/>
              <w:left w:type="dxa" w:w="130"/>
              <w:bottom w:type="dxa" w:w="90"/>
              <w:right w:type="dxa" w:w="130"/>
            </w:tcMar>
          </w:tcPr>
          <w:p>
            <w:pPr>
              <w:spacing w:after="0"/>
            </w:pPr>
            <w:r>
              <w:rPr>
                <w:color w:val="333A47"/>
                <w:sz w:val="19"/>
                <w:szCs w:val="19"/>
              </w:rPr>
              <w:t xml:space="preserve">Getting off paper and manual registers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NABL-compliant records that simplify audits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Analyzers actually used in Indian labs</w:t>
            </w:r>
          </w:p>
        </w:tc>
        <w:tc>
          <w:tcPr>
            <w:tcW w:type="pct" w:w="28%"/>
            <w:tcMar>
              <w:top w:type="dxa" w:w="90"/>
              <w:left w:type="dxa" w:w="130"/>
              <w:bottom w:type="dxa" w:w="90"/>
              <w:right w:type="dxa" w:w="130"/>
            </w:tcMar>
          </w:tcPr>
          <w:p>
            <w:pPr>
              <w:spacing w:after="0"/>
            </w:pPr>
            <w:r>
              <w:rPr>
                <w:color w:val="333A47"/>
                <w:sz w:val="19"/>
                <w:szCs w:val="19"/>
              </w:rPr>
              <w:t xml:space="preserve">§11.2</w:t>
            </w:r>
          </w:p>
        </w:tc>
      </w:tr>
      <w:tr>
        <w:tc>
          <w:tcPr>
            <w:tcW w:type="pct" w:w="72%"/>
            <w:tcMar>
              <w:top w:type="dxa" w:w="90"/>
              <w:left w:type="dxa" w:w="130"/>
              <w:bottom w:type="dxa" w:w="90"/>
              <w:right w:type="dxa" w:w="130"/>
            </w:tcMar>
          </w:tcPr>
          <w:p>
            <w:pPr>
              <w:spacing w:after="0"/>
            </w:pPr>
            <w:r>
              <w:rPr>
                <w:color w:val="333A47"/>
                <w:sz w:val="19"/>
                <w:szCs w:val="19"/>
              </w:rPr>
              <w:t xml:space="preserve">Regulation-grade tamper-evident audit trail</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DPDP-first architecture (consent, encryption)</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Crypto-shredded erasure</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India-only data residency, asserted at boot</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Multi-site / multi-branch support</w:t>
            </w:r>
          </w:p>
        </w:tc>
        <w:tc>
          <w:tcPr>
            <w:tcW w:type="pct" w:w="28%"/>
            <w:tcMar>
              <w:top w:type="dxa" w:w="90"/>
              <w:left w:type="dxa" w:w="130"/>
              <w:bottom w:type="dxa" w:w="90"/>
              <w:right w:type="dxa" w:w="130"/>
            </w:tcMar>
          </w:tcPr>
          <w:p>
            <w:pPr>
              <w:spacing w:after="0"/>
            </w:pPr>
            <w:r>
              <w:rPr>
                <w:color w:val="333A47"/>
                <w:sz w:val="19"/>
                <w:szCs w:val="19"/>
              </w:rPr>
              <w:t xml:space="preserve">Part 6</w:t>
            </w:r>
          </w:p>
        </w:tc>
      </w:tr>
      <w:tr>
        <w:tc>
          <w:tcPr>
            <w:tcW w:type="pct" w:w="72%"/>
            <w:tcMar>
              <w:top w:type="dxa" w:w="90"/>
              <w:left w:type="dxa" w:w="130"/>
              <w:bottom w:type="dxa" w:w="90"/>
              <w:right w:type="dxa" w:w="130"/>
            </w:tcMar>
          </w:tcPr>
          <w:p>
            <w:pPr>
              <w:spacing w:after="0"/>
            </w:pPr>
            <w:r>
              <w:rPr>
                <w:color w:val="333A47"/>
                <w:sz w:val="19"/>
                <w:szCs w:val="19"/>
              </w:rPr>
              <w:t xml:space="preserve">One deliberate beachhead vertical (diagnostics)</w:t>
            </w:r>
          </w:p>
        </w:tc>
        <w:tc>
          <w:tcPr>
            <w:tcW w:type="pct" w:w="28%"/>
            <w:tcMar>
              <w:top w:type="dxa" w:w="90"/>
              <w:left w:type="dxa" w:w="130"/>
              <w:bottom w:type="dxa" w:w="90"/>
              <w:right w:type="dxa" w:w="130"/>
            </w:tcMar>
          </w:tcPr>
          <w:p>
            <w:pPr>
              <w:spacing w:after="0"/>
            </w:pPr>
            <w:r>
              <w:rPr>
                <w:color w:val="333A47"/>
                <w:sz w:val="19"/>
                <w:szCs w:val="19"/>
              </w:rPr>
              <w:t xml:space="preserve">Part 13</w:t>
            </w:r>
          </w:p>
        </w:tc>
      </w:tr>
    </w:tbl>
    <w:p>
      <w:pPr>
        <w:spacing w:after="140"/>
      </w:pPr>
    </w:p>
    <w:p>
      <w:pPr>
        <w:pStyle w:val="Heading2"/>
        <w:spacing w:after="120" w:before="280"/>
      </w:pPr>
      <w:r>
        <w:rPr>
          <w:b/>
          <w:bCs/>
          <w:color w:val="21252E"/>
          <w:sz w:val="25"/>
          <w:szCs w:val="25"/>
        </w:rPr>
        <w:t xml:space="preserve">6.2 Partial (2)</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37%"/>
            <w:shd w:fill="F4F6F8" w:val="clear"/>
            <w:tcMar>
              <w:top w:type="dxa" w:w="90"/>
              <w:left w:type="dxa" w:w="130"/>
              <w:bottom w:type="dxa" w:w="90"/>
              <w:right w:type="dxa" w:w="130"/>
            </w:tcMar>
          </w:tcPr>
          <w:p>
            <w:pPr>
              <w:spacing w:after="0"/>
            </w:pPr>
            <w:r>
              <w:rPr>
                <w:b/>
                <w:bCs/>
                <w:color w:val="21252E"/>
                <w:sz w:val="18"/>
                <w:szCs w:val="18"/>
              </w:rPr>
              <w:t xml:space="preserve">What exists</w:t>
            </w:r>
          </w:p>
        </w:tc>
        <w:tc>
          <w:tcPr>
            <w:tcW w:type="pct" w:w="37%"/>
            <w:shd w:fill="F4F6F8" w:val="clear"/>
            <w:tcMar>
              <w:top w:type="dxa" w:w="90"/>
              <w:left w:type="dxa" w:w="130"/>
              <w:bottom w:type="dxa" w:w="90"/>
              <w:right w:type="dxa" w:w="130"/>
            </w:tcMar>
          </w:tcPr>
          <w:p>
            <w:pPr>
              <w:spacing w:after="0"/>
            </w:pPr>
            <w:r>
              <w:rPr>
                <w:b/>
                <w:bCs/>
                <w:color w:val="21252E"/>
                <w:sz w:val="18"/>
                <w:szCs w:val="18"/>
              </w:rPr>
              <w:t xml:space="preserve">What is missing</w:t>
            </w:r>
          </w:p>
        </w:tc>
      </w:tr>
      <w:tr>
        <w:tc>
          <w:tcPr>
            <w:tcW w:type="pct" w:w="26%"/>
            <w:tcMar>
              <w:top w:type="dxa" w:w="90"/>
              <w:left w:type="dxa" w:w="130"/>
              <w:bottom w:type="dxa" w:w="90"/>
              <w:right w:type="dxa" w:w="130"/>
            </w:tcMar>
          </w:tcPr>
          <w:p>
            <w:pPr>
              <w:spacing w:after="0"/>
            </w:pPr>
            <w:r>
              <w:rPr>
                <w:color w:val="333A47"/>
                <w:sz w:val="19"/>
                <w:szCs w:val="19"/>
              </w:rPr>
              <w:t xml:space="preserve">Digital report delivery (§11.2)</w:t>
            </w:r>
          </w:p>
        </w:tc>
        <w:tc>
          <w:tcPr>
            <w:tcW w:type="pct" w:w="37%"/>
            <w:tcMar>
              <w:top w:type="dxa" w:w="90"/>
              <w:left w:type="dxa" w:w="130"/>
              <w:bottom w:type="dxa" w:w="90"/>
              <w:right w:type="dxa" w:w="130"/>
            </w:tcMar>
          </w:tcPr>
          <w:p>
            <w:pPr>
              <w:spacing w:after="0"/>
            </w:pPr>
            <w:r>
              <w:rPr>
                <w:color w:val="333A47"/>
                <w:sz w:val="19"/>
                <w:szCs w:val="19"/>
              </w:rPr>
              <w:t xml:space="preserve">Queued, with a DPDP consent check that blocks delivery without consent</w:t>
            </w:r>
          </w:p>
        </w:tc>
        <w:tc>
          <w:tcPr>
            <w:tcW w:type="pct" w:w="37%"/>
            <w:tcMar>
              <w:top w:type="dxa" w:w="90"/>
              <w:left w:type="dxa" w:w="130"/>
              <w:bottom w:type="dxa" w:w="90"/>
              <w:right w:type="dxa" w:w="130"/>
            </w:tcMar>
          </w:tcPr>
          <w:p>
            <w:pPr>
              <w:spacing w:after="0"/>
            </w:pPr>
            <w:r>
              <w:rPr>
                <w:color w:val="333A47"/>
                <w:sz w:val="19"/>
                <w:szCs w:val="19"/>
              </w:rPr>
              <w:t xml:space="preserve">No WhatsApp / SMS / email provider is wired — nothing actually sends</w:t>
            </w:r>
          </w:p>
        </w:tc>
      </w:tr>
      <w:tr>
        <w:tc>
          <w:tcPr>
            <w:tcW w:type="pct" w:w="26%"/>
            <w:tcMar>
              <w:top w:type="dxa" w:w="90"/>
              <w:left w:type="dxa" w:w="130"/>
              <w:bottom w:type="dxa" w:w="90"/>
              <w:right w:type="dxa" w:w="130"/>
            </w:tcMar>
          </w:tcPr>
          <w:p>
            <w:pPr>
              <w:spacing w:after="0"/>
            </w:pPr>
            <w:r>
              <w:rPr>
                <w:color w:val="333A47"/>
                <w:sz w:val="19"/>
                <w:szCs w:val="19"/>
              </w:rPr>
              <w:t xml:space="preserve">GST-ready billing (§11.2)</w:t>
            </w:r>
          </w:p>
        </w:tc>
        <w:tc>
          <w:tcPr>
            <w:tcW w:type="pct" w:w="37%"/>
            <w:tcMar>
              <w:top w:type="dxa" w:w="90"/>
              <w:left w:type="dxa" w:w="130"/>
              <w:bottom w:type="dxa" w:w="90"/>
              <w:right w:type="dxa" w:w="130"/>
            </w:tcMar>
          </w:tcPr>
          <w:p>
            <w:pPr>
              <w:spacing w:after="0"/>
            </w:pPr>
            <w:r>
              <w:rPr>
                <w:color w:val="333A47"/>
                <w:sz w:val="19"/>
                <w:szCs w:val="19"/>
              </w:rPr>
              <w:t xml:space="preserve">Invoices created with each order; schema carries CGST/SGST/IGST, HSN/SAC, place of supply</w:t>
            </w:r>
          </w:p>
        </w:tc>
        <w:tc>
          <w:tcPr>
            <w:tcW w:type="pct" w:w="37%"/>
            <w:tcMar>
              <w:top w:type="dxa" w:w="90"/>
              <w:left w:type="dxa" w:w="130"/>
              <w:bottom w:type="dxa" w:w="90"/>
              <w:right w:type="dxa" w:w="130"/>
            </w:tcMar>
          </w:tcPr>
          <w:p>
            <w:pPr>
              <w:spacing w:after="0"/>
            </w:pPr>
            <w:r>
              <w:rPr>
                <w:color w:val="333A47"/>
                <w:sz w:val="19"/>
                <w:szCs w:val="19"/>
              </w:rPr>
              <w:t xml:space="preserve">No screen to view, cancel or take payment against an invoice</w:t>
            </w:r>
          </w:p>
        </w:tc>
      </w:tr>
    </w:tbl>
    <w:p>
      <w:pPr>
        <w:spacing w:after="140"/>
      </w:pPr>
    </w:p>
    <w:p>
      <w:pPr>
        <w:pStyle w:val="Heading2"/>
        <w:spacing w:after="120" w:before="280"/>
      </w:pPr>
      <w:r>
        <w:rPr>
          <w:b/>
          <w:bCs/>
          <w:color w:val="21252E"/>
          <w:sz w:val="25"/>
          <w:szCs w:val="25"/>
        </w:rPr>
        <w:t xml:space="preserve">6.3 Gaps (6)</w:t>
      </w:r>
    </w:p>
    <w:p>
      <w:pPr>
        <w:shd w:fill="F4F6F8" w:val="clear"/>
        <w:spacing w:after="0" w:before="140"/>
        <w:ind w:left="172"/>
      </w:pPr>
      <w:r>
        <w:rPr>
          <w:b/>
          <w:bCs/>
          <w:color w:val="A16207"/>
          <w:sz w:val="20"/>
          <w:szCs w:val="20"/>
        </w:rPr>
        <w:t xml:space="preserve">Stated plainly</w:t>
      </w:r>
    </w:p>
    <w:p>
      <w:pPr>
        <w:shd w:fill="F4F6F8" w:val="clear"/>
        <w:spacing w:after="160"/>
        <w:ind w:left="172"/>
      </w:pPr>
      <w:r>
        <w:rPr>
          <w:color w:val="333A47"/>
          <w:sz w:val="20"/>
          <w:szCs w:val="20"/>
        </w:rPr>
        <w:t xml:space="preserve">These are genuine gaps against requirements named in the report, not oversights discovered late. They are listed so nobody encounters them for the first time in front of a customer.</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2%"/>
            <w:shd w:fill="F4F6F8" w:val="clear"/>
            <w:tcMar>
              <w:top w:type="dxa" w:w="90"/>
              <w:left w:type="dxa" w:w="130"/>
              <w:bottom w:type="dxa" w:w="90"/>
              <w:right w:type="dxa" w:w="130"/>
            </w:tcMar>
          </w:tcPr>
          <w:p>
            <w:pPr>
              <w:spacing w:after="0"/>
            </w:pPr>
            <w:r>
              <w:rPr>
                <w:b/>
                <w:bCs/>
                <w:color w:val="21252E"/>
                <w:sz w:val="18"/>
                <w:szCs w:val="18"/>
              </w:rPr>
              <w:t xml:space="preserve">Requirement</w:t>
            </w:r>
          </w:p>
        </w:tc>
        <w:tc>
          <w:tcPr>
            <w:tcW w:type="pct" w:w="51%"/>
            <w:shd w:fill="F4F6F8" w:val="clear"/>
            <w:tcMar>
              <w:top w:type="dxa" w:w="90"/>
              <w:left w:type="dxa" w:w="130"/>
              <w:bottom w:type="dxa" w:w="90"/>
              <w:right w:type="dxa" w:w="130"/>
            </w:tcMar>
          </w:tcPr>
          <w:p>
            <w:pPr>
              <w:spacing w:after="0"/>
            </w:pPr>
            <w:r>
              <w:rPr>
                <w:b/>
                <w:bCs/>
                <w:color w:val="21252E"/>
                <w:sz w:val="18"/>
                <w:szCs w:val="18"/>
              </w:rPr>
              <w:t xml:space="preserve">Why it matters</w:t>
            </w:r>
          </w:p>
        </w:tc>
        <w:tc>
          <w:tcPr>
            <w:tcW w:type="pct" w:w="27%"/>
            <w:shd w:fill="F4F6F8" w:val="clear"/>
            <w:tcMar>
              <w:top w:type="dxa" w:w="90"/>
              <w:left w:type="dxa" w:w="130"/>
              <w:bottom w:type="dxa" w:w="90"/>
              <w:right w:type="dxa" w:w="130"/>
            </w:tcMar>
          </w:tcPr>
          <w:p>
            <w:pPr>
              <w:spacing w:after="0"/>
            </w:pPr>
            <w:r>
              <w:rPr>
                <w:b/>
                <w:bCs/>
                <w:color w:val="21252E"/>
                <w:sz w:val="18"/>
                <w:szCs w:val="18"/>
              </w:rPr>
              <w:t xml:space="preserve">Status</w:t>
            </w:r>
          </w:p>
        </w:tc>
      </w:tr>
      <w:tr>
        <w:tc>
          <w:tcPr>
            <w:tcW w:type="pct" w:w="22%"/>
            <w:tcMar>
              <w:top w:type="dxa" w:w="90"/>
              <w:left w:type="dxa" w:w="130"/>
              <w:bottom w:type="dxa" w:w="90"/>
              <w:right w:type="dxa" w:w="130"/>
            </w:tcMar>
          </w:tcPr>
          <w:p>
            <w:pPr>
              <w:spacing w:after="0"/>
            </w:pPr>
            <w:r>
              <w:rPr>
                <w:b/>
                <w:bCs/>
                <w:color w:val="B91C1C"/>
                <w:sz w:val="19"/>
                <w:szCs w:val="19"/>
              </w:rPr>
              <w:t xml:space="preserve">Regional languages</w:t>
            </w:r>
          </w:p>
        </w:tc>
        <w:tc>
          <w:tcPr>
            <w:tcW w:type="pct" w:w="51%"/>
            <w:tcMar>
              <w:top w:type="dxa" w:w="90"/>
              <w:left w:type="dxa" w:w="130"/>
              <w:bottom w:type="dxa" w:w="90"/>
              <w:right w:type="dxa" w:w="130"/>
            </w:tcMar>
          </w:tcPr>
          <w:p>
            <w:pPr>
              <w:spacing w:after="0"/>
            </w:pPr>
            <w:r>
              <w:rPr>
                <w:color w:val="333A47"/>
                <w:sz w:val="19"/>
                <w:szCs w:val="19"/>
              </w:rPr>
              <w:t xml:space="preserve">Named repeatedly in the report (§6.4, §11.2) as a differentiator against the global incumbents. Bench staff may be far more comfortable in Telugu or Hindi than English-only software.</w:t>
            </w:r>
          </w:p>
        </w:tc>
        <w:tc>
          <w:tcPr>
            <w:tcW w:type="pct" w:w="27%"/>
            <w:tcMar>
              <w:top w:type="dxa" w:w="90"/>
              <w:left w:type="dxa" w:w="130"/>
              <w:bottom w:type="dxa" w:w="90"/>
              <w:right w:type="dxa" w:w="130"/>
            </w:tcMar>
          </w:tcPr>
          <w:p>
            <w:pPr>
              <w:spacing w:after="0"/>
            </w:pPr>
            <w:r>
              <w:rPr>
                <w:color w:val="333A47"/>
                <w:sz w:val="19"/>
                <w:szCs w:val="19"/>
              </w:rPr>
              <w:t xml:space="preserve">Not built. No i18n framework, no translations.</w:t>
            </w:r>
          </w:p>
        </w:tc>
      </w:tr>
      <w:tr>
        <w:tc>
          <w:tcPr>
            <w:tcW w:type="pct" w:w="22%"/>
            <w:tcMar>
              <w:top w:type="dxa" w:w="90"/>
              <w:left w:type="dxa" w:w="130"/>
              <w:bottom w:type="dxa" w:w="90"/>
              <w:right w:type="dxa" w:w="130"/>
            </w:tcMar>
          </w:tcPr>
          <w:p>
            <w:pPr>
              <w:spacing w:after="0"/>
            </w:pPr>
            <w:r>
              <w:rPr>
                <w:b/>
                <w:bCs/>
                <w:color w:val="B91C1C"/>
                <w:sz w:val="19"/>
                <w:szCs w:val="19"/>
              </w:rPr>
              <w:t xml:space="preserve">WhatsApp delivery</w:t>
            </w:r>
          </w:p>
        </w:tc>
        <w:tc>
          <w:tcPr>
            <w:tcW w:type="pct" w:w="51%"/>
            <w:tcMar>
              <w:top w:type="dxa" w:w="90"/>
              <w:left w:type="dxa" w:w="130"/>
              <w:bottom w:type="dxa" w:w="90"/>
              <w:right w:type="dxa" w:w="130"/>
            </w:tcMar>
          </w:tcPr>
          <w:p>
            <w:pPr>
              <w:spacing w:after="0"/>
            </w:pPr>
            <w:r>
              <w:rPr>
                <w:color w:val="333A47"/>
                <w:sz w:val="19"/>
                <w:szCs w:val="19"/>
              </w:rPr>
              <w:t xml:space="preserve">Named directly in what Indian labs say they want.</w:t>
            </w:r>
          </w:p>
        </w:tc>
        <w:tc>
          <w:tcPr>
            <w:tcW w:type="pct" w:w="27%"/>
            <w:tcMar>
              <w:top w:type="dxa" w:w="90"/>
              <w:left w:type="dxa" w:w="130"/>
              <w:bottom w:type="dxa" w:w="90"/>
              <w:right w:type="dxa" w:w="130"/>
            </w:tcMar>
          </w:tcPr>
          <w:p>
            <w:pPr>
              <w:spacing w:after="0"/>
            </w:pPr>
            <w:r>
              <w:rPr>
                <w:color w:val="333A47"/>
                <w:sz w:val="19"/>
                <w:szCs w:val="19"/>
              </w:rPr>
              <w:t xml:space="preserve">Provider not wired.</w:t>
            </w:r>
          </w:p>
        </w:tc>
      </w:tr>
      <w:tr>
        <w:tc>
          <w:tcPr>
            <w:tcW w:type="pct" w:w="22%"/>
            <w:tcMar>
              <w:top w:type="dxa" w:w="90"/>
              <w:left w:type="dxa" w:w="130"/>
              <w:bottom w:type="dxa" w:w="90"/>
              <w:right w:type="dxa" w:w="130"/>
            </w:tcMar>
          </w:tcPr>
          <w:p>
            <w:pPr>
              <w:spacing w:after="0"/>
            </w:pPr>
            <w:r>
              <w:rPr>
                <w:color w:val="333A47"/>
                <w:sz w:val="19"/>
                <w:szCs w:val="19"/>
              </w:rPr>
              <w:t xml:space="preserve">Barcode label printing</w:t>
            </w:r>
          </w:p>
        </w:tc>
        <w:tc>
          <w:tcPr>
            <w:tcW w:type="pct" w:w="51%"/>
            <w:tcMar>
              <w:top w:type="dxa" w:w="90"/>
              <w:left w:type="dxa" w:w="130"/>
              <w:bottom w:type="dxa" w:w="90"/>
              <w:right w:type="dxa" w:w="130"/>
            </w:tcMar>
          </w:tcPr>
          <w:p>
            <w:pPr>
              <w:spacing w:after="0"/>
            </w:pPr>
            <w:r>
              <w:rPr>
                <w:color w:val="333A47"/>
                <w:sz w:val="19"/>
                <w:szCs w:val="19"/>
              </w:rPr>
              <w:t xml:space="preserve">Scanning works; printing does not. A lab still needs physical labels.</w:t>
            </w:r>
          </w:p>
        </w:tc>
        <w:tc>
          <w:tcPr>
            <w:tcW w:type="pct" w:w="27%"/>
            <w:tcMar>
              <w:top w:type="dxa" w:w="90"/>
              <w:left w:type="dxa" w:w="130"/>
              <w:bottom w:type="dxa" w:w="90"/>
              <w:right w:type="dxa" w:w="130"/>
            </w:tcMar>
          </w:tcPr>
          <w:p>
            <w:pPr>
              <w:spacing w:after="0"/>
            </w:pPr>
            <w:r>
              <w:rPr>
                <w:color w:val="333A47"/>
                <w:sz w:val="19"/>
                <w:szCs w:val="19"/>
              </w:rPr>
              <w:t xml:space="preserve">Phase 1 (ZPL to Zebra / TSC).</w:t>
            </w:r>
          </w:p>
        </w:tc>
      </w:tr>
      <w:tr>
        <w:tc>
          <w:tcPr>
            <w:tcW w:type="pct" w:w="22%"/>
            <w:tcMar>
              <w:top w:type="dxa" w:w="90"/>
              <w:left w:type="dxa" w:w="130"/>
              <w:bottom w:type="dxa" w:w="90"/>
              <w:right w:type="dxa" w:w="130"/>
            </w:tcMar>
          </w:tcPr>
          <w:p>
            <w:pPr>
              <w:spacing w:after="0"/>
            </w:pPr>
            <w:r>
              <w:rPr>
                <w:color w:val="333A47"/>
                <w:sz w:val="19"/>
                <w:szCs w:val="19"/>
              </w:rPr>
              <w:t xml:space="preserve">Inventory management</w:t>
            </w:r>
          </w:p>
        </w:tc>
        <w:tc>
          <w:tcPr>
            <w:tcW w:type="pct" w:w="51%"/>
            <w:tcMar>
              <w:top w:type="dxa" w:w="90"/>
              <w:left w:type="dxa" w:w="130"/>
              <w:bottom w:type="dxa" w:w="90"/>
              <w:right w:type="dxa" w:w="130"/>
            </w:tcMar>
          </w:tcPr>
          <w:p>
            <w:pPr>
              <w:spacing w:after="0"/>
            </w:pPr>
            <w:r>
              <w:rPr>
                <w:color w:val="333A47"/>
                <w:sz w:val="19"/>
                <w:szCs w:val="19"/>
              </w:rPr>
              <w:t xml:space="preserve">Reagent lots, quantities and expiry tracking.</w:t>
            </w:r>
          </w:p>
        </w:tc>
        <w:tc>
          <w:tcPr>
            <w:tcW w:type="pct" w:w="27%"/>
            <w:tcMar>
              <w:top w:type="dxa" w:w="90"/>
              <w:left w:type="dxa" w:w="130"/>
              <w:bottom w:type="dxa" w:w="90"/>
              <w:right w:type="dxa" w:w="130"/>
            </w:tcMar>
          </w:tcPr>
          <w:p>
            <w:pPr>
              <w:spacing w:after="0"/>
            </w:pPr>
            <w:r>
              <w:rPr>
                <w:color w:val="333A47"/>
                <w:sz w:val="19"/>
                <w:szCs w:val="19"/>
              </w:rPr>
              <w:t xml:space="preserve">Not built.</w:t>
            </w:r>
          </w:p>
        </w:tc>
      </w:tr>
      <w:tr>
        <w:tc>
          <w:tcPr>
            <w:tcW w:type="pct" w:w="22%"/>
            <w:tcMar>
              <w:top w:type="dxa" w:w="90"/>
              <w:left w:type="dxa" w:w="130"/>
              <w:bottom w:type="dxa" w:w="90"/>
              <w:right w:type="dxa" w:w="130"/>
            </w:tcMar>
          </w:tcPr>
          <w:p>
            <w:pPr>
              <w:spacing w:after="0"/>
            </w:pPr>
            <w:r>
              <w:rPr>
                <w:color w:val="333A47"/>
                <w:sz w:val="19"/>
                <w:szCs w:val="19"/>
              </w:rPr>
              <w:t xml:space="preserve">Patient / doctor portal</w:t>
            </w:r>
          </w:p>
        </w:tc>
        <w:tc>
          <w:tcPr>
            <w:tcW w:type="pct" w:w="51%"/>
            <w:tcMar>
              <w:top w:type="dxa" w:w="90"/>
              <w:left w:type="dxa" w:w="130"/>
              <w:bottom w:type="dxa" w:w="90"/>
              <w:right w:type="dxa" w:w="130"/>
            </w:tcMar>
          </w:tcPr>
          <w:p>
            <w:pPr>
              <w:spacing w:after="0"/>
            </w:pPr>
            <w:r>
              <w:rPr>
                <w:color w:val="333A47"/>
                <w:sz w:val="19"/>
                <w:szCs w:val="19"/>
              </w:rPr>
              <w:t xml:space="preserve">Report access without contacting the lab.</w:t>
            </w:r>
          </w:p>
        </w:tc>
        <w:tc>
          <w:tcPr>
            <w:tcW w:type="pct" w:w="27%"/>
            <w:tcMar>
              <w:top w:type="dxa" w:w="90"/>
              <w:left w:type="dxa" w:w="130"/>
              <w:bottom w:type="dxa" w:w="90"/>
              <w:right w:type="dxa" w:w="130"/>
            </w:tcMar>
          </w:tcPr>
          <w:p>
            <w:pPr>
              <w:spacing w:after="0"/>
            </w:pPr>
            <w:r>
              <w:rPr>
                <w:color w:val="333A47"/>
                <w:sz w:val="19"/>
                <w:szCs w:val="19"/>
              </w:rPr>
              <w:t xml:space="preserve">Phase 2.</w:t>
            </w:r>
          </w:p>
        </w:tc>
      </w:tr>
      <w:tr>
        <w:tc>
          <w:tcPr>
            <w:tcW w:type="pct" w:w="22%"/>
            <w:tcMar>
              <w:top w:type="dxa" w:w="90"/>
              <w:left w:type="dxa" w:w="130"/>
              <w:bottom w:type="dxa" w:w="90"/>
              <w:right w:type="dxa" w:w="130"/>
            </w:tcMar>
          </w:tcPr>
          <w:p>
            <w:pPr>
              <w:spacing w:after="0"/>
            </w:pPr>
            <w:r>
              <w:rPr>
                <w:b/>
                <w:bCs/>
                <w:color w:val="B91C1C"/>
                <w:sz w:val="19"/>
                <w:szCs w:val="19"/>
              </w:rPr>
              <w:t xml:space="preserve">Quality/regulatory co-architect</w:t>
            </w:r>
          </w:p>
        </w:tc>
        <w:tc>
          <w:tcPr>
            <w:tcW w:type="pct" w:w="51%"/>
            <w:tcMar>
              <w:top w:type="dxa" w:w="90"/>
              <w:left w:type="dxa" w:w="130"/>
              <w:bottom w:type="dxa" w:w="90"/>
              <w:right w:type="dxa" w:w="130"/>
            </w:tcMar>
          </w:tcPr>
          <w:p>
            <w:pPr>
              <w:spacing w:after="0"/>
            </w:pPr>
            <w:r>
              <w:rPr>
                <w:color w:val="333A47"/>
                <w:sz w:val="19"/>
                <w:szCs w:val="19"/>
              </w:rPr>
              <w:t xml:space="preserve">The report’s own highest-value risk reduction (Recommendation 2). Blocks the pharmaceutical phase.</w:t>
            </w:r>
          </w:p>
        </w:tc>
        <w:tc>
          <w:tcPr>
            <w:tcW w:type="pct" w:w="27%"/>
            <w:tcMar>
              <w:top w:type="dxa" w:w="90"/>
              <w:left w:type="dxa" w:w="130"/>
              <w:bottom w:type="dxa" w:w="90"/>
              <w:right w:type="dxa" w:w="130"/>
            </w:tcMar>
          </w:tcPr>
          <w:p>
            <w:pPr>
              <w:spacing w:after="0"/>
            </w:pPr>
            <w:r>
              <w:rPr>
                <w:color w:val="333A47"/>
                <w:sz w:val="19"/>
                <w:szCs w:val="19"/>
              </w:rPr>
              <w:t xml:space="preserve">A hiring dependency, not code.</w:t>
            </w:r>
          </w:p>
        </w:tc>
      </w:tr>
    </w:tbl>
    <w:p>
      <w:pPr>
        <w:spacing w:after="140"/>
      </w:pPr>
    </w:p>
    <w:p>
      <w:pPr>
        <w:pStyle w:val="Heading2"/>
        <w:spacing w:after="120" w:before="280"/>
      </w:pPr>
      <w:r>
        <w:rPr>
          <w:b/>
          <w:bCs/>
          <w:color w:val="21252E"/>
          <w:sz w:val="25"/>
          <w:szCs w:val="25"/>
        </w:rPr>
        <w:t xml:space="preserve">6.4 Deliberately deferred (5)</w:t>
      </w:r>
    </w:p>
    <w:p>
      <w:pPr>
        <w:spacing w:after="120" w:line="276"/>
      </w:pPr>
      <w:r>
        <w:rPr>
          <w:color w:val="333A47"/>
          <w:sz w:val="21"/>
          <w:szCs w:val="21"/>
        </w:rPr>
        <w:t xml:space="preserve">Deferred with reasoning recorded, not forgotten:</w:t>
      </w:r>
    </w:p>
    <w:p>
      <w:pPr>
        <w:pStyle w:val="ListParagraph"/>
        <w:numPr>
          <w:ilvl w:val="0"/>
          <w:numId w:val="1"/>
        </w:numPr>
        <w:spacing w:after="80" w:line="276"/>
      </w:pPr>
      <w:r>
        <w:rPr>
          <w:color w:val="333A47"/>
          <w:sz w:val="21"/>
          <w:szCs w:val="21"/>
        </w:rPr>
        <w:t xml:space="preserve">Batch/lot genealogy and Certificate of Analysis — pharmaceutical phase two.</w:t>
      </w:r>
    </w:p>
    <w:p>
      <w:pPr>
        <w:pStyle w:val="ListParagraph"/>
        <w:numPr>
          <w:ilvl w:val="0"/>
          <w:numId w:val="1"/>
        </w:numPr>
        <w:spacing w:after="80" w:line="276"/>
      </w:pPr>
      <w:r>
        <w:rPr>
          <w:color w:val="333A47"/>
          <w:sz w:val="21"/>
          <w:szCs w:val="21"/>
        </w:rPr>
        <w:t xml:space="preserve">Stability study management — pharmaceutical phase two.</w:t>
      </w:r>
    </w:p>
    <w:p>
      <w:pPr>
        <w:pStyle w:val="ListParagraph"/>
        <w:numPr>
          <w:ilvl w:val="0"/>
          <w:numId w:val="1"/>
        </w:numPr>
        <w:spacing w:after="80" w:line="276"/>
      </w:pPr>
      <w:r>
        <w:rPr>
          <w:color w:val="333A47"/>
          <w:sz w:val="21"/>
          <w:szCs w:val="21"/>
        </w:rPr>
        <w:t xml:space="preserve">Environmental monitoring — pharmaceutical phase two.</w:t>
      </w:r>
    </w:p>
    <w:p>
      <w:pPr>
        <w:pStyle w:val="ListParagraph"/>
        <w:numPr>
          <w:ilvl w:val="0"/>
          <w:numId w:val="1"/>
        </w:numPr>
        <w:spacing w:after="80" w:line="276"/>
      </w:pPr>
      <w:r>
        <w:rPr>
          <w:color w:val="333A47"/>
          <w:sz w:val="21"/>
          <w:szCs w:val="21"/>
        </w:rPr>
        <w:t xml:space="preserve">Electronic Lab Notebook — a different buyer and a different product.</w:t>
      </w:r>
    </w:p>
    <w:p>
      <w:pPr>
        <w:pStyle w:val="ListParagraph"/>
        <w:numPr>
          <w:ilvl w:val="0"/>
          <w:numId w:val="1"/>
        </w:numPr>
        <w:spacing w:after="80" w:line="276"/>
      </w:pPr>
      <w:r>
        <w:rPr>
          <w:color w:val="333A47"/>
          <w:sz w:val="21"/>
          <w:szCs w:val="21"/>
        </w:rPr>
        <w:t xml:space="preserve">AI/ML features — report §11.2 is explicit that buyers are not asking for these. Revisit after roughly 20 paying laboratories.</w:t>
      </w:r>
    </w:p>
    <w:p>
      <w:pPr>
        <w:spacing w:after="140"/>
      </w:pPr>
    </w:p>
    <w:p>
      <w:pPr>
        <w:spacing w:after="120" w:line="276"/>
      </w:pPr>
      <w:r>
        <w:rPr>
          <w:color w:val="333A47"/>
          <w:sz w:val="21"/>
          <w:szCs w:val="21"/>
        </w:rPr>
        <w:t xml:space="preserve">The data model was designed so the pharmaceutical entities bolt on rather than require a rewrite: </w:t>
      </w:r>
      <w:r>
        <w:rPr>
          <w:b/>
          <w:bCs/>
          <w:color w:val="21252E"/>
          <w:sz w:val="21"/>
          <w:szCs w:val="21"/>
        </w:rPr>
        <w:t xml:space="preserve">Sample.patientId is nullable</w:t>
      </w:r>
      <w:r>
        <w:rPr>
          <w:color w:val="333A47"/>
          <w:sz w:val="21"/>
          <w:szCs w:val="21"/>
        </w:rPr>
        <w:t xml:space="preserve"> and the subject of a sample is polymorphic by design. That is what makes "diagnostics first, pharma second" a sequencing decision rather than a rebuild.</w:t>
      </w:r>
    </w:p>
    <w:p>
      <w:r>
        <w:br w:type="page"/>
      </w:r>
    </w:p>
    <w:p>
      <w:pPr>
        <w:pStyle w:val="Heading1"/>
        <w:spacing w:after="160" w:before="360"/>
      </w:pPr>
      <w:r>
        <w:rPr>
          <w:b/>
          <w:bCs/>
          <w:color w:val="21252E"/>
          <w:sz w:val="32"/>
          <w:szCs w:val="32"/>
        </w:rPr>
        <w:t xml:space="preserve">7. Defects Found and Fixed</w:t>
      </w:r>
    </w:p>
    <w:p>
      <w:pPr>
        <w:spacing w:after="120" w:line="276"/>
      </w:pPr>
      <w:r>
        <w:rPr>
          <w:color w:val="333A47"/>
          <w:sz w:val="21"/>
          <w:szCs w:val="21"/>
        </w:rPr>
        <w:t xml:space="preserve">Found by the verification suites during development, not left for a customer to discover. Each is recorded because the class of bug matters more than the individual fix.</w:t>
      </w:r>
    </w:p>
    <w:p>
      <w:pPr>
        <w:spacing w:after="140"/>
      </w:pPr>
    </w:p>
    <w:p>
      <w:pPr>
        <w:pStyle w:val="Heading2"/>
        <w:spacing w:after="120" w:before="280"/>
      </w:pPr>
      <w:r>
        <w:rPr>
          <w:b/>
          <w:bCs/>
          <w:color w:val="21252E"/>
          <w:sz w:val="25"/>
          <w:szCs w:val="25"/>
        </w:rPr>
        <w:t xml:space="preserve">7.1 Correctness and security</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Defect</w:t>
            </w:r>
          </w:p>
        </w:tc>
        <w:tc>
          <w:tcPr>
            <w:tcW w:type="pct" w:w="34%"/>
            <w:shd w:fill="F4F6F8" w:val="clear"/>
            <w:tcMar>
              <w:top w:type="dxa" w:w="90"/>
              <w:left w:type="dxa" w:w="130"/>
              <w:bottom w:type="dxa" w:w="90"/>
              <w:right w:type="dxa" w:w="130"/>
            </w:tcMar>
          </w:tcPr>
          <w:p>
            <w:pPr>
              <w:spacing w:after="0"/>
            </w:pPr>
            <w:r>
              <w:rPr>
                <w:b/>
                <w:bCs/>
                <w:color w:val="21252E"/>
                <w:sz w:val="18"/>
                <w:szCs w:val="18"/>
              </w:rPr>
              <w:t xml:space="preserve">Impact</w:t>
            </w:r>
          </w:p>
        </w:tc>
        <w:tc>
          <w:tcPr>
            <w:tcW w:type="pct" w:w="36%"/>
            <w:shd w:fill="F4F6F8" w:val="clear"/>
            <w:tcMar>
              <w:top w:type="dxa" w:w="90"/>
              <w:left w:type="dxa" w:w="130"/>
              <w:bottom w:type="dxa" w:w="90"/>
              <w:right w:type="dxa" w:w="130"/>
            </w:tcMar>
          </w:tcPr>
          <w:p>
            <w:pPr>
              <w:spacing w:after="0"/>
            </w:pPr>
            <w:r>
              <w:rPr>
                <w:b/>
                <w:bCs/>
                <w:color w:val="21252E"/>
                <w:sz w:val="18"/>
                <w:szCs w:val="18"/>
              </w:rPr>
              <w:t xml:space="preserve">Resolution</w:t>
            </w:r>
          </w:p>
        </w:tc>
      </w:tr>
      <w:tr>
        <w:tc>
          <w:tcPr>
            <w:tcW w:type="pct" w:w="30%"/>
            <w:tcMar>
              <w:top w:type="dxa" w:w="90"/>
              <w:left w:type="dxa" w:w="130"/>
              <w:bottom w:type="dxa" w:w="90"/>
              <w:right w:type="dxa" w:w="130"/>
            </w:tcMar>
          </w:tcPr>
          <w:p>
            <w:pPr>
              <w:spacing w:after="0"/>
            </w:pPr>
            <w:r>
              <w:rPr>
                <w:color w:val="333A47"/>
                <w:sz w:val="19"/>
                <w:szCs w:val="19"/>
              </w:rPr>
              <w:t xml:space="preserve">Failed logins were audited inside the transaction that then rolled back</w:t>
            </w:r>
          </w:p>
        </w:tc>
        <w:tc>
          <w:tcPr>
            <w:tcW w:type="pct" w:w="34%"/>
            <w:tcMar>
              <w:top w:type="dxa" w:w="90"/>
              <w:left w:type="dxa" w:w="130"/>
              <w:bottom w:type="dxa" w:w="90"/>
              <w:right w:type="dxa" w:w="130"/>
            </w:tcMar>
          </w:tcPr>
          <w:p>
            <w:pPr>
              <w:spacing w:after="0"/>
            </w:pPr>
            <w:r>
              <w:rPr>
                <w:color w:val="333A47"/>
                <w:sz w:val="19"/>
                <w:szCs w:val="19"/>
              </w:rPr>
              <w:t xml:space="preserve">Brute-force attempts left no trace and the lockout counter never incremented</w:t>
            </w:r>
          </w:p>
        </w:tc>
        <w:tc>
          <w:tcPr>
            <w:tcW w:type="pct" w:w="36%"/>
            <w:tcMar>
              <w:top w:type="dxa" w:w="90"/>
              <w:left w:type="dxa" w:w="130"/>
              <w:bottom w:type="dxa" w:w="90"/>
              <w:right w:type="dxa" w:w="130"/>
            </w:tcMar>
          </w:tcPr>
          <w:p>
            <w:pPr>
              <w:spacing w:after="0"/>
            </w:pPr>
            <w:r>
              <w:rPr>
                <w:color w:val="333A47"/>
                <w:sz w:val="19"/>
                <w:szCs w:val="19"/>
              </w:rPr>
              <w:t xml:space="preserve">Login restructured so failures record in an independent, committed transaction</w:t>
            </w:r>
          </w:p>
        </w:tc>
      </w:tr>
      <w:tr>
        <w:tc>
          <w:tcPr>
            <w:tcW w:type="pct" w:w="30%"/>
            <w:tcMar>
              <w:top w:type="dxa" w:w="90"/>
              <w:left w:type="dxa" w:w="130"/>
              <w:bottom w:type="dxa" w:w="90"/>
              <w:right w:type="dxa" w:w="130"/>
            </w:tcMar>
          </w:tcPr>
          <w:p>
            <w:pPr>
              <w:spacing w:after="0"/>
            </w:pPr>
            <w:r>
              <w:rPr>
                <w:color w:val="333A47"/>
                <w:sz w:val="19"/>
                <w:szCs w:val="19"/>
              </w:rPr>
              <w:t xml:space="preserve">RLS chicken-and-egg at sign-in</w:t>
            </w:r>
          </w:p>
        </w:tc>
        <w:tc>
          <w:tcPr>
            <w:tcW w:type="pct" w:w="34%"/>
            <w:tcMar>
              <w:top w:type="dxa" w:w="90"/>
              <w:left w:type="dxa" w:w="130"/>
              <w:bottom w:type="dxa" w:w="90"/>
              <w:right w:type="dxa" w:w="130"/>
            </w:tcMar>
          </w:tcPr>
          <w:p>
            <w:pPr>
              <w:spacing w:after="0"/>
            </w:pPr>
            <w:r>
              <w:rPr>
                <w:color w:val="333A47"/>
                <w:sz w:val="19"/>
                <w:szCs w:val="19"/>
              </w:rPr>
              <w:t xml:space="preserve">Setting tenant context requires a tenant id, but login only has a tenant code</w:t>
            </w:r>
          </w:p>
        </w:tc>
        <w:tc>
          <w:tcPr>
            <w:tcW w:type="pct" w:w="36%"/>
            <w:tcMar>
              <w:top w:type="dxa" w:w="90"/>
              <w:left w:type="dxa" w:w="130"/>
              <w:bottom w:type="dxa" w:w="90"/>
              <w:right w:type="dxa" w:w="130"/>
            </w:tcMar>
          </w:tcPr>
          <w:p>
            <w:pPr>
              <w:spacing w:after="0"/>
            </w:pPr>
            <w:r>
              <w:rPr>
                <w:color w:val="333A47"/>
                <w:sz w:val="19"/>
                <w:szCs w:val="19"/>
              </w:rPr>
              <w:t xml:space="preserve">Four narrow SECURITY DEFINER functions, documented as the only sanctioned boundary crossings</w:t>
            </w:r>
          </w:p>
        </w:tc>
      </w:tr>
      <w:tr>
        <w:tc>
          <w:tcPr>
            <w:tcW w:type="pct" w:w="30%"/>
            <w:tcMar>
              <w:top w:type="dxa" w:w="90"/>
              <w:left w:type="dxa" w:w="130"/>
              <w:bottom w:type="dxa" w:w="90"/>
              <w:right w:type="dxa" w:w="130"/>
            </w:tcMar>
          </w:tcPr>
          <w:p>
            <w:pPr>
              <w:spacing w:after="0"/>
            </w:pPr>
            <w:r>
              <w:rPr>
                <w:color w:val="333A47"/>
                <w:sz w:val="19"/>
                <w:szCs w:val="19"/>
              </w:rPr>
              <w:t xml:space="preserve">@UsePipes applied body validation to route parameters</w:t>
            </w:r>
          </w:p>
        </w:tc>
        <w:tc>
          <w:tcPr>
            <w:tcW w:type="pct" w:w="34%"/>
            <w:tcMar>
              <w:top w:type="dxa" w:w="90"/>
              <w:left w:type="dxa" w:w="130"/>
              <w:bottom w:type="dxa" w:w="90"/>
              <w:right w:type="dxa" w:w="130"/>
            </w:tcMar>
          </w:tcPr>
          <w:p>
            <w:pPr>
              <w:spacing w:after="0"/>
            </w:pPr>
            <w:r>
              <w:rPr>
                <w:color w:val="333A47"/>
                <w:sz w:val="19"/>
                <w:szCs w:val="19"/>
              </w:rPr>
              <w:t xml:space="preserve">Every parameterised POST returned a confusing 422</w:t>
            </w:r>
          </w:p>
        </w:tc>
        <w:tc>
          <w:tcPr>
            <w:tcW w:type="pct" w:w="36%"/>
            <w:tcMar>
              <w:top w:type="dxa" w:w="90"/>
              <w:left w:type="dxa" w:w="130"/>
              <w:bottom w:type="dxa" w:w="90"/>
              <w:right w:type="dxa" w:w="130"/>
            </w:tcMar>
          </w:tcPr>
          <w:p>
            <w:pPr>
              <w:spacing w:after="0"/>
            </w:pPr>
            <w:r>
              <w:rPr>
                <w:color w:val="333A47"/>
                <w:sz w:val="19"/>
                <w:szCs w:val="19"/>
              </w:rPr>
              <w:t xml:space="preserve">Validation bound at the parameter level instead</w:t>
            </w:r>
          </w:p>
        </w:tc>
      </w:tr>
      <w:tr>
        <w:tc>
          <w:tcPr>
            <w:tcW w:type="pct" w:w="30%"/>
            <w:tcMar>
              <w:top w:type="dxa" w:w="90"/>
              <w:left w:type="dxa" w:w="130"/>
              <w:bottom w:type="dxa" w:w="90"/>
              <w:right w:type="dxa" w:w="130"/>
            </w:tcMar>
          </w:tcPr>
          <w:p>
            <w:pPr>
              <w:spacing w:after="0"/>
            </w:pPr>
            <w:r>
              <w:rPr>
                <w:color w:val="333A47"/>
                <w:sz w:val="19"/>
                <w:szCs w:val="19"/>
              </w:rPr>
              <w:t xml:space="preserve">Report generation was not idempotent</w:t>
            </w:r>
          </w:p>
        </w:tc>
        <w:tc>
          <w:tcPr>
            <w:tcW w:type="pct" w:w="34%"/>
            <w:tcMar>
              <w:top w:type="dxa" w:w="90"/>
              <w:left w:type="dxa" w:w="130"/>
              <w:bottom w:type="dxa" w:w="90"/>
              <w:right w:type="dxa" w:w="130"/>
            </w:tcMar>
          </w:tcPr>
          <w:p>
            <w:pPr>
              <w:spacing w:after="0"/>
            </w:pPr>
            <w:r>
              <w:rPr>
                <w:color w:val="333A47"/>
                <w:sz w:val="19"/>
                <w:szCs w:val="19"/>
              </w:rPr>
              <w:t xml:space="preserve">A double-click produced two report numbers for the same results — an auditor would ask which is real</w:t>
            </w:r>
          </w:p>
        </w:tc>
        <w:tc>
          <w:tcPr>
            <w:tcW w:type="pct" w:w="36%"/>
            <w:tcMar>
              <w:top w:type="dxa" w:w="90"/>
              <w:left w:type="dxa" w:w="130"/>
              <w:bottom w:type="dxa" w:w="90"/>
              <w:right w:type="dxa" w:w="130"/>
            </w:tcMar>
          </w:tcPr>
          <w:p>
            <w:pPr>
              <w:spacing w:after="0"/>
            </w:pPr>
            <w:r>
              <w:rPr>
                <w:color w:val="333A47"/>
                <w:sz w:val="19"/>
                <w:szCs w:val="19"/>
              </w:rPr>
              <w:t xml:space="preserve">An unreleased draft covering the same tests is reused; orders now surface existing reports</w:t>
            </w:r>
          </w:p>
        </w:tc>
      </w:tr>
      <w:tr>
        <w:tc>
          <w:tcPr>
            <w:tcW w:type="pct" w:w="30%"/>
            <w:tcMar>
              <w:top w:type="dxa" w:w="90"/>
              <w:left w:type="dxa" w:w="130"/>
              <w:bottom w:type="dxa" w:w="90"/>
              <w:right w:type="dxa" w:w="130"/>
            </w:tcMar>
          </w:tcPr>
          <w:p>
            <w:pPr>
              <w:spacing w:after="0"/>
            </w:pPr>
            <w:r>
              <w:rPr>
                <w:color w:val="333A47"/>
                <w:sz w:val="19"/>
                <w:szCs w:val="19"/>
              </w:rPr>
              <w:t xml:space="preserve">Session died 15 minutes in</w:t>
            </w:r>
          </w:p>
        </w:tc>
        <w:tc>
          <w:tcPr>
            <w:tcW w:type="pct" w:w="34%"/>
            <w:tcMar>
              <w:top w:type="dxa" w:w="90"/>
              <w:left w:type="dxa" w:w="130"/>
              <w:bottom w:type="dxa" w:w="90"/>
              <w:right w:type="dxa" w:w="130"/>
            </w:tcMar>
          </w:tcPr>
          <w:p>
            <w:pPr>
              <w:spacing w:after="0"/>
            </w:pPr>
            <w:r>
              <w:rPr>
                <w:color w:val="333A47"/>
                <w:sz w:val="19"/>
                <w:szCs w:val="19"/>
              </w:rPr>
              <w:t xml:space="preserve">Every page returned 500 once the access token expired</w:t>
            </w:r>
          </w:p>
        </w:tc>
        <w:tc>
          <w:tcPr>
            <w:tcW w:type="pct" w:w="36%"/>
            <w:tcMar>
              <w:top w:type="dxa" w:w="90"/>
              <w:left w:type="dxa" w:w="130"/>
              <w:bottom w:type="dxa" w:w="90"/>
              <w:right w:type="dxa" w:w="130"/>
            </w:tcMar>
          </w:tcPr>
          <w:p>
            <w:pPr>
              <w:spacing w:after="0"/>
            </w:pPr>
            <w:r>
              <w:rPr>
                <w:color w:val="333A47"/>
                <w:sz w:val="19"/>
                <w:szCs w:val="19"/>
              </w:rPr>
              <w:t xml:space="preserve">Middleware refreshes before render, writing the rotated token onto the request headers</w:t>
            </w:r>
          </w:p>
        </w:tc>
      </w:tr>
      <w:tr>
        <w:tc>
          <w:tcPr>
            <w:tcW w:type="pct" w:w="30%"/>
            <w:tcMar>
              <w:top w:type="dxa" w:w="90"/>
              <w:left w:type="dxa" w:w="130"/>
              <w:bottom w:type="dxa" w:w="90"/>
              <w:right w:type="dxa" w:w="130"/>
            </w:tcMar>
          </w:tcPr>
          <w:p>
            <w:pPr>
              <w:spacing w:after="0"/>
            </w:pPr>
            <w:r>
              <w:rPr>
                <w:color w:val="333A47"/>
                <w:sz w:val="19"/>
                <w:szCs w:val="19"/>
              </w:rPr>
              <w:t xml:space="preserve">Non-Latin1 character in a rebuilt cookie header</w:t>
            </w:r>
          </w:p>
        </w:tc>
        <w:tc>
          <w:tcPr>
            <w:tcW w:type="pct" w:w="34%"/>
            <w:tcMar>
              <w:top w:type="dxa" w:w="90"/>
              <w:left w:type="dxa" w:w="130"/>
              <w:bottom w:type="dxa" w:w="90"/>
              <w:right w:type="dxa" w:w="130"/>
            </w:tcMar>
          </w:tcPr>
          <w:p>
            <w:pPr>
              <w:spacing w:after="0"/>
            </w:pPr>
            <w:r>
              <w:rPr>
                <w:color w:val="333A47"/>
                <w:sz w:val="19"/>
                <w:szCs w:val="19"/>
              </w:rPr>
              <w:t xml:space="preserve">An em-dash in the lab name crashed the middleware, taking down every route</w:t>
            </w:r>
          </w:p>
        </w:tc>
        <w:tc>
          <w:tcPr>
            <w:tcW w:type="pct" w:w="36%"/>
            <w:tcMar>
              <w:top w:type="dxa" w:w="90"/>
              <w:left w:type="dxa" w:w="130"/>
              <w:bottom w:type="dxa" w:w="90"/>
              <w:right w:type="dxa" w:w="130"/>
            </w:tcMar>
          </w:tcPr>
          <w:p>
            <w:pPr>
              <w:spacing w:after="0"/>
            </w:pPr>
            <w:r>
              <w:rPr>
                <w:color w:val="333A47"/>
                <w:sz w:val="19"/>
                <w:szCs w:val="19"/>
              </w:rPr>
              <w:t xml:space="preserve">Cookie header sliced from the raw bytes rather than re-serialised from decoded values</w:t>
            </w:r>
          </w:p>
        </w:tc>
      </w:tr>
    </w:tbl>
    <w:p>
      <w:pPr>
        <w:spacing w:after="140"/>
      </w:pPr>
    </w:p>
    <w:p>
      <w:pPr>
        <w:pStyle w:val="Heading2"/>
        <w:spacing w:after="120" w:before="280"/>
      </w:pPr>
      <w:r>
        <w:rPr>
          <w:b/>
          <w:bCs/>
          <w:color w:val="21252E"/>
          <w:sz w:val="25"/>
          <w:szCs w:val="25"/>
        </w:rPr>
        <w:t xml:space="preserve">7.2 Responsiveness</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45%"/>
            <w:shd w:fill="F4F6F8" w:val="clear"/>
            <w:tcMar>
              <w:top w:type="dxa" w:w="90"/>
              <w:left w:type="dxa" w:w="130"/>
              <w:bottom w:type="dxa" w:w="90"/>
              <w:right w:type="dxa" w:w="130"/>
            </w:tcMar>
          </w:tcPr>
          <w:p>
            <w:pPr>
              <w:spacing w:after="0"/>
            </w:pPr>
            <w:r>
              <w:rPr>
                <w:b/>
                <w:bCs/>
                <w:color w:val="21252E"/>
                <w:sz w:val="18"/>
                <w:szCs w:val="18"/>
              </w:rPr>
              <w:t xml:space="preserve">Defect</w:t>
            </w:r>
          </w:p>
        </w:tc>
        <w:tc>
          <w:tcPr>
            <w:tcW w:type="pct" w:w="55%"/>
            <w:shd w:fill="F4F6F8" w:val="clear"/>
            <w:tcMar>
              <w:top w:type="dxa" w:w="90"/>
              <w:left w:type="dxa" w:w="130"/>
              <w:bottom w:type="dxa" w:w="90"/>
              <w:right w:type="dxa" w:w="130"/>
            </w:tcMar>
          </w:tcPr>
          <w:p>
            <w:pPr>
              <w:spacing w:after="0"/>
            </w:pPr>
            <w:r>
              <w:rPr>
                <w:b/>
                <w:bCs/>
                <w:color w:val="21252E"/>
                <w:sz w:val="18"/>
                <w:szCs w:val="18"/>
              </w:rPr>
              <w:t xml:space="preserve">Impact</w:t>
            </w:r>
          </w:p>
        </w:tc>
      </w:tr>
      <w:tr>
        <w:tc>
          <w:tcPr>
            <w:tcW w:type="pct" w:w="45%"/>
            <w:tcMar>
              <w:top w:type="dxa" w:w="90"/>
              <w:left w:type="dxa" w:w="130"/>
              <w:bottom w:type="dxa" w:w="90"/>
              <w:right w:type="dxa" w:w="130"/>
            </w:tcMar>
          </w:tcPr>
          <w:p>
            <w:pPr>
              <w:spacing w:after="0"/>
            </w:pPr>
            <w:r>
              <w:rPr>
                <w:color w:val="333A47"/>
                <w:sz w:val="19"/>
                <w:szCs w:val="19"/>
              </w:rPr>
              <w:t xml:space="preserve">Sample detail had no mobile layout</w:t>
            </w:r>
          </w:p>
        </w:tc>
        <w:tc>
          <w:tcPr>
            <w:tcW w:type="pct" w:w="55%"/>
            <w:tcMar>
              <w:top w:type="dxa" w:w="90"/>
              <w:left w:type="dxa" w:w="130"/>
              <w:bottom w:type="dxa" w:w="90"/>
              <w:right w:type="dxa" w:w="130"/>
            </w:tcMar>
          </w:tcPr>
          <w:p>
            <w:pPr>
              <w:spacing w:after="0"/>
            </w:pPr>
            <w:r>
              <w:rPr>
                <w:color w:val="333A47"/>
                <w:sz w:val="19"/>
                <w:szCs w:val="19"/>
              </w:rPr>
              <w:t xml:space="preserve">Overflowed 197px at 320px</w:t>
            </w:r>
          </w:p>
        </w:tc>
      </w:tr>
      <w:tr>
        <w:tc>
          <w:tcPr>
            <w:tcW w:type="pct" w:w="45%"/>
            <w:tcMar>
              <w:top w:type="dxa" w:w="90"/>
              <w:left w:type="dxa" w:w="130"/>
              <w:bottom w:type="dxa" w:w="90"/>
              <w:right w:type="dxa" w:w="130"/>
            </w:tcMar>
          </w:tcPr>
          <w:p>
            <w:pPr>
              <w:spacing w:after="0"/>
            </w:pPr>
            <w:r>
              <w:rPr>
                <w:color w:val="333A47"/>
                <w:sz w:val="19"/>
                <w:szCs w:val="19"/>
              </w:rPr>
              <w:t xml:space="preserve">Report page table and non-wrapping header</w:t>
            </w:r>
          </w:p>
        </w:tc>
        <w:tc>
          <w:tcPr>
            <w:tcW w:type="pct" w:w="55%"/>
            <w:tcMar>
              <w:top w:type="dxa" w:w="90"/>
              <w:left w:type="dxa" w:w="130"/>
              <w:bottom w:type="dxa" w:w="90"/>
              <w:right w:type="dxa" w:w="130"/>
            </w:tcMar>
          </w:tcPr>
          <w:p>
            <w:pPr>
              <w:spacing w:after="0"/>
            </w:pPr>
            <w:r>
              <w:rPr>
                <w:color w:val="333A47"/>
                <w:sz w:val="19"/>
                <w:szCs w:val="19"/>
              </w:rPr>
              <w:t xml:space="preserve">Overflowed at 320px — the screen a patient is most likely to open on a phone</w:t>
            </w:r>
          </w:p>
        </w:tc>
      </w:tr>
      <w:tr>
        <w:tc>
          <w:tcPr>
            <w:tcW w:type="pct" w:w="45%"/>
            <w:tcMar>
              <w:top w:type="dxa" w:w="90"/>
              <w:left w:type="dxa" w:w="130"/>
              <w:bottom w:type="dxa" w:w="90"/>
              <w:right w:type="dxa" w:w="130"/>
            </w:tcMar>
          </w:tcPr>
          <w:p>
            <w:pPr>
              <w:spacing w:after="0"/>
            </w:pPr>
            <w:r>
              <w:rPr>
                <w:color w:val="333A47"/>
                <w:sz w:val="19"/>
                <w:szCs w:val="19"/>
              </w:rPr>
              <w:t xml:space="preserve">sm:py-6 overrode bottom-bar clearance</w:t>
            </w:r>
          </w:p>
        </w:tc>
        <w:tc>
          <w:tcPr>
            <w:tcW w:type="pct" w:w="55%"/>
            <w:tcMar>
              <w:top w:type="dxa" w:w="90"/>
              <w:left w:type="dxa" w:w="130"/>
              <w:bottom w:type="dxa" w:w="90"/>
              <w:right w:type="dxa" w:w="130"/>
            </w:tcMar>
          </w:tcPr>
          <w:p>
            <w:pPr>
              <w:spacing w:after="0"/>
            </w:pPr>
            <w:r>
              <w:rPr>
                <w:color w:val="333A47"/>
                <w:sz w:val="19"/>
                <w:szCs w:val="19"/>
              </w:rPr>
              <w:t xml:space="preserve">Content sat behind the navigation bar in landscape</w:t>
            </w:r>
          </w:p>
        </w:tc>
      </w:tr>
      <w:tr>
        <w:tc>
          <w:tcPr>
            <w:tcW w:type="pct" w:w="45%"/>
            <w:tcMar>
              <w:top w:type="dxa" w:w="90"/>
              <w:left w:type="dxa" w:w="130"/>
              <w:bottom w:type="dxa" w:w="90"/>
              <w:right w:type="dxa" w:w="130"/>
            </w:tcMar>
          </w:tcPr>
          <w:p>
            <w:pPr>
              <w:spacing w:after="0"/>
            </w:pPr>
            <w:r>
              <w:rPr>
                <w:color w:val="333A47"/>
                <w:sz w:val="19"/>
                <w:szCs w:val="19"/>
              </w:rPr>
              <w:t xml:space="preserve">Detail headers could not wrap</w:t>
            </w:r>
          </w:p>
        </w:tc>
        <w:tc>
          <w:tcPr>
            <w:tcW w:type="pct" w:w="55%"/>
            <w:tcMar>
              <w:top w:type="dxa" w:w="90"/>
              <w:left w:type="dxa" w:w="130"/>
              <w:bottom w:type="dxa" w:w="90"/>
              <w:right w:type="dxa" w:w="130"/>
            </w:tcMar>
          </w:tcPr>
          <w:p>
            <w:pPr>
              <w:spacing w:after="0"/>
            </w:pPr>
            <w:r>
              <w:rPr>
                <w:color w:val="333A47"/>
                <w:sz w:val="19"/>
                <w:szCs w:val="19"/>
              </w:rPr>
              <w:t xml:space="preserve">Number plus status badges pushed the document sideways</w:t>
            </w:r>
          </w:p>
        </w:tc>
      </w:tr>
    </w:tbl>
    <w:p>
      <w:pPr>
        <w:spacing w:after="140"/>
      </w:pPr>
    </w:p>
    <w:p>
      <w:pPr>
        <w:pStyle w:val="Heading2"/>
        <w:spacing w:after="120" w:before="280"/>
      </w:pPr>
      <w:r>
        <w:rPr>
          <w:b/>
          <w:bCs/>
          <w:color w:val="21252E"/>
          <w:sz w:val="25"/>
          <w:szCs w:val="25"/>
        </w:rPr>
        <w:t xml:space="preserve">7.3 Tooling</w:t>
      </w:r>
    </w:p>
    <w:p>
      <w:pPr>
        <w:pStyle w:val="ListParagraph"/>
        <w:numPr>
          <w:ilvl w:val="0"/>
          <w:numId w:val="1"/>
        </w:numPr>
        <w:spacing w:after="80" w:line="276"/>
      </w:pPr>
      <w:r>
        <w:rPr>
          <w:color w:val="333A47"/>
          <w:sz w:val="21"/>
          <w:szCs w:val="21"/>
        </w:rPr>
        <w:t xml:space="preserve">TypeScript incremental build cache combined with Nest’s deleteOutDir produced silent no-op "successful" builds. Fixed by relocating the cache inside the output directory.</w:t>
      </w:r>
    </w:p>
    <w:p>
      <w:pPr>
        <w:pStyle w:val="ListParagraph"/>
        <w:numPr>
          <w:ilvl w:val="0"/>
          <w:numId w:val="1"/>
        </w:numPr>
        <w:spacing w:after="80" w:line="276"/>
      </w:pPr>
      <w:r>
        <w:rPr>
          <w:color w:val="333A47"/>
          <w:sz w:val="21"/>
          <w:szCs w:val="21"/>
        </w:rPr>
        <w:t xml:space="preserve">The first traceability script produced false positives — it searched for permission strings while the code uses constants, and mangled parameterised routes. Corrected; a checker that cries wolf is worse than no checker.</w:t>
      </w:r>
    </w:p>
    <w:p>
      <w:r>
        <w:br w:type="page"/>
      </w:r>
    </w:p>
    <w:p>
      <w:pPr>
        <w:pStyle w:val="Heading1"/>
        <w:spacing w:after="160" w:before="360"/>
      </w:pPr>
      <w:r>
        <w:rPr>
          <w:b/>
          <w:bCs/>
          <w:color w:val="21252E"/>
          <w:sz w:val="32"/>
          <w:szCs w:val="32"/>
        </w:rPr>
        <w:t xml:space="preserve">8. Deployment</w:t>
      </w:r>
    </w:p>
    <w:p>
      <w:pPr>
        <w:pStyle w:val="Heading2"/>
        <w:spacing w:after="120" w:before="280"/>
      </w:pPr>
      <w:r>
        <w:rPr>
          <w:b/>
          <w:bCs/>
          <w:color w:val="21252E"/>
          <w:sz w:val="25"/>
          <w:szCs w:val="25"/>
        </w:rPr>
        <w:t xml:space="preserve">8.1 One command</w:t>
      </w:r>
    </w:p>
    <w:p>
      <w:pPr>
        <w:shd w:fill="F4F6F8" w:val="clear"/>
        <w:spacing w:after="120"/>
        <w:ind w:left="215"/>
      </w:pPr>
      <w:r>
        <w:rPr>
          <w:rFonts w:ascii="Consolas" w:cs="Consolas" w:eastAsia="Consolas" w:hAnsi="Consolas"/>
          <w:color w:val="2C3340"/>
          <w:sz w:val="18"/>
          <w:szCs w:val="18"/>
        </w:rPr>
        <w:t xml:space="preserve">node scripts/setup-prod-env.mjs your-domain.in</w:t>
      </w:r>
    </w:p>
    <w:p>
      <w:pPr>
        <w:shd w:fill="F4F6F8" w:val="clear"/>
        <w:spacing w:after="120"/>
        <w:ind w:left="215"/>
      </w:pPr>
      <w:r>
        <w:rPr>
          <w:rFonts w:ascii="Consolas" w:cs="Consolas" w:eastAsia="Consolas" w:hAnsi="Consolas"/>
          <w:color w:val="2C3340"/>
          <w:sz w:val="18"/>
          <w:szCs w:val="18"/>
        </w:rPr>
        <w:t xml:space="preserve">npm run prod:up</w:t>
      </w:r>
    </w:p>
    <w:p>
      <w:pPr>
        <w:spacing w:after="120" w:line="276"/>
      </w:pPr>
      <w:r>
        <w:rPr>
          <w:color w:val="333A47"/>
          <w:sz w:val="21"/>
          <w:szCs w:val="21"/>
        </w:rPr>
        <w:t xml:space="preserve">Caddy obtains and renews a Let’s Encrypt certificate automatically when the hostname resolves to the machine.</w:t>
      </w:r>
    </w:p>
    <w:p>
      <w:pPr>
        <w:spacing w:after="140"/>
      </w:pPr>
    </w:p>
    <w:p>
      <w:pPr>
        <w:pStyle w:val="Heading2"/>
        <w:spacing w:after="120" w:before="280"/>
      </w:pPr>
      <w:r>
        <w:rPr>
          <w:b/>
          <w:bCs/>
          <w:color w:val="21252E"/>
          <w:sz w:val="25"/>
          <w:szCs w:val="25"/>
        </w:rPr>
        <w:t xml:space="preserve">8.2 Hardening applied</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4%"/>
            <w:shd w:fill="F4F6F8" w:val="clear"/>
            <w:tcMar>
              <w:top w:type="dxa" w:w="90"/>
              <w:left w:type="dxa" w:w="130"/>
              <w:bottom w:type="dxa" w:w="90"/>
              <w:right w:type="dxa" w:w="130"/>
            </w:tcMar>
          </w:tcPr>
          <w:p>
            <w:pPr>
              <w:spacing w:after="0"/>
            </w:pPr>
            <w:r>
              <w:rPr>
                <w:b/>
                <w:bCs/>
                <w:color w:val="21252E"/>
                <w:sz w:val="18"/>
                <w:szCs w:val="18"/>
              </w:rPr>
              <w:t xml:space="preserve">Control</w:t>
            </w:r>
          </w:p>
        </w:tc>
        <w:tc>
          <w:tcPr>
            <w:tcW w:type="pct" w:w="76%"/>
            <w:shd w:fill="F4F6F8" w:val="clear"/>
            <w:tcMar>
              <w:top w:type="dxa" w:w="90"/>
              <w:left w:type="dxa" w:w="130"/>
              <w:bottom w:type="dxa" w:w="90"/>
              <w:right w:type="dxa" w:w="130"/>
            </w:tcMar>
          </w:tcPr>
          <w:p>
            <w:pPr>
              <w:spacing w:after="0"/>
            </w:pPr>
            <w:r>
              <w:rPr>
                <w:b/>
                <w:bCs/>
                <w:color w:val="21252E"/>
                <w:sz w:val="18"/>
                <w:szCs w:val="18"/>
              </w:rPr>
              <w:t xml:space="preserve">Implementation</w:t>
            </w:r>
          </w:p>
        </w:tc>
      </w:tr>
      <w:tr>
        <w:tc>
          <w:tcPr>
            <w:tcW w:type="pct" w:w="24%"/>
            <w:tcMar>
              <w:top w:type="dxa" w:w="90"/>
              <w:left w:type="dxa" w:w="130"/>
              <w:bottom w:type="dxa" w:w="90"/>
              <w:right w:type="dxa" w:w="130"/>
            </w:tcMar>
          </w:tcPr>
          <w:p>
            <w:pPr>
              <w:spacing w:after="0"/>
            </w:pPr>
            <w:r>
              <w:rPr>
                <w:color w:val="333A47"/>
                <w:sz w:val="19"/>
                <w:szCs w:val="19"/>
              </w:rPr>
              <w:t xml:space="preserve">Network exposure</w:t>
            </w:r>
          </w:p>
        </w:tc>
        <w:tc>
          <w:tcPr>
            <w:tcW w:type="pct" w:w="76%"/>
            <w:tcMar>
              <w:top w:type="dxa" w:w="90"/>
              <w:left w:type="dxa" w:w="130"/>
              <w:bottom w:type="dxa" w:w="90"/>
              <w:right w:type="dxa" w:w="130"/>
            </w:tcMar>
          </w:tcPr>
          <w:p>
            <w:pPr>
              <w:spacing w:after="0"/>
            </w:pPr>
            <w:r>
              <w:rPr>
                <w:color w:val="333A47"/>
                <w:sz w:val="19"/>
                <w:szCs w:val="19"/>
              </w:rPr>
              <w:t xml:space="preserve">Only ports 80 and 443 are published. PostgreSQL, Redis, MinIO and both application containers are reachable only on the internal Docker network.</w:t>
            </w:r>
          </w:p>
        </w:tc>
      </w:tr>
      <w:tr>
        <w:tc>
          <w:tcPr>
            <w:tcW w:type="pct" w:w="24%"/>
            <w:tcMar>
              <w:top w:type="dxa" w:w="90"/>
              <w:left w:type="dxa" w:w="130"/>
              <w:bottom w:type="dxa" w:w="90"/>
              <w:right w:type="dxa" w:w="130"/>
            </w:tcMar>
          </w:tcPr>
          <w:p>
            <w:pPr>
              <w:spacing w:after="0"/>
            </w:pPr>
            <w:r>
              <w:rPr>
                <w:color w:val="333A47"/>
                <w:sz w:val="19"/>
                <w:szCs w:val="19"/>
              </w:rPr>
              <w:t xml:space="preserve">Container privileges</w:t>
            </w:r>
          </w:p>
        </w:tc>
        <w:tc>
          <w:tcPr>
            <w:tcW w:type="pct" w:w="76%"/>
            <w:tcMar>
              <w:top w:type="dxa" w:w="90"/>
              <w:left w:type="dxa" w:w="130"/>
              <w:bottom w:type="dxa" w:w="90"/>
              <w:right w:type="dxa" w:w="130"/>
            </w:tcMar>
          </w:tcPr>
          <w:p>
            <w:pPr>
              <w:spacing w:after="0"/>
            </w:pPr>
            <w:r>
              <w:rPr>
                <w:color w:val="333A47"/>
                <w:sz w:val="19"/>
                <w:szCs w:val="19"/>
              </w:rPr>
              <w:t xml:space="preserve">Both application containers run as unprivileged users (UID 1001) with read-only root filesystems and no-new-privileges.</w:t>
            </w:r>
          </w:p>
        </w:tc>
      </w:tr>
      <w:tr>
        <w:tc>
          <w:tcPr>
            <w:tcW w:type="pct" w:w="24%"/>
            <w:tcMar>
              <w:top w:type="dxa" w:w="90"/>
              <w:left w:type="dxa" w:w="130"/>
              <w:bottom w:type="dxa" w:w="90"/>
              <w:right w:type="dxa" w:w="130"/>
            </w:tcMar>
          </w:tcPr>
          <w:p>
            <w:pPr>
              <w:spacing w:after="0"/>
            </w:pPr>
            <w:r>
              <w:rPr>
                <w:color w:val="333A47"/>
                <w:sz w:val="19"/>
                <w:szCs w:val="19"/>
              </w:rPr>
              <w:t xml:space="preserve">Migrations</w:t>
            </w:r>
          </w:p>
        </w:tc>
        <w:tc>
          <w:tcPr>
            <w:tcW w:type="pct" w:w="76%"/>
            <w:tcMar>
              <w:top w:type="dxa" w:w="90"/>
              <w:left w:type="dxa" w:w="130"/>
              <w:bottom w:type="dxa" w:w="90"/>
              <w:right w:type="dxa" w:w="130"/>
            </w:tcMar>
          </w:tcPr>
          <w:p>
            <w:pPr>
              <w:spacing w:after="0"/>
            </w:pPr>
            <w:r>
              <w:rPr>
                <w:color w:val="333A47"/>
                <w:sz w:val="19"/>
                <w:szCs w:val="19"/>
              </w:rPr>
              <w:t xml:space="preserve">Run as a one-shot job that must succeed before the API is allowed to start.</w:t>
            </w:r>
          </w:p>
        </w:tc>
      </w:tr>
      <w:tr>
        <w:tc>
          <w:tcPr>
            <w:tcW w:type="pct" w:w="24%"/>
            <w:tcMar>
              <w:top w:type="dxa" w:w="90"/>
              <w:left w:type="dxa" w:w="130"/>
              <w:bottom w:type="dxa" w:w="90"/>
              <w:right w:type="dxa" w:w="130"/>
            </w:tcMar>
          </w:tcPr>
          <w:p>
            <w:pPr>
              <w:spacing w:after="0"/>
            </w:pPr>
            <w:r>
              <w:rPr>
                <w:color w:val="333A47"/>
                <w:sz w:val="19"/>
                <w:szCs w:val="19"/>
              </w:rPr>
              <w:t xml:space="preserve">Database roles</w:t>
            </w:r>
          </w:p>
        </w:tc>
        <w:tc>
          <w:tcPr>
            <w:tcW w:type="pct" w:w="76%"/>
            <w:tcMar>
              <w:top w:type="dxa" w:w="90"/>
              <w:left w:type="dxa" w:w="130"/>
              <w:bottom w:type="dxa" w:w="90"/>
              <w:right w:type="dxa" w:w="130"/>
            </w:tcMar>
          </w:tcPr>
          <w:p>
            <w:pPr>
              <w:spacing w:after="0"/>
            </w:pPr>
            <w:r>
              <w:rPr>
                <w:color w:val="333A47"/>
                <w:sz w:val="19"/>
                <w:szCs w:val="19"/>
              </w:rPr>
              <w:t xml:space="preserve">Runtime role has no BYPASSRLS and no DDL rights; a separate owner role handles migrations.</w:t>
            </w:r>
          </w:p>
        </w:tc>
      </w:tr>
      <w:tr>
        <w:tc>
          <w:tcPr>
            <w:tcW w:type="pct" w:w="24%"/>
            <w:tcMar>
              <w:top w:type="dxa" w:w="90"/>
              <w:left w:type="dxa" w:w="130"/>
              <w:bottom w:type="dxa" w:w="90"/>
              <w:right w:type="dxa" w:w="130"/>
            </w:tcMar>
          </w:tcPr>
          <w:p>
            <w:pPr>
              <w:spacing w:after="0"/>
            </w:pPr>
            <w:r>
              <w:rPr>
                <w:color w:val="333A47"/>
                <w:sz w:val="19"/>
                <w:szCs w:val="19"/>
              </w:rPr>
              <w:t xml:space="preserve">TLS</w:t>
            </w:r>
          </w:p>
        </w:tc>
        <w:tc>
          <w:tcPr>
            <w:tcW w:type="pct" w:w="76%"/>
            <w:tcMar>
              <w:top w:type="dxa" w:w="90"/>
              <w:left w:type="dxa" w:w="130"/>
              <w:bottom w:type="dxa" w:w="90"/>
              <w:right w:type="dxa" w:w="130"/>
            </w:tcMar>
          </w:tcPr>
          <w:p>
            <w:pPr>
              <w:spacing w:after="0"/>
            </w:pPr>
            <w:r>
              <w:rPr>
                <w:color w:val="333A47"/>
                <w:sz w:val="19"/>
                <w:szCs w:val="19"/>
              </w:rPr>
              <w:t xml:space="preserve">Automatic certificates, HSTS with preload, TLS 1.2+.</w:t>
            </w:r>
          </w:p>
        </w:tc>
      </w:tr>
      <w:tr>
        <w:tc>
          <w:tcPr>
            <w:tcW w:type="pct" w:w="24%"/>
            <w:tcMar>
              <w:top w:type="dxa" w:w="90"/>
              <w:left w:type="dxa" w:w="130"/>
              <w:bottom w:type="dxa" w:w="90"/>
              <w:right w:type="dxa" w:w="130"/>
            </w:tcMar>
          </w:tcPr>
          <w:p>
            <w:pPr>
              <w:spacing w:after="0"/>
            </w:pPr>
            <w:r>
              <w:rPr>
                <w:color w:val="333A47"/>
                <w:sz w:val="19"/>
                <w:szCs w:val="19"/>
              </w:rPr>
              <w:t xml:space="preserve">Security headers</w:t>
            </w:r>
          </w:p>
        </w:tc>
        <w:tc>
          <w:tcPr>
            <w:tcW w:type="pct" w:w="76%"/>
            <w:tcMar>
              <w:top w:type="dxa" w:w="90"/>
              <w:left w:type="dxa" w:w="130"/>
              <w:bottom w:type="dxa" w:w="90"/>
              <w:right w:type="dxa" w:w="130"/>
            </w:tcMar>
          </w:tcPr>
          <w:p>
            <w:pPr>
              <w:spacing w:after="0"/>
            </w:pPr>
            <w:r>
              <w:rPr>
                <w:color w:val="333A47"/>
                <w:sz w:val="19"/>
                <w:szCs w:val="19"/>
              </w:rPr>
              <w:t xml:space="preserve">HSTS, nosniff, X-Frame-Options DENY, Referrer-Policy, Permissions-Policy, X-Robots-Tag noindex.</w:t>
            </w:r>
          </w:p>
        </w:tc>
      </w:tr>
      <w:tr>
        <w:tc>
          <w:tcPr>
            <w:tcW w:type="pct" w:w="24%"/>
            <w:tcMar>
              <w:top w:type="dxa" w:w="90"/>
              <w:left w:type="dxa" w:w="130"/>
              <w:bottom w:type="dxa" w:w="90"/>
              <w:right w:type="dxa" w:w="130"/>
            </w:tcMar>
          </w:tcPr>
          <w:p>
            <w:pPr>
              <w:spacing w:after="0"/>
            </w:pPr>
            <w:r>
              <w:rPr>
                <w:color w:val="333A47"/>
                <w:sz w:val="19"/>
                <w:szCs w:val="19"/>
              </w:rPr>
              <w:t xml:space="preserve">Caching</w:t>
            </w:r>
          </w:p>
        </w:tc>
        <w:tc>
          <w:tcPr>
            <w:tcW w:type="pct" w:w="76%"/>
            <w:tcMar>
              <w:top w:type="dxa" w:w="90"/>
              <w:left w:type="dxa" w:w="130"/>
              <w:bottom w:type="dxa" w:w="90"/>
              <w:right w:type="dxa" w:w="130"/>
            </w:tcMar>
          </w:tcPr>
          <w:p>
            <w:pPr>
              <w:spacing w:after="0"/>
            </w:pPr>
            <w:r>
              <w:rPr>
                <w:color w:val="333A47"/>
                <w:sz w:val="19"/>
                <w:szCs w:val="19"/>
              </w:rPr>
              <w:t xml:space="preserve">Clinical pages served no-store; a LIMS must not sit in an intermediary cache.</w:t>
            </w:r>
          </w:p>
        </w:tc>
      </w:tr>
      <w:tr>
        <w:tc>
          <w:tcPr>
            <w:tcW w:type="pct" w:w="24%"/>
            <w:tcMar>
              <w:top w:type="dxa" w:w="90"/>
              <w:left w:type="dxa" w:w="130"/>
              <w:bottom w:type="dxa" w:w="90"/>
              <w:right w:type="dxa" w:w="130"/>
            </w:tcMar>
          </w:tcPr>
          <w:p>
            <w:pPr>
              <w:spacing w:after="0"/>
            </w:pPr>
            <w:r>
              <w:rPr>
                <w:color w:val="333A47"/>
                <w:sz w:val="19"/>
                <w:szCs w:val="19"/>
              </w:rPr>
              <w:t xml:space="preserve">Secrets</w:t>
            </w:r>
          </w:p>
        </w:tc>
        <w:tc>
          <w:tcPr>
            <w:tcW w:type="pct" w:w="76%"/>
            <w:tcMar>
              <w:top w:type="dxa" w:w="90"/>
              <w:left w:type="dxa" w:w="130"/>
              <w:bottom w:type="dxa" w:w="90"/>
              <w:right w:type="dxa" w:w="130"/>
            </w:tcMar>
          </w:tcPr>
          <w:p>
            <w:pPr>
              <w:spacing w:after="0"/>
            </w:pPr>
            <w:r>
              <w:rPr>
                <w:color w:val="333A47"/>
                <w:sz w:val="19"/>
                <w:szCs w:val="19"/>
              </w:rPr>
              <w:t xml:space="preserve">Generated with 32-byte entropy, file mode 0600, never committed, never baked into an image layer.</w:t>
            </w:r>
          </w:p>
        </w:tc>
      </w:tr>
      <w:tr>
        <w:tc>
          <w:tcPr>
            <w:tcW w:type="pct" w:w="24%"/>
            <w:tcMar>
              <w:top w:type="dxa" w:w="90"/>
              <w:left w:type="dxa" w:w="130"/>
              <w:bottom w:type="dxa" w:w="90"/>
              <w:right w:type="dxa" w:w="130"/>
            </w:tcMar>
          </w:tcPr>
          <w:p>
            <w:pPr>
              <w:spacing w:after="0"/>
            </w:pPr>
            <w:r>
              <w:rPr>
                <w:color w:val="333A47"/>
                <w:sz w:val="19"/>
                <w:szCs w:val="19"/>
              </w:rPr>
              <w:t xml:space="preserve">Signals</w:t>
            </w:r>
          </w:p>
        </w:tc>
        <w:tc>
          <w:tcPr>
            <w:tcW w:type="pct" w:w="76%"/>
            <w:tcMar>
              <w:top w:type="dxa" w:w="90"/>
              <w:left w:type="dxa" w:w="130"/>
              <w:bottom w:type="dxa" w:w="90"/>
              <w:right w:type="dxa" w:w="130"/>
            </w:tcMar>
          </w:tcPr>
          <w:p>
            <w:pPr>
              <w:spacing w:after="0"/>
            </w:pPr>
            <w:r>
              <w:rPr>
                <w:color w:val="333A47"/>
                <w:sz w:val="19"/>
                <w:szCs w:val="19"/>
              </w:rPr>
              <w:t xml:space="preserve">dumb-init forwards SIGTERM so shutdown hooks run and in-flight transactions finish.</w:t>
            </w:r>
          </w:p>
        </w:tc>
      </w:tr>
    </w:tbl>
    <w:p>
      <w:pPr>
        <w:spacing w:after="140"/>
      </w:pPr>
    </w:p>
    <w:p>
      <w:pPr>
        <w:pStyle w:val="Heading2"/>
        <w:spacing w:after="120" w:before="280"/>
      </w:pPr>
      <w:r>
        <w:rPr>
          <w:b/>
          <w:bCs/>
          <w:color w:val="21252E"/>
          <w:sz w:val="25"/>
          <w:szCs w:val="25"/>
        </w:rPr>
        <w:t xml:space="preserve">8.3 Single-origin design</w:t>
      </w:r>
    </w:p>
    <w:p>
      <w:pPr>
        <w:spacing w:after="120" w:line="276"/>
      </w:pPr>
      <w:r>
        <w:rPr>
          <w:color w:val="333A47"/>
          <w:sz w:val="21"/>
          <w:szCs w:val="21"/>
        </w:rPr>
        <w:t xml:space="preserve">The API is served under </w:t>
      </w:r>
      <w:r>
        <w:rPr>
          <w:b/>
          <w:bCs/>
          <w:color w:val="21252E"/>
          <w:sz w:val="21"/>
          <w:szCs w:val="21"/>
        </w:rPr>
        <w:t xml:space="preserve">/api</w:t>
      </w:r>
      <w:r>
        <w:rPr>
          <w:color w:val="333A47"/>
          <w:sz w:val="21"/>
          <w:szCs w:val="21"/>
        </w:rPr>
        <w:t xml:space="preserve"> on the same origin as the web application. This removes cross-origin cookie handling entirely — the usual source of "works locally, breaks in production" session failures. Server-side calls travel over the internal Docker network and never leave the host.</w:t>
      </w:r>
    </w:p>
    <w:p>
      <w:r>
        <w:br w:type="page"/>
      </w:r>
    </w:p>
    <w:p>
      <w:pPr>
        <w:pStyle w:val="Heading1"/>
        <w:spacing w:after="160" w:before="360"/>
      </w:pPr>
      <w:r>
        <w:rPr>
          <w:b/>
          <w:bCs/>
          <w:color w:val="21252E"/>
          <w:sz w:val="32"/>
          <w:szCs w:val="32"/>
        </w:rPr>
        <w:t xml:space="preserve">9. Mobile and Accessibility</w:t>
      </w:r>
    </w:p>
    <w:p>
      <w:pPr>
        <w:spacing w:after="120" w:line="276"/>
      </w:pPr>
      <w:r>
        <w:rPr>
          <w:color w:val="333A47"/>
          <w:sz w:val="21"/>
          <w:szCs w:val="21"/>
        </w:rPr>
        <w:t xml:space="preserve">Verified in a real browser at real device sizes, not by inspecting CSS classes.</w:t>
      </w:r>
    </w:p>
    <w:p>
      <w:pPr>
        <w:spacing w:after="140"/>
      </w:pP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22%"/>
            <w:shd w:fill="F4F6F8" w:val="clear"/>
            <w:tcMar>
              <w:top w:type="dxa" w:w="90"/>
              <w:left w:type="dxa" w:w="130"/>
              <w:bottom w:type="dxa" w:w="90"/>
              <w:right w:type="dxa" w:w="130"/>
            </w:tcMar>
          </w:tcPr>
          <w:p>
            <w:pPr>
              <w:spacing w:after="0"/>
            </w:pPr>
            <w:r>
              <w:rPr>
                <w:b/>
                <w:bCs/>
                <w:color w:val="21252E"/>
                <w:sz w:val="18"/>
                <w:szCs w:val="18"/>
              </w:rPr>
              <w:t xml:space="preserve">Aspect</w:t>
            </w:r>
          </w:p>
        </w:tc>
        <w:tc>
          <w:tcPr>
            <w:tcW w:type="pct" w:w="78%"/>
            <w:shd w:fill="F4F6F8" w:val="clear"/>
            <w:tcMar>
              <w:top w:type="dxa" w:w="90"/>
              <w:left w:type="dxa" w:w="130"/>
              <w:bottom w:type="dxa" w:w="90"/>
              <w:right w:type="dxa" w:w="130"/>
            </w:tcMar>
          </w:tcPr>
          <w:p>
            <w:pPr>
              <w:spacing w:after="0"/>
            </w:pPr>
            <w:r>
              <w:rPr>
                <w:b/>
                <w:bCs/>
                <w:color w:val="21252E"/>
                <w:sz w:val="18"/>
                <w:szCs w:val="18"/>
              </w:rPr>
              <w:t xml:space="preserve">Implementation</w:t>
            </w:r>
          </w:p>
        </w:tc>
      </w:tr>
      <w:tr>
        <w:tc>
          <w:tcPr>
            <w:tcW w:type="pct" w:w="22%"/>
            <w:tcMar>
              <w:top w:type="dxa" w:w="90"/>
              <w:left w:type="dxa" w:w="130"/>
              <w:bottom w:type="dxa" w:w="90"/>
              <w:right w:type="dxa" w:w="130"/>
            </w:tcMar>
          </w:tcPr>
          <w:p>
            <w:pPr>
              <w:spacing w:after="0"/>
            </w:pPr>
            <w:r>
              <w:rPr>
                <w:color w:val="333A47"/>
                <w:sz w:val="19"/>
                <w:szCs w:val="19"/>
              </w:rPr>
              <w:t xml:space="preserve">Navigation</w:t>
            </w:r>
          </w:p>
        </w:tc>
        <w:tc>
          <w:tcPr>
            <w:tcW w:type="pct" w:w="78%"/>
            <w:tcMar>
              <w:top w:type="dxa" w:w="90"/>
              <w:left w:type="dxa" w:w="130"/>
              <w:bottom w:type="dxa" w:w="90"/>
              <w:right w:type="dxa" w:w="130"/>
            </w:tcMar>
          </w:tcPr>
          <w:p>
            <w:pPr>
              <w:spacing w:after="0"/>
            </w:pPr>
            <w:r>
              <w:rPr>
                <w:color w:val="333A47"/>
                <w:sz w:val="19"/>
                <w:szCs w:val="19"/>
              </w:rPr>
              <w:t xml:space="preserve">Top bar on desktop; a bottom tab bar below 768px, because lab staff operate one-handed while holding a sample tube and the bottom of the screen is the thumb-reachable area.</w:t>
            </w:r>
          </w:p>
        </w:tc>
      </w:tr>
      <w:tr>
        <w:tc>
          <w:tcPr>
            <w:tcW w:type="pct" w:w="22%"/>
            <w:tcMar>
              <w:top w:type="dxa" w:w="90"/>
              <w:left w:type="dxa" w:w="130"/>
              <w:bottom w:type="dxa" w:w="90"/>
              <w:right w:type="dxa" w:w="130"/>
            </w:tcMar>
          </w:tcPr>
          <w:p>
            <w:pPr>
              <w:spacing w:after="0"/>
            </w:pPr>
            <w:r>
              <w:rPr>
                <w:color w:val="333A47"/>
                <w:sz w:val="19"/>
                <w:szCs w:val="19"/>
              </w:rPr>
              <w:t xml:space="preserve">Data tables</w:t>
            </w:r>
          </w:p>
        </w:tc>
        <w:tc>
          <w:tcPr>
            <w:tcW w:type="pct" w:w="78%"/>
            <w:tcMar>
              <w:top w:type="dxa" w:w="90"/>
              <w:left w:type="dxa" w:w="130"/>
              <w:bottom w:type="dxa" w:w="90"/>
              <w:right w:type="dxa" w:w="130"/>
            </w:tcMar>
          </w:tcPr>
          <w:p>
            <w:pPr>
              <w:spacing w:after="0"/>
            </w:pPr>
            <w:r>
              <w:rPr>
                <w:color w:val="333A47"/>
                <w:sz w:val="19"/>
                <w:szCs w:val="19"/>
              </w:rPr>
              <w:t xml:space="preserve">Replaced by card layouts below 768px on every list screen. A horizontally scrolling table is unusable at a bench.</w:t>
            </w:r>
          </w:p>
        </w:tc>
      </w:tr>
      <w:tr>
        <w:tc>
          <w:tcPr>
            <w:tcW w:type="pct" w:w="22%"/>
            <w:tcMar>
              <w:top w:type="dxa" w:w="90"/>
              <w:left w:type="dxa" w:w="130"/>
              <w:bottom w:type="dxa" w:w="90"/>
              <w:right w:type="dxa" w:w="130"/>
            </w:tcMar>
          </w:tcPr>
          <w:p>
            <w:pPr>
              <w:spacing w:after="0"/>
            </w:pPr>
            <w:r>
              <w:rPr>
                <w:color w:val="333A47"/>
                <w:sz w:val="19"/>
                <w:szCs w:val="19"/>
              </w:rPr>
              <w:t xml:space="preserve">Touch targets</w:t>
            </w:r>
          </w:p>
        </w:tc>
        <w:tc>
          <w:tcPr>
            <w:tcW w:type="pct" w:w="78%"/>
            <w:tcMar>
              <w:top w:type="dxa" w:w="90"/>
              <w:left w:type="dxa" w:w="130"/>
              <w:bottom w:type="dxa" w:w="90"/>
              <w:right w:type="dxa" w:w="130"/>
            </w:tcMar>
          </w:tcPr>
          <w:p>
            <w:pPr>
              <w:spacing w:after="0"/>
            </w:pPr>
            <w:r>
              <w:rPr>
                <w:color w:val="333A47"/>
                <w:sz w:val="19"/>
                <w:szCs w:val="19"/>
              </w:rPr>
              <w:t xml:space="preserve">Minimum 44px on interactive controls, verified by measuring the rendered layout.</w:t>
            </w:r>
          </w:p>
        </w:tc>
      </w:tr>
      <w:tr>
        <w:tc>
          <w:tcPr>
            <w:tcW w:type="pct" w:w="22%"/>
            <w:tcMar>
              <w:top w:type="dxa" w:w="90"/>
              <w:left w:type="dxa" w:w="130"/>
              <w:bottom w:type="dxa" w:w="90"/>
              <w:right w:type="dxa" w:w="130"/>
            </w:tcMar>
          </w:tcPr>
          <w:p>
            <w:pPr>
              <w:spacing w:after="0"/>
            </w:pPr>
            <w:r>
              <w:rPr>
                <w:color w:val="333A47"/>
                <w:sz w:val="19"/>
                <w:szCs w:val="19"/>
              </w:rPr>
              <w:t xml:space="preserve">Input sizing</w:t>
            </w:r>
          </w:p>
        </w:tc>
        <w:tc>
          <w:tcPr>
            <w:tcW w:type="pct" w:w="78%"/>
            <w:tcMar>
              <w:top w:type="dxa" w:w="90"/>
              <w:left w:type="dxa" w:w="130"/>
              <w:bottom w:type="dxa" w:w="90"/>
              <w:right w:type="dxa" w:w="130"/>
            </w:tcMar>
          </w:tcPr>
          <w:p>
            <w:pPr>
              <w:spacing w:after="0"/>
            </w:pPr>
            <w:r>
              <w:rPr>
                <w:color w:val="333A47"/>
                <w:sz w:val="19"/>
                <w:szCs w:val="19"/>
              </w:rPr>
              <w:t xml:space="preserve">Result entry inputs render at 16px on mobile so iOS Safari does not zoom on focus and throw off the layout mid-entry.</w:t>
            </w:r>
          </w:p>
        </w:tc>
      </w:tr>
      <w:tr>
        <w:tc>
          <w:tcPr>
            <w:tcW w:type="pct" w:w="22%"/>
            <w:tcMar>
              <w:top w:type="dxa" w:w="90"/>
              <w:left w:type="dxa" w:w="130"/>
              <w:bottom w:type="dxa" w:w="90"/>
              <w:right w:type="dxa" w:w="130"/>
            </w:tcMar>
          </w:tcPr>
          <w:p>
            <w:pPr>
              <w:spacing w:after="0"/>
            </w:pPr>
            <w:r>
              <w:rPr>
                <w:color w:val="333A47"/>
                <w:sz w:val="19"/>
                <w:szCs w:val="19"/>
              </w:rPr>
              <w:t xml:space="preserve">Zoom</w:t>
            </w:r>
          </w:p>
        </w:tc>
        <w:tc>
          <w:tcPr>
            <w:tcW w:type="pct" w:w="78%"/>
            <w:tcMar>
              <w:top w:type="dxa" w:w="90"/>
              <w:left w:type="dxa" w:w="130"/>
              <w:bottom w:type="dxa" w:w="90"/>
              <w:right w:type="dxa" w:w="130"/>
            </w:tcMar>
          </w:tcPr>
          <w:p>
            <w:pPr>
              <w:spacing w:after="0"/>
            </w:pPr>
            <w:r>
              <w:rPr>
                <w:color w:val="333A47"/>
                <w:sz w:val="19"/>
                <w:szCs w:val="19"/>
              </w:rPr>
              <w:t xml:space="preserve">Pinch-zoom deliberately NOT disabled (maximum-scale=5). Lab staff read small numeric values; removing zoom to feel "native" is an accessibility failure.</w:t>
            </w:r>
          </w:p>
        </w:tc>
      </w:tr>
      <w:tr>
        <w:tc>
          <w:tcPr>
            <w:tcW w:type="pct" w:w="22%"/>
            <w:tcMar>
              <w:top w:type="dxa" w:w="90"/>
              <w:left w:type="dxa" w:w="130"/>
              <w:bottom w:type="dxa" w:w="90"/>
              <w:right w:type="dxa" w:w="130"/>
            </w:tcMar>
          </w:tcPr>
          <w:p>
            <w:pPr>
              <w:spacing w:after="0"/>
            </w:pPr>
            <w:r>
              <w:rPr>
                <w:color w:val="333A47"/>
                <w:sz w:val="19"/>
                <w:szCs w:val="19"/>
              </w:rPr>
              <w:t xml:space="preserve">PWA</w:t>
            </w:r>
          </w:p>
        </w:tc>
        <w:tc>
          <w:tcPr>
            <w:tcW w:type="pct" w:w="78%"/>
            <w:tcMar>
              <w:top w:type="dxa" w:w="90"/>
              <w:left w:type="dxa" w:w="130"/>
              <w:bottom w:type="dxa" w:w="90"/>
              <w:right w:type="dxa" w:w="130"/>
            </w:tcMar>
          </w:tcPr>
          <w:p>
            <w:pPr>
              <w:spacing w:after="0"/>
            </w:pPr>
            <w:r>
              <w:rPr>
                <w:color w:val="333A47"/>
                <w:sz w:val="19"/>
                <w:szCs w:val="19"/>
              </w:rPr>
              <w:t xml:space="preserve">Manifest, generated icons, iOS home-screen icon, theme colour, standalone display mode.</w:t>
            </w:r>
          </w:p>
        </w:tc>
      </w:tr>
      <w:tr>
        <w:tc>
          <w:tcPr>
            <w:tcW w:type="pct" w:w="22%"/>
            <w:tcMar>
              <w:top w:type="dxa" w:w="90"/>
              <w:left w:type="dxa" w:w="130"/>
              <w:bottom w:type="dxa" w:w="90"/>
              <w:right w:type="dxa" w:w="130"/>
            </w:tcMar>
          </w:tcPr>
          <w:p>
            <w:pPr>
              <w:spacing w:after="0"/>
            </w:pPr>
            <w:r>
              <w:rPr>
                <w:color w:val="333A47"/>
                <w:sz w:val="19"/>
                <w:szCs w:val="19"/>
              </w:rPr>
              <w:t xml:space="preserve">Verified viewports</w:t>
            </w:r>
          </w:p>
        </w:tc>
        <w:tc>
          <w:tcPr>
            <w:tcW w:type="pct" w:w="78%"/>
            <w:tcMar>
              <w:top w:type="dxa" w:w="90"/>
              <w:left w:type="dxa" w:w="130"/>
              <w:bottom w:type="dxa" w:w="90"/>
              <w:right w:type="dxa" w:w="130"/>
            </w:tcMar>
          </w:tcPr>
          <w:p>
            <w:pPr>
              <w:spacing w:after="0"/>
            </w:pPr>
            <w:r>
              <w:rPr>
                <w:color w:val="333A47"/>
                <w:sz w:val="19"/>
                <w:szCs w:val="19"/>
              </w:rPr>
              <w:t xml:space="preserve">320px, iPhone SE, iPhone 14 Pro, iPad mini, desktop, landscape, and 200% browser zoom.</w:t>
            </w:r>
          </w:p>
        </w:tc>
      </w:tr>
      <w:tr>
        <w:tc>
          <w:tcPr>
            <w:tcW w:type="pct" w:w="22%"/>
            <w:tcMar>
              <w:top w:type="dxa" w:w="90"/>
              <w:left w:type="dxa" w:w="130"/>
              <w:bottom w:type="dxa" w:w="90"/>
              <w:right w:type="dxa" w:w="130"/>
            </w:tcMar>
          </w:tcPr>
          <w:p>
            <w:pPr>
              <w:spacing w:after="0"/>
            </w:pPr>
            <w:r>
              <w:rPr>
                <w:color w:val="333A47"/>
                <w:sz w:val="19"/>
                <w:szCs w:val="19"/>
              </w:rPr>
              <w:t xml:space="preserve">Print</w:t>
            </w:r>
          </w:p>
        </w:tc>
        <w:tc>
          <w:tcPr>
            <w:tcW w:type="pct" w:w="78%"/>
            <w:tcMar>
              <w:top w:type="dxa" w:w="90"/>
              <w:left w:type="dxa" w:w="130"/>
              <w:bottom w:type="dxa" w:w="90"/>
              <w:right w:type="dxa" w:w="130"/>
            </w:tcMar>
          </w:tcPr>
          <w:p>
            <w:pPr>
              <w:spacing w:after="0"/>
            </w:pPr>
            <w:r>
              <w:rPr>
                <w:color w:val="333A47"/>
                <w:sz w:val="19"/>
                <w:szCs w:val="19"/>
              </w:rPr>
              <w:t xml:space="preserve">Application chrome hidden when printing, so the patient handout carries no navigation.</w:t>
            </w:r>
          </w:p>
        </w:tc>
      </w:tr>
    </w:tbl>
    <w:p>
      <w:pPr>
        <w:spacing w:after="140"/>
      </w:pPr>
    </w:p>
    <w:p>
      <w:pPr>
        <w:shd w:fill="F4F6F8" w:val="clear"/>
        <w:spacing w:after="0" w:before="140"/>
        <w:ind w:left="172"/>
      </w:pPr>
      <w:r>
        <w:rPr>
          <w:b/>
          <w:bCs/>
          <w:color w:val="1F63C9"/>
          <w:sz w:val="20"/>
          <w:szCs w:val="20"/>
        </w:rPr>
        <w:t xml:space="preserve">Why 320px</w:t>
      </w:r>
    </w:p>
    <w:p>
      <w:pPr>
        <w:shd w:fill="F4F6F8" w:val="clear"/>
        <w:spacing w:after="160"/>
        <w:ind w:left="172"/>
      </w:pPr>
      <w:r>
        <w:rPr>
          <w:color w:val="333A47"/>
          <w:sz w:val="20"/>
          <w:szCs w:val="20"/>
        </w:rPr>
        <w:t xml:space="preserve">It is the narrowest screen still in real use on Indian networks. A lab receiving samples on an older Android handset is a realistic user, not an edge case.</w:t>
      </w:r>
    </w:p>
    <w:p>
      <w:r>
        <w:br w:type="page"/>
      </w:r>
    </w:p>
    <w:p>
      <w:pPr>
        <w:pStyle w:val="Heading1"/>
        <w:spacing w:after="160" w:before="360"/>
      </w:pPr>
      <w:r>
        <w:rPr>
          <w:b/>
          <w:bCs/>
          <w:color w:val="21252E"/>
          <w:sz w:val="32"/>
          <w:szCs w:val="32"/>
        </w:rPr>
        <w:t xml:space="preserve">10. Known Limitations and Blockers</w:t>
      </w:r>
    </w:p>
    <w:p>
      <w:pPr>
        <w:shd w:fill="F4F6F8" w:val="clear"/>
        <w:spacing w:after="0" w:before="140"/>
        <w:ind w:left="172"/>
      </w:pPr>
      <w:r>
        <w:rPr>
          <w:b/>
          <w:bCs/>
          <w:color w:val="B91C1C"/>
          <w:sz w:val="20"/>
          <w:szCs w:val="20"/>
        </w:rPr>
        <w:t xml:space="preserve">Deployment verdict</w:t>
      </w:r>
    </w:p>
    <w:p>
      <w:pPr>
        <w:shd w:fill="F4F6F8" w:val="clear"/>
        <w:spacing w:after="160"/>
        <w:ind w:left="172"/>
      </w:pPr>
      <w:r>
        <w:rPr>
          <w:color w:val="333A47"/>
          <w:sz w:val="20"/>
          <w:szCs w:val="20"/>
        </w:rPr>
        <w:t xml:space="preserve">Ready for demonstration. NOT ready for real patient data until the four blockers below are closed. Under the DPDP Act these are not stylistic concerns — penalties for serious violations reach ₹250 crore.</w:t>
      </w:r>
    </w:p>
    <w:p>
      <w:pPr>
        <w:spacing w:after="140"/>
      </w:pPr>
    </w:p>
    <w:p>
      <w:pPr>
        <w:pStyle w:val="Heading2"/>
        <w:spacing w:after="120" w:before="280"/>
      </w:pPr>
      <w:r>
        <w:rPr>
          <w:b/>
          <w:bCs/>
          <w:color w:val="21252E"/>
          <w:sz w:val="25"/>
          <w:szCs w:val="25"/>
        </w:rPr>
        <w:t xml:space="preserve">10.1 Blockers before real patient data</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5%"/>
            <w:shd w:fill="F4F6F8" w:val="clear"/>
            <w:tcMar>
              <w:top w:type="dxa" w:w="90"/>
              <w:left w:type="dxa" w:w="130"/>
              <w:bottom w:type="dxa" w:w="90"/>
              <w:right w:type="dxa" w:w="130"/>
            </w:tcMar>
          </w:tcPr>
          <w:p>
            <w:pPr>
              <w:spacing w:after="0"/>
            </w:pPr>
            <w:r>
              <w:rPr>
                <w:b/>
                <w:bCs/>
                <w:color w:val="21252E"/>
                <w:sz w:val="18"/>
                <w:szCs w:val="18"/>
              </w:rPr>
              <w:t xml:space="preserve">#</w:t>
            </w:r>
          </w:p>
        </w:tc>
        <w:tc>
          <w:tcPr>
            <w:tcW w:type="pct" w:w="26%"/>
            <w:shd w:fill="F4F6F8" w:val="clear"/>
            <w:tcMar>
              <w:top w:type="dxa" w:w="90"/>
              <w:left w:type="dxa" w:w="130"/>
              <w:bottom w:type="dxa" w:w="90"/>
              <w:right w:type="dxa" w:w="130"/>
            </w:tcMar>
          </w:tcPr>
          <w:p>
            <w:pPr>
              <w:spacing w:after="0"/>
            </w:pPr>
            <w:r>
              <w:rPr>
                <w:b/>
                <w:bCs/>
                <w:color w:val="21252E"/>
                <w:sz w:val="18"/>
                <w:szCs w:val="18"/>
              </w:rPr>
              <w:t xml:space="preserve">Blocker</w:t>
            </w:r>
          </w:p>
        </w:tc>
        <w:tc>
          <w:tcPr>
            <w:tcW w:type="pct" w:w="69%"/>
            <w:shd w:fill="F4F6F8" w:val="clear"/>
            <w:tcMar>
              <w:top w:type="dxa" w:w="90"/>
              <w:left w:type="dxa" w:w="130"/>
              <w:bottom w:type="dxa" w:w="90"/>
              <w:right w:type="dxa" w:w="130"/>
            </w:tcMar>
          </w:tcPr>
          <w:p>
            <w:pPr>
              <w:spacing w:after="0"/>
            </w:pPr>
            <w:r>
              <w:rPr>
                <w:b/>
                <w:bCs/>
                <w:color w:val="21252E"/>
                <w:sz w:val="18"/>
                <w:szCs w:val="18"/>
              </w:rPr>
              <w:t xml:space="preserve">Detail</w:t>
            </w:r>
          </w:p>
        </w:tc>
      </w:tr>
      <w:tr>
        <w:tc>
          <w:tcPr>
            <w:tcW w:type="pct" w:w="5%"/>
            <w:tcMar>
              <w:top w:type="dxa" w:w="90"/>
              <w:left w:type="dxa" w:w="130"/>
              <w:bottom w:type="dxa" w:w="90"/>
              <w:right w:type="dxa" w:w="130"/>
            </w:tcMar>
          </w:tcPr>
          <w:p>
            <w:pPr>
              <w:spacing w:after="0"/>
            </w:pPr>
            <w:r>
              <w:rPr>
                <w:color w:val="333A47"/>
                <w:sz w:val="19"/>
                <w:szCs w:val="19"/>
              </w:rPr>
              <w:t xml:space="preserve">1</w:t>
            </w:r>
          </w:p>
        </w:tc>
        <w:tc>
          <w:tcPr>
            <w:tcW w:type="pct" w:w="26%"/>
            <w:tcMar>
              <w:top w:type="dxa" w:w="90"/>
              <w:left w:type="dxa" w:w="130"/>
              <w:bottom w:type="dxa" w:w="90"/>
              <w:right w:type="dxa" w:w="130"/>
            </w:tcMar>
          </w:tcPr>
          <w:p>
            <w:pPr>
              <w:spacing w:after="0"/>
            </w:pPr>
            <w:r>
              <w:rPr>
                <w:b/>
                <w:bCs/>
                <w:color w:val="333A47"/>
                <w:sz w:val="19"/>
                <w:szCs w:val="19"/>
              </w:rPr>
              <w:t xml:space="preserve">KMS not implemented</w:t>
            </w:r>
          </w:p>
        </w:tc>
        <w:tc>
          <w:tcPr>
            <w:tcW w:type="pct" w:w="69%"/>
            <w:tcMar>
              <w:top w:type="dxa" w:w="90"/>
              <w:left w:type="dxa" w:w="130"/>
              <w:bottom w:type="dxa" w:w="90"/>
              <w:right w:type="dxa" w:w="130"/>
            </w:tcMar>
          </w:tcPr>
          <w:p>
            <w:pPr>
              <w:spacing w:after="0"/>
            </w:pPr>
            <w:r>
              <w:rPr>
                <w:color w:val="333A47"/>
                <w:sz w:val="19"/>
                <w:szCs w:val="19"/>
              </w:rPr>
              <w:t xml:space="preserve">The encryption master key currently lives in an environment variable. Production refuses to start with this configuration unless an explicit acknowledgement is set, and warns loudly on every boot. Anyone who can read the process environment can decrypt patient identifiers.</w:t>
            </w:r>
          </w:p>
        </w:tc>
      </w:tr>
      <w:tr>
        <w:tc>
          <w:tcPr>
            <w:tcW w:type="pct" w:w="5%"/>
            <w:tcMar>
              <w:top w:type="dxa" w:w="90"/>
              <w:left w:type="dxa" w:w="130"/>
              <w:bottom w:type="dxa" w:w="90"/>
              <w:right w:type="dxa" w:w="130"/>
            </w:tcMar>
          </w:tcPr>
          <w:p>
            <w:pPr>
              <w:spacing w:after="0"/>
            </w:pPr>
            <w:r>
              <w:rPr>
                <w:color w:val="333A47"/>
                <w:sz w:val="19"/>
                <w:szCs w:val="19"/>
              </w:rPr>
              <w:t xml:space="preserve">2</w:t>
            </w:r>
          </w:p>
        </w:tc>
        <w:tc>
          <w:tcPr>
            <w:tcW w:type="pct" w:w="26%"/>
            <w:tcMar>
              <w:top w:type="dxa" w:w="90"/>
              <w:left w:type="dxa" w:w="130"/>
              <w:bottom w:type="dxa" w:w="90"/>
              <w:right w:type="dxa" w:w="130"/>
            </w:tcMar>
          </w:tcPr>
          <w:p>
            <w:pPr>
              <w:spacing w:after="0"/>
            </w:pPr>
            <w:r>
              <w:rPr>
                <w:b/>
                <w:bCs/>
                <w:color w:val="333A47"/>
                <w:sz w:val="19"/>
                <w:szCs w:val="19"/>
              </w:rPr>
              <w:t xml:space="preserve">Default database password</w:t>
            </w:r>
          </w:p>
        </w:tc>
        <w:tc>
          <w:tcPr>
            <w:tcW w:type="pct" w:w="69%"/>
            <w:tcMar>
              <w:top w:type="dxa" w:w="90"/>
              <w:left w:type="dxa" w:w="130"/>
              <w:bottom w:type="dxa" w:w="90"/>
              <w:right w:type="dxa" w:w="130"/>
            </w:tcMar>
          </w:tcPr>
          <w:p>
            <w:pPr>
              <w:spacing w:after="0"/>
            </w:pPr>
            <w:r>
              <w:rPr>
                <w:color w:val="333A47"/>
                <w:sz w:val="19"/>
                <w:szCs w:val="19"/>
              </w:rPr>
              <w:t xml:space="preserve">The labsetu_app role uses a password from a committed initialisation script. Must be rotated.</w:t>
            </w:r>
          </w:p>
        </w:tc>
      </w:tr>
      <w:tr>
        <w:tc>
          <w:tcPr>
            <w:tcW w:type="pct" w:w="5%"/>
            <w:tcMar>
              <w:top w:type="dxa" w:w="90"/>
              <w:left w:type="dxa" w:w="130"/>
              <w:bottom w:type="dxa" w:w="90"/>
              <w:right w:type="dxa" w:w="130"/>
            </w:tcMar>
          </w:tcPr>
          <w:p>
            <w:pPr>
              <w:spacing w:after="0"/>
            </w:pPr>
            <w:r>
              <w:rPr>
                <w:color w:val="333A47"/>
                <w:sz w:val="19"/>
                <w:szCs w:val="19"/>
              </w:rPr>
              <w:t xml:space="preserve">3</w:t>
            </w:r>
          </w:p>
        </w:tc>
        <w:tc>
          <w:tcPr>
            <w:tcW w:type="pct" w:w="26%"/>
            <w:tcMar>
              <w:top w:type="dxa" w:w="90"/>
              <w:left w:type="dxa" w:w="130"/>
              <w:bottom w:type="dxa" w:w="90"/>
              <w:right w:type="dxa" w:w="130"/>
            </w:tcMar>
          </w:tcPr>
          <w:p>
            <w:pPr>
              <w:spacing w:after="0"/>
            </w:pPr>
            <w:r>
              <w:rPr>
                <w:b/>
                <w:bCs/>
                <w:color w:val="333A47"/>
                <w:sz w:val="19"/>
                <w:szCs w:val="19"/>
              </w:rPr>
              <w:t xml:space="preserve">No penetration test</w:t>
            </w:r>
          </w:p>
        </w:tc>
        <w:tc>
          <w:tcPr>
            <w:tcW w:type="pct" w:w="69%"/>
            <w:tcMar>
              <w:top w:type="dxa" w:w="90"/>
              <w:left w:type="dxa" w:w="130"/>
              <w:bottom w:type="dxa" w:w="90"/>
              <w:right w:type="dxa" w:w="130"/>
            </w:tcMar>
          </w:tcPr>
          <w:p>
            <w:pPr>
              <w:spacing w:after="0"/>
            </w:pPr>
            <w:r>
              <w:rPr>
                <w:color w:val="333A47"/>
                <w:sz w:val="19"/>
                <w:szCs w:val="19"/>
              </w:rPr>
              <w:t xml:space="preserve">No independent security assessment has been performed.</w:t>
            </w:r>
          </w:p>
        </w:tc>
      </w:tr>
      <w:tr>
        <w:tc>
          <w:tcPr>
            <w:tcW w:type="pct" w:w="5%"/>
            <w:tcMar>
              <w:top w:type="dxa" w:w="90"/>
              <w:left w:type="dxa" w:w="130"/>
              <w:bottom w:type="dxa" w:w="90"/>
              <w:right w:type="dxa" w:w="130"/>
            </w:tcMar>
          </w:tcPr>
          <w:p>
            <w:pPr>
              <w:spacing w:after="0"/>
            </w:pPr>
            <w:r>
              <w:rPr>
                <w:color w:val="333A47"/>
                <w:sz w:val="19"/>
                <w:szCs w:val="19"/>
              </w:rPr>
              <w:t xml:space="preserve">4</w:t>
            </w:r>
          </w:p>
        </w:tc>
        <w:tc>
          <w:tcPr>
            <w:tcW w:type="pct" w:w="26%"/>
            <w:tcMar>
              <w:top w:type="dxa" w:w="90"/>
              <w:left w:type="dxa" w:w="130"/>
              <w:bottom w:type="dxa" w:w="90"/>
              <w:right w:type="dxa" w:w="130"/>
            </w:tcMar>
          </w:tcPr>
          <w:p>
            <w:pPr>
              <w:spacing w:after="0"/>
            </w:pPr>
            <w:r>
              <w:rPr>
                <w:b/>
                <w:bCs/>
                <w:color w:val="333A47"/>
                <w:sz w:val="19"/>
                <w:szCs w:val="19"/>
              </w:rPr>
              <w:t xml:space="preserve">No regulatory advisor</w:t>
            </w:r>
          </w:p>
        </w:tc>
        <w:tc>
          <w:tcPr>
            <w:tcW w:type="pct" w:w="69%"/>
            <w:tcMar>
              <w:top w:type="dxa" w:w="90"/>
              <w:left w:type="dxa" w:w="130"/>
              <w:bottom w:type="dxa" w:w="90"/>
              <w:right w:type="dxa" w:w="130"/>
            </w:tcMar>
          </w:tcPr>
          <w:p>
            <w:pPr>
              <w:spacing w:after="0"/>
            </w:pPr>
            <w:r>
              <w:rPr>
                <w:color w:val="333A47"/>
                <w:sz w:val="19"/>
                <w:szCs w:val="19"/>
              </w:rPr>
              <w:t xml:space="preserve">NABL / ISO 15189 and DPDP requirements were interpreted from published sources. No qualified professional has reviewed them.</w:t>
            </w:r>
          </w:p>
        </w:tc>
      </w:tr>
    </w:tbl>
    <w:p>
      <w:pPr>
        <w:spacing w:after="140"/>
      </w:pPr>
    </w:p>
    <w:p>
      <w:pPr>
        <w:pStyle w:val="Heading2"/>
        <w:spacing w:after="120" w:before="280"/>
      </w:pPr>
      <w:r>
        <w:rPr>
          <w:b/>
          <w:bCs/>
          <w:color w:val="21252E"/>
          <w:sz w:val="25"/>
          <w:szCs w:val="25"/>
        </w:rPr>
        <w:t xml:space="preserve">10.2 Technical debt, accepted deliberately</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26%"/>
            <w:shd w:fill="F4F6F8" w:val="clear"/>
            <w:tcMar>
              <w:top w:type="dxa" w:w="90"/>
              <w:left w:type="dxa" w:w="130"/>
              <w:bottom w:type="dxa" w:w="90"/>
              <w:right w:type="dxa" w:w="130"/>
            </w:tcMar>
          </w:tcPr>
          <w:p>
            <w:pPr>
              <w:spacing w:after="0"/>
            </w:pPr>
            <w:r>
              <w:rPr>
                <w:b/>
                <w:bCs/>
                <w:color w:val="21252E"/>
                <w:sz w:val="18"/>
                <w:szCs w:val="18"/>
              </w:rPr>
              <w:t xml:space="preserve">Item</w:t>
            </w:r>
          </w:p>
        </w:tc>
        <w:tc>
          <w:tcPr>
            <w:tcW w:type="pct" w:w="44%"/>
            <w:shd w:fill="F4F6F8" w:val="clear"/>
            <w:tcMar>
              <w:top w:type="dxa" w:w="90"/>
              <w:left w:type="dxa" w:w="130"/>
              <w:bottom w:type="dxa" w:w="90"/>
              <w:right w:type="dxa" w:w="130"/>
            </w:tcMar>
          </w:tcPr>
          <w:p>
            <w:pPr>
              <w:spacing w:after="0"/>
            </w:pPr>
            <w:r>
              <w:rPr>
                <w:b/>
                <w:bCs/>
                <w:color w:val="21252E"/>
                <w:sz w:val="18"/>
                <w:szCs w:val="18"/>
              </w:rPr>
              <w:t xml:space="preserve">Consequence</w:t>
            </w:r>
          </w:p>
        </w:tc>
        <w:tc>
          <w:tcPr>
            <w:tcW w:type="pct" w:w="30%"/>
            <w:shd w:fill="F4F6F8" w:val="clear"/>
            <w:tcMar>
              <w:top w:type="dxa" w:w="90"/>
              <w:left w:type="dxa" w:w="130"/>
              <w:bottom w:type="dxa" w:w="90"/>
              <w:right w:type="dxa" w:w="130"/>
            </w:tcMar>
          </w:tcPr>
          <w:p>
            <w:pPr>
              <w:spacing w:after="0"/>
            </w:pPr>
            <w:r>
              <w:rPr>
                <w:b/>
                <w:bCs/>
                <w:color w:val="21252E"/>
                <w:sz w:val="18"/>
                <w:szCs w:val="18"/>
              </w:rPr>
              <w:t xml:space="preserve">Path</w:t>
            </w:r>
          </w:p>
        </w:tc>
      </w:tr>
      <w:tr>
        <w:tc>
          <w:tcPr>
            <w:tcW w:type="pct" w:w="26%"/>
            <w:tcMar>
              <w:top w:type="dxa" w:w="90"/>
              <w:left w:type="dxa" w:w="130"/>
              <w:bottom w:type="dxa" w:w="90"/>
              <w:right w:type="dxa" w:w="130"/>
            </w:tcMar>
          </w:tcPr>
          <w:p>
            <w:pPr>
              <w:spacing w:after="0"/>
            </w:pPr>
            <w:r>
              <w:rPr>
                <w:color w:val="333A47"/>
                <w:sz w:val="19"/>
                <w:szCs w:val="19"/>
              </w:rPr>
              <w:t xml:space="preserve">One database connection held per request</w:t>
            </w:r>
          </w:p>
        </w:tc>
        <w:tc>
          <w:tcPr>
            <w:tcW w:type="pct" w:w="44%"/>
            <w:tcMar>
              <w:top w:type="dxa" w:w="90"/>
              <w:left w:type="dxa" w:w="130"/>
              <w:bottom w:type="dxa" w:w="90"/>
              <w:right w:type="dxa" w:w="130"/>
            </w:tcMar>
          </w:tcPr>
          <w:p>
            <w:pPr>
              <w:spacing w:after="0"/>
            </w:pPr>
            <w:r>
              <w:rPr>
                <w:color w:val="333A47"/>
                <w:sz w:val="19"/>
                <w:szCs w:val="19"/>
              </w:rPr>
              <w:t xml:space="preserve">Concurrency bounded by pool size</w:t>
            </w:r>
          </w:p>
        </w:tc>
        <w:tc>
          <w:tcPr>
            <w:tcW w:type="pct" w:w="30%"/>
            <w:tcMar>
              <w:top w:type="dxa" w:w="90"/>
              <w:left w:type="dxa" w:w="130"/>
              <w:bottom w:type="dxa" w:w="90"/>
              <w:right w:type="dxa" w:w="130"/>
            </w:tcMar>
          </w:tcPr>
          <w:p>
            <w:pPr>
              <w:spacing w:after="0"/>
            </w:pPr>
            <w:r>
              <w:rPr>
                <w:color w:val="333A47"/>
                <w:sz w:val="19"/>
                <w:szCs w:val="19"/>
              </w:rPr>
              <w:t xml:space="preserve">Accepted — it buys audit atomicity. Escape hatch documented in ADR 0002.</w:t>
            </w:r>
          </w:p>
        </w:tc>
      </w:tr>
      <w:tr>
        <w:tc>
          <w:tcPr>
            <w:tcW w:type="pct" w:w="26%"/>
            <w:tcMar>
              <w:top w:type="dxa" w:w="90"/>
              <w:left w:type="dxa" w:w="130"/>
              <w:bottom w:type="dxa" w:w="90"/>
              <w:right w:type="dxa" w:w="130"/>
            </w:tcMar>
          </w:tcPr>
          <w:p>
            <w:pPr>
              <w:spacing w:after="0"/>
            </w:pPr>
            <w:r>
              <w:rPr>
                <w:color w:val="333A47"/>
                <w:sz w:val="19"/>
                <w:szCs w:val="19"/>
              </w:rPr>
              <w:t xml:space="preserve">Instrument mapping runs inline, not queued</w:t>
            </w:r>
          </w:p>
        </w:tc>
        <w:tc>
          <w:tcPr>
            <w:tcW w:type="pct" w:w="44%"/>
            <w:tcMar>
              <w:top w:type="dxa" w:w="90"/>
              <w:left w:type="dxa" w:w="130"/>
              <w:bottom w:type="dxa" w:w="90"/>
              <w:right w:type="dxa" w:w="130"/>
            </w:tcMar>
          </w:tcPr>
          <w:p>
            <w:pPr>
              <w:spacing w:after="0"/>
            </w:pPr>
            <w:r>
              <w:rPr>
                <w:color w:val="333A47"/>
                <w:sz w:val="19"/>
                <w:szCs w:val="19"/>
              </w:rPr>
              <w:t xml:space="preserve">A slow map delays the gateway acknowledgement</w:t>
            </w:r>
          </w:p>
        </w:tc>
        <w:tc>
          <w:tcPr>
            <w:tcW w:type="pct" w:w="30%"/>
            <w:tcMar>
              <w:top w:type="dxa" w:w="90"/>
              <w:left w:type="dxa" w:w="130"/>
              <w:bottom w:type="dxa" w:w="90"/>
              <w:right w:type="dxa" w:w="130"/>
            </w:tcMar>
          </w:tcPr>
          <w:p>
            <w:pPr>
              <w:spacing w:after="0"/>
            </w:pPr>
            <w:r>
              <w:rPr>
                <w:color w:val="333A47"/>
                <w:sz w:val="19"/>
                <w:szCs w:val="19"/>
              </w:rPr>
              <w:t xml:space="preserve">Already a standalone entry point; moving it behind BullMQ is wiring, not a refactor.</w:t>
            </w:r>
          </w:p>
        </w:tc>
      </w:tr>
      <w:tr>
        <w:tc>
          <w:tcPr>
            <w:tcW w:type="pct" w:w="26%"/>
            <w:tcMar>
              <w:top w:type="dxa" w:w="90"/>
              <w:left w:type="dxa" w:w="130"/>
              <w:bottom w:type="dxa" w:w="90"/>
              <w:right w:type="dxa" w:w="130"/>
            </w:tcMar>
          </w:tcPr>
          <w:p>
            <w:pPr>
              <w:spacing w:after="0"/>
            </w:pPr>
            <w:r>
              <w:rPr>
                <w:color w:val="333A47"/>
                <w:sz w:val="19"/>
                <w:szCs w:val="19"/>
              </w:rPr>
              <w:t xml:space="preserve">Device replay nonces held in memory</w:t>
            </w:r>
          </w:p>
        </w:tc>
        <w:tc>
          <w:tcPr>
            <w:tcW w:type="pct" w:w="44%"/>
            <w:tcMar>
              <w:top w:type="dxa" w:w="90"/>
              <w:left w:type="dxa" w:w="130"/>
              <w:bottom w:type="dxa" w:w="90"/>
              <w:right w:type="dxa" w:w="130"/>
            </w:tcMar>
          </w:tcPr>
          <w:p>
            <w:pPr>
              <w:spacing w:after="0"/>
            </w:pPr>
            <w:r>
              <w:rPr>
                <w:color w:val="333A47"/>
                <w:sz w:val="19"/>
                <w:szCs w:val="19"/>
              </w:rPr>
              <w:t xml:space="preserve">Replay protection resets on restart, does not span instances</w:t>
            </w:r>
          </w:p>
        </w:tc>
        <w:tc>
          <w:tcPr>
            <w:tcW w:type="pct" w:w="30%"/>
            <w:tcMar>
              <w:top w:type="dxa" w:w="90"/>
              <w:left w:type="dxa" w:w="130"/>
              <w:bottom w:type="dxa" w:w="90"/>
              <w:right w:type="dxa" w:w="130"/>
            </w:tcMar>
          </w:tcPr>
          <w:p>
            <w:pPr>
              <w:spacing w:after="0"/>
            </w:pPr>
            <w:r>
              <w:rPr>
                <w:color w:val="333A47"/>
                <w:sz w:val="19"/>
                <w:szCs w:val="19"/>
              </w:rPr>
              <w:t xml:space="preserve">Move to Redis.</w:t>
            </w:r>
          </w:p>
        </w:tc>
      </w:tr>
      <w:tr>
        <w:tc>
          <w:tcPr>
            <w:tcW w:type="pct" w:w="26%"/>
            <w:tcMar>
              <w:top w:type="dxa" w:w="90"/>
              <w:left w:type="dxa" w:w="130"/>
              <w:bottom w:type="dxa" w:w="90"/>
              <w:right w:type="dxa" w:w="130"/>
            </w:tcMar>
          </w:tcPr>
          <w:p>
            <w:pPr>
              <w:spacing w:after="0"/>
            </w:pPr>
            <w:r>
              <w:rPr>
                <w:color w:val="333A47"/>
                <w:sz w:val="19"/>
                <w:szCs w:val="19"/>
              </w:rPr>
              <w:t xml:space="preserve">Audit log not yet partitioned</w:t>
            </w:r>
          </w:p>
        </w:tc>
        <w:tc>
          <w:tcPr>
            <w:tcW w:type="pct" w:w="44%"/>
            <w:tcMar>
              <w:top w:type="dxa" w:w="90"/>
              <w:left w:type="dxa" w:w="130"/>
              <w:bottom w:type="dxa" w:w="90"/>
              <w:right w:type="dxa" w:w="130"/>
            </w:tcMar>
          </w:tcPr>
          <w:p>
            <w:pPr>
              <w:spacing w:after="0"/>
            </w:pPr>
            <w:r>
              <w:rPr>
                <w:color w:val="333A47"/>
                <w:sz w:val="19"/>
                <w:szCs w:val="19"/>
              </w:rPr>
              <w:t xml:space="preserve">Only matters at scale</w:t>
            </w:r>
          </w:p>
        </w:tc>
        <w:tc>
          <w:tcPr>
            <w:tcW w:type="pct" w:w="30%"/>
            <w:tcMar>
              <w:top w:type="dxa" w:w="90"/>
              <w:left w:type="dxa" w:w="130"/>
              <w:bottom w:type="dxa" w:w="90"/>
              <w:right w:type="dxa" w:w="130"/>
            </w:tcMar>
          </w:tcPr>
          <w:p>
            <w:pPr>
              <w:spacing w:after="0"/>
            </w:pPr>
            <w:r>
              <w:rPr>
                <w:color w:val="333A47"/>
                <w:sz w:val="19"/>
                <w:szCs w:val="19"/>
              </w:rPr>
              <w:t xml:space="preserve">Monthly range partitioning, Phase 2.</w:t>
            </w:r>
          </w:p>
        </w:tc>
      </w:tr>
      <w:tr>
        <w:tc>
          <w:tcPr>
            <w:tcW w:type="pct" w:w="26%"/>
            <w:tcMar>
              <w:top w:type="dxa" w:w="90"/>
              <w:left w:type="dxa" w:w="130"/>
              <w:bottom w:type="dxa" w:w="90"/>
              <w:right w:type="dxa" w:w="130"/>
            </w:tcMar>
          </w:tcPr>
          <w:p>
            <w:pPr>
              <w:spacing w:after="0"/>
            </w:pPr>
            <w:r>
              <w:rPr>
                <w:color w:val="333A47"/>
                <w:sz w:val="19"/>
                <w:szCs w:val="19"/>
              </w:rPr>
              <w:t xml:space="preserve">Reports render as HTML, not PDF</w:t>
            </w:r>
          </w:p>
        </w:tc>
        <w:tc>
          <w:tcPr>
            <w:tcW w:type="pct" w:w="44%"/>
            <w:tcMar>
              <w:top w:type="dxa" w:w="90"/>
              <w:left w:type="dxa" w:w="130"/>
              <w:bottom w:type="dxa" w:w="90"/>
              <w:right w:type="dxa" w:w="130"/>
            </w:tcMar>
          </w:tcPr>
          <w:p>
            <w:pPr>
              <w:spacing w:after="0"/>
            </w:pPr>
            <w:r>
              <w:rPr>
                <w:color w:val="333A47"/>
                <w:sz w:val="19"/>
                <w:szCs w:val="19"/>
              </w:rPr>
              <w:t xml:space="preserve">No printable archived artifact yet</w:t>
            </w:r>
          </w:p>
        </w:tc>
        <w:tc>
          <w:tcPr>
            <w:tcW w:type="pct" w:w="30%"/>
            <w:tcMar>
              <w:top w:type="dxa" w:w="90"/>
              <w:left w:type="dxa" w:w="130"/>
              <w:bottom w:type="dxa" w:w="90"/>
              <w:right w:type="dxa" w:w="130"/>
            </w:tcMar>
          </w:tcPr>
          <w:p>
            <w:pPr>
              <w:spacing w:after="0"/>
            </w:pPr>
            <w:r>
              <w:rPr>
                <w:color w:val="333A47"/>
                <w:sz w:val="19"/>
                <w:szCs w:val="19"/>
              </w:rPr>
              <w:t xml:space="preserve">Phase 1.</w:t>
            </w:r>
          </w:p>
        </w:tc>
      </w:tr>
      <w:tr>
        <w:tc>
          <w:tcPr>
            <w:tcW w:type="pct" w:w="26%"/>
            <w:tcMar>
              <w:top w:type="dxa" w:w="90"/>
              <w:left w:type="dxa" w:w="130"/>
              <w:bottom w:type="dxa" w:w="90"/>
              <w:right w:type="dxa" w:w="130"/>
            </w:tcMar>
          </w:tcPr>
          <w:p>
            <w:pPr>
              <w:spacing w:after="0"/>
            </w:pPr>
            <w:r>
              <w:rPr>
                <w:color w:val="333A47"/>
                <w:sz w:val="19"/>
                <w:szCs w:val="19"/>
              </w:rPr>
              <w:t xml:space="preserve">Not-found pages return HTTP 200 inside the app shell</w:t>
            </w:r>
          </w:p>
        </w:tc>
        <w:tc>
          <w:tcPr>
            <w:tcW w:type="pct" w:w="44%"/>
            <w:tcMar>
              <w:top w:type="dxa" w:w="90"/>
              <w:left w:type="dxa" w:w="130"/>
              <w:bottom w:type="dxa" w:w="90"/>
              <w:right w:type="dxa" w:w="130"/>
            </w:tcMar>
          </w:tcPr>
          <w:p>
            <w:pPr>
              <w:spacing w:after="0"/>
            </w:pPr>
            <w:r>
              <w:rPr>
                <w:color w:val="333A47"/>
                <w:sz w:val="19"/>
                <w:szCs w:val="19"/>
              </w:rPr>
              <w:t xml:space="preserve">Next.js commits the status before notFound() runs under streaming. The correct page renders; the API returns proper 404s, which is what integrations consume.</w:t>
            </w:r>
          </w:p>
        </w:tc>
        <w:tc>
          <w:tcPr>
            <w:tcW w:type="pct" w:w="30%"/>
            <w:tcMar>
              <w:top w:type="dxa" w:w="90"/>
              <w:left w:type="dxa" w:w="130"/>
              <w:bottom w:type="dxa" w:w="90"/>
              <w:right w:type="dxa" w:w="130"/>
            </w:tcMar>
          </w:tcPr>
          <w:p>
            <w:pPr>
              <w:spacing w:after="0"/>
            </w:pPr>
            <w:r>
              <w:rPr>
                <w:color w:val="333A47"/>
                <w:sz w:val="19"/>
                <w:szCs w:val="19"/>
              </w:rPr>
              <w:t xml:space="preserve">Cosmetic; documented.</w:t>
            </w:r>
          </w:p>
        </w:tc>
      </w:tr>
    </w:tbl>
    <w:p>
      <w:r>
        <w:br w:type="page"/>
      </w:r>
    </w:p>
    <w:p>
      <w:pPr>
        <w:pStyle w:val="Heading1"/>
        <w:spacing w:after="160" w:before="360"/>
      </w:pPr>
      <w:r>
        <w:rPr>
          <w:b/>
          <w:bCs/>
          <w:color w:val="21252E"/>
          <w:sz w:val="32"/>
          <w:szCs w:val="32"/>
        </w:rPr>
        <w:t xml:space="preserve">11. Recommended Next Steps</w:t>
      </w:r>
    </w:p>
    <w:p>
      <w:pPr>
        <w:pStyle w:val="Heading2"/>
        <w:spacing w:after="120" w:before="280"/>
      </w:pPr>
      <w:r>
        <w:rPr>
          <w:b/>
          <w:bCs/>
          <w:color w:val="21252E"/>
          <w:sz w:val="25"/>
          <w:szCs w:val="25"/>
        </w:rPr>
        <w:t xml:space="preserve">11.1 Engineering, in priority order</w:t>
      </w: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10%"/>
            <w:shd w:fill="F4F6F8" w:val="clear"/>
            <w:tcMar>
              <w:top w:type="dxa" w:w="90"/>
              <w:left w:type="dxa" w:w="130"/>
              <w:bottom w:type="dxa" w:w="90"/>
              <w:right w:type="dxa" w:w="130"/>
            </w:tcMar>
          </w:tcPr>
          <w:p>
            <w:pPr>
              <w:spacing w:after="0"/>
            </w:pPr>
            <w:r>
              <w:rPr>
                <w:b/>
                <w:bCs/>
                <w:color w:val="21252E"/>
                <w:sz w:val="18"/>
                <w:szCs w:val="18"/>
              </w:rPr>
              <w:t xml:space="preserve">Priority</w:t>
            </w:r>
          </w:p>
        </w:tc>
        <w:tc>
          <w:tcPr>
            <w:tcW w:type="pct" w:w="32%"/>
            <w:shd w:fill="F4F6F8" w:val="clear"/>
            <w:tcMar>
              <w:top w:type="dxa" w:w="90"/>
              <w:left w:type="dxa" w:w="130"/>
              <w:bottom w:type="dxa" w:w="90"/>
              <w:right w:type="dxa" w:w="130"/>
            </w:tcMar>
          </w:tcPr>
          <w:p>
            <w:pPr>
              <w:spacing w:after="0"/>
            </w:pPr>
            <w:r>
              <w:rPr>
                <w:b/>
                <w:bCs/>
                <w:color w:val="21252E"/>
                <w:sz w:val="18"/>
                <w:szCs w:val="18"/>
              </w:rPr>
              <w:t xml:space="preserve">Item</w:t>
            </w:r>
          </w:p>
        </w:tc>
        <w:tc>
          <w:tcPr>
            <w:tcW w:type="pct" w:w="58%"/>
            <w:shd w:fill="F4F6F8" w:val="clear"/>
            <w:tcMar>
              <w:top w:type="dxa" w:w="90"/>
              <w:left w:type="dxa" w:w="130"/>
              <w:bottom w:type="dxa" w:w="90"/>
              <w:right w:type="dxa" w:w="130"/>
            </w:tcMar>
          </w:tcPr>
          <w:p>
            <w:pPr>
              <w:spacing w:after="0"/>
            </w:pPr>
            <w:r>
              <w:rPr>
                <w:b/>
                <w:bCs/>
                <w:color w:val="21252E"/>
                <w:sz w:val="18"/>
                <w:szCs w:val="18"/>
              </w:rPr>
              <w:t xml:space="preserve">Rationale</w:t>
            </w:r>
          </w:p>
        </w:tc>
      </w:tr>
      <w:tr>
        <w:tc>
          <w:tcPr>
            <w:tcW w:type="pct" w:w="10%"/>
            <w:tcMar>
              <w:top w:type="dxa" w:w="90"/>
              <w:left w:type="dxa" w:w="130"/>
              <w:bottom w:type="dxa" w:w="90"/>
              <w:right w:type="dxa" w:w="130"/>
            </w:tcMar>
          </w:tcPr>
          <w:p>
            <w:pPr>
              <w:spacing w:after="0"/>
            </w:pPr>
            <w:r>
              <w:rPr>
                <w:color w:val="333A47"/>
                <w:sz w:val="19"/>
                <w:szCs w:val="19"/>
              </w:rPr>
              <w:t xml:space="preserve">1</w:t>
            </w:r>
          </w:p>
        </w:tc>
        <w:tc>
          <w:tcPr>
            <w:tcW w:type="pct" w:w="32%"/>
            <w:tcMar>
              <w:top w:type="dxa" w:w="90"/>
              <w:left w:type="dxa" w:w="130"/>
              <w:bottom w:type="dxa" w:w="90"/>
              <w:right w:type="dxa" w:w="130"/>
            </w:tcMar>
          </w:tcPr>
          <w:p>
            <w:pPr>
              <w:spacing w:after="0"/>
            </w:pPr>
            <w:r>
              <w:rPr>
                <w:color w:val="333A47"/>
                <w:sz w:val="19"/>
                <w:szCs w:val="19"/>
              </w:rPr>
              <w:t xml:space="preserve">Regional languages (Hindi, Telugu)</w:t>
            </w:r>
          </w:p>
        </w:tc>
        <w:tc>
          <w:tcPr>
            <w:tcW w:type="pct" w:w="58%"/>
            <w:tcMar>
              <w:top w:type="dxa" w:w="90"/>
              <w:left w:type="dxa" w:w="130"/>
              <w:bottom w:type="dxa" w:w="90"/>
              <w:right w:type="dxa" w:w="130"/>
            </w:tcMar>
          </w:tcPr>
          <w:p>
            <w:pPr>
              <w:spacing w:after="0"/>
            </w:pPr>
            <w:r>
              <w:rPr>
                <w:color w:val="333A47"/>
                <w:sz w:val="19"/>
                <w:szCs w:val="19"/>
              </w:rPr>
              <w:t xml:space="preserve">The differentiator the report leans on hardest, and the one a Hyderabad lab owner will feel immediately.</w:t>
            </w:r>
          </w:p>
        </w:tc>
      </w:tr>
      <w:tr>
        <w:tc>
          <w:tcPr>
            <w:tcW w:type="pct" w:w="10%"/>
            <w:tcMar>
              <w:top w:type="dxa" w:w="90"/>
              <w:left w:type="dxa" w:w="130"/>
              <w:bottom w:type="dxa" w:w="90"/>
              <w:right w:type="dxa" w:w="130"/>
            </w:tcMar>
          </w:tcPr>
          <w:p>
            <w:pPr>
              <w:spacing w:after="0"/>
            </w:pPr>
            <w:r>
              <w:rPr>
                <w:color w:val="333A47"/>
                <w:sz w:val="19"/>
                <w:szCs w:val="19"/>
              </w:rPr>
              <w:t xml:space="preserve">2</w:t>
            </w:r>
          </w:p>
        </w:tc>
        <w:tc>
          <w:tcPr>
            <w:tcW w:type="pct" w:w="32%"/>
            <w:tcMar>
              <w:top w:type="dxa" w:w="90"/>
              <w:left w:type="dxa" w:w="130"/>
              <w:bottom w:type="dxa" w:w="90"/>
              <w:right w:type="dxa" w:w="130"/>
            </w:tcMar>
          </w:tcPr>
          <w:p>
            <w:pPr>
              <w:spacing w:after="0"/>
            </w:pPr>
            <w:r>
              <w:rPr>
                <w:color w:val="333A47"/>
                <w:sz w:val="19"/>
                <w:szCs w:val="19"/>
              </w:rPr>
              <w:t xml:space="preserve">Report PDF rendering + barcode label printing</w:t>
            </w:r>
          </w:p>
        </w:tc>
        <w:tc>
          <w:tcPr>
            <w:tcW w:type="pct" w:w="58%"/>
            <w:tcMar>
              <w:top w:type="dxa" w:w="90"/>
              <w:left w:type="dxa" w:w="130"/>
              <w:bottom w:type="dxa" w:w="90"/>
              <w:right w:type="dxa" w:w="130"/>
            </w:tcMar>
          </w:tcPr>
          <w:p>
            <w:pPr>
              <w:spacing w:after="0"/>
            </w:pPr>
            <w:r>
              <w:rPr>
                <w:color w:val="333A47"/>
                <w:sz w:val="19"/>
                <w:szCs w:val="19"/>
              </w:rPr>
              <w:t xml:space="preserve">What a pilot lab needs before it can stop using paper.</w:t>
            </w:r>
          </w:p>
        </w:tc>
      </w:tr>
      <w:tr>
        <w:tc>
          <w:tcPr>
            <w:tcW w:type="pct" w:w="10%"/>
            <w:tcMar>
              <w:top w:type="dxa" w:w="90"/>
              <w:left w:type="dxa" w:w="130"/>
              <w:bottom w:type="dxa" w:w="90"/>
              <w:right w:type="dxa" w:w="130"/>
            </w:tcMar>
          </w:tcPr>
          <w:p>
            <w:pPr>
              <w:spacing w:after="0"/>
            </w:pPr>
            <w:r>
              <w:rPr>
                <w:color w:val="333A47"/>
                <w:sz w:val="19"/>
                <w:szCs w:val="19"/>
              </w:rPr>
              <w:t xml:space="preserve">3</w:t>
            </w:r>
          </w:p>
        </w:tc>
        <w:tc>
          <w:tcPr>
            <w:tcW w:type="pct" w:w="32%"/>
            <w:tcMar>
              <w:top w:type="dxa" w:w="90"/>
              <w:left w:type="dxa" w:w="130"/>
              <w:bottom w:type="dxa" w:w="90"/>
              <w:right w:type="dxa" w:w="130"/>
            </w:tcMar>
          </w:tcPr>
          <w:p>
            <w:pPr>
              <w:spacing w:after="0"/>
            </w:pPr>
            <w:r>
              <w:rPr>
                <w:color w:val="333A47"/>
                <w:sz w:val="19"/>
                <w:szCs w:val="19"/>
              </w:rPr>
              <w:t xml:space="preserve">WhatsApp Business API delivery</w:t>
            </w:r>
          </w:p>
        </w:tc>
        <w:tc>
          <w:tcPr>
            <w:tcW w:type="pct" w:w="58%"/>
            <w:tcMar>
              <w:top w:type="dxa" w:w="90"/>
              <w:left w:type="dxa" w:w="130"/>
              <w:bottom w:type="dxa" w:w="90"/>
              <w:right w:type="dxa" w:w="130"/>
            </w:tcMar>
          </w:tcPr>
          <w:p>
            <w:pPr>
              <w:spacing w:after="0"/>
            </w:pPr>
            <w:r>
              <w:rPr>
                <w:color w:val="333A47"/>
                <w:sz w:val="19"/>
                <w:szCs w:val="19"/>
              </w:rPr>
              <w:t xml:space="preserve">Named directly in buyer language; the consent plumbing already exists.</w:t>
            </w:r>
          </w:p>
        </w:tc>
      </w:tr>
      <w:tr>
        <w:tc>
          <w:tcPr>
            <w:tcW w:type="pct" w:w="10%"/>
            <w:tcMar>
              <w:top w:type="dxa" w:w="90"/>
              <w:left w:type="dxa" w:w="130"/>
              <w:bottom w:type="dxa" w:w="90"/>
              <w:right w:type="dxa" w:w="130"/>
            </w:tcMar>
          </w:tcPr>
          <w:p>
            <w:pPr>
              <w:spacing w:after="0"/>
            </w:pPr>
            <w:r>
              <w:rPr>
                <w:color w:val="333A47"/>
                <w:sz w:val="19"/>
                <w:szCs w:val="19"/>
              </w:rPr>
              <w:t xml:space="preserve">4</w:t>
            </w:r>
          </w:p>
        </w:tc>
        <w:tc>
          <w:tcPr>
            <w:tcW w:type="pct" w:w="32%"/>
            <w:tcMar>
              <w:top w:type="dxa" w:w="90"/>
              <w:left w:type="dxa" w:w="130"/>
              <w:bottom w:type="dxa" w:w="90"/>
              <w:right w:type="dxa" w:w="130"/>
            </w:tcMar>
          </w:tcPr>
          <w:p>
            <w:pPr>
              <w:spacing w:after="0"/>
            </w:pPr>
            <w:r>
              <w:rPr>
                <w:color w:val="333A47"/>
                <w:sz w:val="19"/>
                <w:szCs w:val="19"/>
              </w:rPr>
              <w:t xml:space="preserve">AWS KMS provider</w:t>
            </w:r>
          </w:p>
        </w:tc>
        <w:tc>
          <w:tcPr>
            <w:tcW w:type="pct" w:w="58%"/>
            <w:tcMar>
              <w:top w:type="dxa" w:w="90"/>
              <w:left w:type="dxa" w:w="130"/>
              <w:bottom w:type="dxa" w:w="90"/>
              <w:right w:type="dxa" w:w="130"/>
            </w:tcMar>
          </w:tcPr>
          <w:p>
            <w:pPr>
              <w:spacing w:after="0"/>
            </w:pPr>
            <w:r>
              <w:rPr>
                <w:color w:val="333A47"/>
                <w:sz w:val="19"/>
                <w:szCs w:val="19"/>
              </w:rPr>
              <w:t xml:space="preserve">Blocks any deployment holding real patient data.</w:t>
            </w:r>
          </w:p>
        </w:tc>
      </w:tr>
      <w:tr>
        <w:tc>
          <w:tcPr>
            <w:tcW w:type="pct" w:w="10%"/>
            <w:tcMar>
              <w:top w:type="dxa" w:w="90"/>
              <w:left w:type="dxa" w:w="130"/>
              <w:bottom w:type="dxa" w:w="90"/>
              <w:right w:type="dxa" w:w="130"/>
            </w:tcMar>
          </w:tcPr>
          <w:p>
            <w:pPr>
              <w:spacing w:after="0"/>
            </w:pPr>
            <w:r>
              <w:rPr>
                <w:color w:val="333A47"/>
                <w:sz w:val="19"/>
                <w:szCs w:val="19"/>
              </w:rPr>
              <w:t xml:space="preserve">5</w:t>
            </w:r>
          </w:p>
        </w:tc>
        <w:tc>
          <w:tcPr>
            <w:tcW w:type="pct" w:w="32%"/>
            <w:tcMar>
              <w:top w:type="dxa" w:w="90"/>
              <w:left w:type="dxa" w:w="130"/>
              <w:bottom w:type="dxa" w:w="90"/>
              <w:right w:type="dxa" w:w="130"/>
            </w:tcMar>
          </w:tcPr>
          <w:p>
            <w:pPr>
              <w:spacing w:after="0"/>
            </w:pPr>
            <w:r>
              <w:rPr>
                <w:color w:val="333A47"/>
                <w:sz w:val="19"/>
                <w:szCs w:val="19"/>
              </w:rPr>
              <w:t xml:space="preserve">Billing screens</w:t>
            </w:r>
          </w:p>
        </w:tc>
        <w:tc>
          <w:tcPr>
            <w:tcW w:type="pct" w:w="58%"/>
            <w:tcMar>
              <w:top w:type="dxa" w:w="90"/>
              <w:left w:type="dxa" w:w="130"/>
              <w:bottom w:type="dxa" w:w="90"/>
              <w:right w:type="dxa" w:w="130"/>
            </w:tcMar>
          </w:tcPr>
          <w:p>
            <w:pPr>
              <w:spacing w:after="0"/>
            </w:pPr>
            <w:r>
              <w:rPr>
                <w:color w:val="333A47"/>
                <w:sz w:val="19"/>
                <w:szCs w:val="19"/>
              </w:rPr>
              <w:t xml:space="preserve">Invoices already exist in data; only the UI is missing.</w:t>
            </w:r>
          </w:p>
        </w:tc>
      </w:tr>
      <w:tr>
        <w:tc>
          <w:tcPr>
            <w:tcW w:type="pct" w:w="10%"/>
            <w:tcMar>
              <w:top w:type="dxa" w:w="90"/>
              <w:left w:type="dxa" w:w="130"/>
              <w:bottom w:type="dxa" w:w="90"/>
              <w:right w:type="dxa" w:w="130"/>
            </w:tcMar>
          </w:tcPr>
          <w:p>
            <w:pPr>
              <w:spacing w:after="0"/>
            </w:pPr>
            <w:r>
              <w:rPr>
                <w:color w:val="333A47"/>
                <w:sz w:val="19"/>
                <w:szCs w:val="19"/>
              </w:rPr>
              <w:t xml:space="preserve">6</w:t>
            </w:r>
          </w:p>
        </w:tc>
        <w:tc>
          <w:tcPr>
            <w:tcW w:type="pct" w:w="32%"/>
            <w:tcMar>
              <w:top w:type="dxa" w:w="90"/>
              <w:left w:type="dxa" w:w="130"/>
              <w:bottom w:type="dxa" w:w="90"/>
              <w:right w:type="dxa" w:w="130"/>
            </w:tcMar>
          </w:tcPr>
          <w:p>
            <w:pPr>
              <w:spacing w:after="0"/>
            </w:pPr>
            <w:r>
              <w:rPr>
                <w:color w:val="333A47"/>
                <w:sz w:val="19"/>
                <w:szCs w:val="19"/>
              </w:rPr>
              <w:t xml:space="preserve">Administration console</w:t>
            </w:r>
          </w:p>
        </w:tc>
        <w:tc>
          <w:tcPr>
            <w:tcW w:type="pct" w:w="58%"/>
            <w:tcMar>
              <w:top w:type="dxa" w:w="90"/>
              <w:left w:type="dxa" w:w="130"/>
              <w:bottom w:type="dxa" w:w="90"/>
              <w:right w:type="dxa" w:w="130"/>
            </w:tcMar>
          </w:tcPr>
          <w:p>
            <w:pPr>
              <w:spacing w:after="0"/>
            </w:pPr>
            <w:r>
              <w:rPr>
                <w:color w:val="333A47"/>
                <w:sz w:val="19"/>
                <w:szCs w:val="19"/>
              </w:rPr>
              <w:t xml:space="preserve">Users, roles, competency, catalog, devices, policies.</w:t>
            </w:r>
          </w:p>
        </w:tc>
      </w:tr>
      <w:tr>
        <w:tc>
          <w:tcPr>
            <w:tcW w:type="pct" w:w="10%"/>
            <w:tcMar>
              <w:top w:type="dxa" w:w="90"/>
              <w:left w:type="dxa" w:w="130"/>
              <w:bottom w:type="dxa" w:w="90"/>
              <w:right w:type="dxa" w:w="130"/>
            </w:tcMar>
          </w:tcPr>
          <w:p>
            <w:pPr>
              <w:spacing w:after="0"/>
            </w:pPr>
            <w:r>
              <w:rPr>
                <w:color w:val="333A47"/>
                <w:sz w:val="19"/>
                <w:szCs w:val="19"/>
              </w:rPr>
              <w:t xml:space="preserve">7</w:t>
            </w:r>
          </w:p>
        </w:tc>
        <w:tc>
          <w:tcPr>
            <w:tcW w:type="pct" w:w="32%"/>
            <w:tcMar>
              <w:top w:type="dxa" w:w="90"/>
              <w:left w:type="dxa" w:w="130"/>
              <w:bottom w:type="dxa" w:w="90"/>
              <w:right w:type="dxa" w:w="130"/>
            </w:tcMar>
          </w:tcPr>
          <w:p>
            <w:pPr>
              <w:spacing w:after="0"/>
            </w:pPr>
            <w:r>
              <w:rPr>
                <w:color w:val="333A47"/>
                <w:sz w:val="19"/>
                <w:szCs w:val="19"/>
              </w:rPr>
              <w:t xml:space="preserve">Independent penetration test</w:t>
            </w:r>
          </w:p>
        </w:tc>
        <w:tc>
          <w:tcPr>
            <w:tcW w:type="pct" w:w="58%"/>
            <w:tcMar>
              <w:top w:type="dxa" w:w="90"/>
              <w:left w:type="dxa" w:w="130"/>
              <w:bottom w:type="dxa" w:w="90"/>
              <w:right w:type="dxa" w:w="130"/>
            </w:tcMar>
          </w:tcPr>
          <w:p>
            <w:pPr>
              <w:spacing w:after="0"/>
            </w:pPr>
            <w:r>
              <w:rPr>
                <w:color w:val="333A47"/>
                <w:sz w:val="19"/>
                <w:szCs w:val="19"/>
              </w:rPr>
              <w:t xml:space="preserve">Before the first production patient record.</w:t>
            </w:r>
          </w:p>
        </w:tc>
      </w:tr>
    </w:tbl>
    <w:p>
      <w:pPr>
        <w:spacing w:after="140"/>
      </w:pPr>
    </w:p>
    <w:p>
      <w:pPr>
        <w:pStyle w:val="Heading2"/>
        <w:spacing w:after="120" w:before="280"/>
      </w:pPr>
      <w:r>
        <w:rPr>
          <w:b/>
          <w:bCs/>
          <w:color w:val="21252E"/>
          <w:sz w:val="25"/>
          <w:szCs w:val="25"/>
        </w:rPr>
        <w:t xml:space="preserve">11.2 Non-engineering, which gates revenue equally</w:t>
      </w:r>
    </w:p>
    <w:p>
      <w:pPr>
        <w:pStyle w:val="ListParagraph"/>
        <w:numPr>
          <w:ilvl w:val="0"/>
          <w:numId w:val="1"/>
        </w:numPr>
        <w:spacing w:after="80" w:line="276"/>
      </w:pPr>
      <w:r>
        <w:rPr>
          <w:color w:val="333A47"/>
          <w:sz w:val="21"/>
          <w:szCs w:val="21"/>
        </w:rPr>
        <w:t xml:space="preserve">Recruit a practising laboratory quality manager as advisor or co-founder — the report calls this the single highest-value risk reduction available.</w:t>
      </w:r>
    </w:p>
    <w:p>
      <w:pPr>
        <w:pStyle w:val="ListParagraph"/>
        <w:numPr>
          <w:ilvl w:val="0"/>
          <w:numId w:val="1"/>
        </w:numPr>
        <w:spacing w:after="80" w:line="276"/>
      </w:pPr>
      <w:r>
        <w:rPr>
          <w:color w:val="333A47"/>
          <w:sz w:val="21"/>
          <w:szCs w:val="21"/>
        </w:rPr>
        <w:t xml:space="preserve">DPIIT / Startup India recognition (free, roughly 7–14 days).</w:t>
      </w:r>
    </w:p>
    <w:p>
      <w:pPr>
        <w:pStyle w:val="ListParagraph"/>
        <w:numPr>
          <w:ilvl w:val="0"/>
          <w:numId w:val="1"/>
        </w:numPr>
        <w:spacing w:after="80" w:line="276"/>
      </w:pPr>
      <w:r>
        <w:rPr>
          <w:color w:val="333A47"/>
          <w:sz w:val="21"/>
          <w:szCs w:val="21"/>
        </w:rPr>
        <w:t xml:space="preserve">AWS Activate credits ($10,000–$100,000).</w:t>
      </w:r>
    </w:p>
    <w:p>
      <w:pPr>
        <w:pStyle w:val="ListParagraph"/>
        <w:numPr>
          <w:ilvl w:val="0"/>
          <w:numId w:val="1"/>
        </w:numPr>
        <w:spacing w:after="80" w:line="276"/>
      </w:pPr>
      <w:r>
        <w:rPr>
          <w:color w:val="333A47"/>
          <w:sz w:val="21"/>
          <w:szCs w:val="21"/>
        </w:rPr>
        <w:t xml:space="preserve">BIRAC BIG grant — ₹50 lakh non-dilutive; "Devices &amp; Diagnostics" is an explicit focus area.</w:t>
      </w:r>
    </w:p>
    <w:p>
      <w:pPr>
        <w:pStyle w:val="ListParagraph"/>
        <w:numPr>
          <w:ilvl w:val="0"/>
          <w:numId w:val="1"/>
        </w:numPr>
        <w:spacing w:after="80" w:line="276"/>
      </w:pPr>
      <w:r>
        <w:rPr>
          <w:color w:val="333A47"/>
          <w:sz w:val="21"/>
          <w:szCs w:val="21"/>
        </w:rPr>
        <w:t xml:space="preserve">Sign a written design-partner agreement with a pilot laboratory.</w:t>
      </w:r>
    </w:p>
    <w:p>
      <w:pPr>
        <w:pStyle w:val="ListParagraph"/>
        <w:numPr>
          <w:ilvl w:val="0"/>
          <w:numId w:val="1"/>
        </w:numPr>
        <w:spacing w:after="80" w:line="276"/>
      </w:pPr>
      <w:r>
        <w:rPr>
          <w:color w:val="333A47"/>
          <w:sz w:val="21"/>
          <w:szCs w:val="21"/>
        </w:rPr>
        <w:t xml:space="preserve">Legal review of DPDP notices, consent wording and the customer data-processing agreement.</w:t>
      </w:r>
    </w:p>
    <w:p>
      <w:pPr>
        <w:spacing w:after="140"/>
      </w:pPr>
    </w:p>
    <w:p>
      <w:pPr>
        <w:pStyle w:val="Heading2"/>
        <w:spacing w:after="120" w:before="280"/>
      </w:pPr>
      <w:r>
        <w:rPr>
          <w:b/>
          <w:bCs/>
          <w:color w:val="21252E"/>
          <w:sz w:val="25"/>
          <w:szCs w:val="25"/>
        </w:rPr>
        <w:t xml:space="preserve">11.3 What would signal a stop</w:t>
      </w:r>
    </w:p>
    <w:p>
      <w:pPr>
        <w:spacing w:after="120" w:line="276"/>
      </w:pPr>
      <w:r>
        <w:rPr>
          <w:color w:val="333A47"/>
          <w:sz w:val="21"/>
          <w:szCs w:val="21"/>
        </w:rPr>
        <w:t xml:space="preserve">Recorded while the decision is still inexpensive:</w:t>
      </w:r>
    </w:p>
    <w:p>
      <w:pPr>
        <w:pStyle w:val="ListParagraph"/>
        <w:numPr>
          <w:ilvl w:val="0"/>
          <w:numId w:val="1"/>
        </w:numPr>
        <w:spacing w:after="80" w:line="276"/>
      </w:pPr>
      <w:r>
        <w:rPr>
          <w:color w:val="333A47"/>
          <w:sz w:val="21"/>
          <w:szCs w:val="21"/>
        </w:rPr>
        <w:t xml:space="preserve">No pilot laboratory signed within three months of Phase 1 starting.</w:t>
      </w:r>
    </w:p>
    <w:p>
      <w:pPr>
        <w:pStyle w:val="ListParagraph"/>
        <w:numPr>
          <w:ilvl w:val="0"/>
          <w:numId w:val="1"/>
        </w:numPr>
        <w:spacing w:after="80" w:line="276"/>
      </w:pPr>
      <w:r>
        <w:rPr>
          <w:color w:val="333A47"/>
          <w:sz w:val="21"/>
          <w:szCs w:val="21"/>
        </w:rPr>
        <w:t xml:space="preserve">The pilot laboratory reverts to paper after go-live — a product-fit failure, not a training failure.</w:t>
      </w:r>
    </w:p>
    <w:p>
      <w:pPr>
        <w:pStyle w:val="ListParagraph"/>
        <w:numPr>
          <w:ilvl w:val="0"/>
          <w:numId w:val="1"/>
        </w:numPr>
        <w:spacing w:after="80" w:line="276"/>
      </w:pPr>
      <w:r>
        <w:rPr>
          <w:color w:val="333A47"/>
          <w:sz w:val="21"/>
          <w:szCs w:val="21"/>
        </w:rPr>
        <w:t xml:space="preserve">No quality/regulatory advisor recruited by the end of Phase 1.</w:t>
      </w:r>
    </w:p>
    <w:p>
      <w:r>
        <w:br w:type="page"/>
      </w:r>
    </w:p>
    <w:p>
      <w:pPr>
        <w:pStyle w:val="Heading1"/>
        <w:spacing w:after="160" w:before="360"/>
      </w:pPr>
      <w:r>
        <w:rPr>
          <w:b/>
          <w:bCs/>
          <w:color w:val="21252E"/>
          <w:sz w:val="32"/>
          <w:szCs w:val="32"/>
        </w:rPr>
        <w:t xml:space="preserve">12. Appendix</w:t>
      </w:r>
    </w:p>
    <w:p>
      <w:pPr>
        <w:pStyle w:val="Heading2"/>
        <w:spacing w:after="120" w:before="280"/>
      </w:pPr>
      <w:r>
        <w:rPr>
          <w:b/>
          <w:bCs/>
          <w:color w:val="21252E"/>
          <w:sz w:val="25"/>
          <w:szCs w:val="25"/>
        </w:rPr>
        <w:t xml:space="preserve">12.1 Repository layout</w:t>
      </w:r>
    </w:p>
    <w:p>
      <w:pPr>
        <w:shd w:fill="F4F6F8" w:val="clear"/>
        <w:spacing w:after="120"/>
        <w:ind w:left="215"/>
      </w:pPr>
      <w:r>
        <w:rPr>
          <w:rFonts w:ascii="Consolas" w:cs="Consolas" w:eastAsia="Consolas" w:hAnsi="Consolas"/>
          <w:color w:val="2C3340"/>
          <w:sz w:val="18"/>
          <w:szCs w:val="18"/>
        </w:rPr>
        <w:t xml:space="preserve">apps/</w:t>
      </w:r>
    </w:p>
    <w:p>
      <w:pPr>
        <w:shd w:fill="F4F6F8" w:val="clear"/>
        <w:spacing w:after="120"/>
        <w:ind w:left="215"/>
      </w:pPr>
      <w:r>
        <w:rPr>
          <w:rFonts w:ascii="Consolas" w:cs="Consolas" w:eastAsia="Consolas" w:hAnsi="Consolas"/>
          <w:color w:val="2C3340"/>
          <w:sz w:val="18"/>
          <w:szCs w:val="18"/>
        </w:rPr>
        <w:t xml:space="preserve">  api/          NestJS modular monolith — the whole backend      (ADR 0001)</w:t>
      </w:r>
    </w:p>
    <w:p>
      <w:pPr>
        <w:shd w:fill="F4F6F8" w:val="clear"/>
        <w:spacing w:after="120"/>
        <w:ind w:left="215"/>
      </w:pPr>
      <w:r>
        <w:rPr>
          <w:rFonts w:ascii="Consolas" w:cs="Consolas" w:eastAsia="Consolas" w:hAnsi="Consolas"/>
          <w:color w:val="2C3340"/>
          <w:sz w:val="18"/>
          <w:szCs w:val="18"/>
        </w:rPr>
        <w:t xml:space="preserve">  web/          Next.js 15, server components, httpOnly sessions</w:t>
      </w:r>
    </w:p>
    <w:p>
      <w:pPr>
        <w:shd w:fill="F4F6F8" w:val="clear"/>
        <w:spacing w:after="120"/>
        <w:ind w:left="215"/>
      </w:pPr>
      <w:r>
        <w:rPr>
          <w:rFonts w:ascii="Consolas" w:cs="Consolas" w:eastAsia="Consolas" w:hAnsi="Consolas"/>
          <w:color w:val="2C3340"/>
          <w:sz w:val="18"/>
          <w:szCs w:val="18"/>
        </w:rPr>
        <w:t xml:space="preserve">  gateway/      On-premises analyzer agent — ASTM/HL7/file        (ADR 0004)</w:t>
      </w:r>
    </w:p>
    <w:p>
      <w:pPr>
        <w:shd w:fill="F4F6F8" w:val="clear"/>
        <w:spacing w:after="120"/>
        <w:ind w:left="215"/>
      </w:pPr>
      <w:r>
        <w:rPr>
          <w:rFonts w:ascii="Consolas" w:cs="Consolas" w:eastAsia="Consolas" w:hAnsi="Consolas"/>
          <w:color w:val="2C3340"/>
          <w:sz w:val="18"/>
          <w:szCs w:val="18"/>
        </w:rPr>
        <w:t xml:space="preserve">packages/</w:t>
      </w:r>
    </w:p>
    <w:p>
      <w:pPr>
        <w:shd w:fill="F4F6F8" w:val="clear"/>
        <w:spacing w:after="120"/>
        <w:ind w:left="215"/>
      </w:pPr>
      <w:r>
        <w:rPr>
          <w:rFonts w:ascii="Consolas" w:cs="Consolas" w:eastAsia="Consolas" w:hAnsi="Consolas"/>
          <w:color w:val="2C3340"/>
          <w:sz w:val="18"/>
          <w:szCs w:val="18"/>
        </w:rPr>
        <w:t xml:space="preserve">  db/           Prisma schema + the RLS security layer            (ADR 0002)</w:t>
      </w:r>
    </w:p>
    <w:p>
      <w:pPr>
        <w:shd w:fill="F4F6F8" w:val="clear"/>
        <w:spacing w:after="120"/>
        <w:ind w:left="215"/>
      </w:pPr>
      <w:r>
        <w:rPr>
          <w:rFonts w:ascii="Consolas" w:cs="Consolas" w:eastAsia="Consolas" w:hAnsi="Consolas"/>
          <w:color w:val="2C3340"/>
          <w:sz w:val="18"/>
          <w:szCs w:val="18"/>
        </w:rPr>
        <w:t xml:space="preserve">  contracts/    Zod schemas shared by API, web and gateway</w:t>
      </w:r>
    </w:p>
    <w:p>
      <w:pPr>
        <w:shd w:fill="F4F6F8" w:val="clear"/>
        <w:spacing w:after="120"/>
        <w:ind w:left="215"/>
      </w:pPr>
      <w:r>
        <w:rPr>
          <w:rFonts w:ascii="Consolas" w:cs="Consolas" w:eastAsia="Consolas" w:hAnsi="Consolas"/>
          <w:color w:val="2C3340"/>
          <w:sz w:val="18"/>
          <w:szCs w:val="18"/>
        </w:rPr>
        <w:t xml:space="preserve">  crypto/       Envelope encryption, blind indexes, audit hashing (ADR 0005)</w:t>
      </w:r>
    </w:p>
    <w:p>
      <w:pPr>
        <w:shd w:fill="F4F6F8" w:val="clear"/>
        <w:spacing w:after="120"/>
        <w:ind w:left="215"/>
      </w:pPr>
      <w:r>
        <w:rPr>
          <w:rFonts w:ascii="Consolas" w:cs="Consolas" w:eastAsia="Consolas" w:hAnsi="Consolas"/>
          <w:color w:val="2C3340"/>
          <w:sz w:val="18"/>
          <w:szCs w:val="18"/>
        </w:rPr>
        <w:t xml:space="preserve">docs/           Architecture, data model, compliance, security, roadmap, ADRs</w:t>
      </w:r>
    </w:p>
    <w:p>
      <w:pPr>
        <w:shd w:fill="F4F6F8" w:val="clear"/>
        <w:spacing w:after="120"/>
        <w:ind w:left="215"/>
      </w:pPr>
      <w:r>
        <w:rPr>
          <w:rFonts w:ascii="Consolas" w:cs="Consolas" w:eastAsia="Consolas" w:hAnsi="Consolas"/>
          <w:color w:val="2C3340"/>
          <w:sz w:val="18"/>
          <w:szCs w:val="18"/>
        </w:rPr>
        <w:t xml:space="preserve">scripts/        Environment setup and the verification suites</w:t>
      </w:r>
    </w:p>
    <w:p>
      <w:pPr>
        <w:spacing w:after="140"/>
      </w:pPr>
    </w:p>
    <w:p>
      <w:pPr>
        <w:pStyle w:val="Heading2"/>
        <w:spacing w:after="120" w:before="280"/>
      </w:pPr>
      <w:r>
        <w:rPr>
          <w:b/>
          <w:bCs/>
          <w:color w:val="21252E"/>
          <w:sz w:val="25"/>
          <w:szCs w:val="25"/>
        </w:rPr>
        <w:t xml:space="preserve">12.2 Documentation delivered</w:t>
      </w:r>
    </w:p>
    <w:tbl>
      <w:tblPr>
        <w:tblW w:type="pct" w:w="100%"/>
        <w:tblBorders>
          <w:top w:val="single" w:color="D5DAE3" w:sz="1"/>
          <w:left w:val="none"/>
          <w:bottom w:val="single" w:color="D5DAE3" w:sz="1"/>
          <w:right w:val="none"/>
          <w:insideH w:val="single" w:color="ECEEF2" w:sz="1"/>
          <w:insideV w:val="none"/>
        </w:tblBorders>
      </w:tblPr>
      <w:tblGrid>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Document</w:t>
            </w:r>
          </w:p>
        </w:tc>
        <w:tc>
          <w:tcPr>
            <w:tcW w:type="pct" w:w="70%"/>
            <w:shd w:fill="F4F6F8" w:val="clear"/>
            <w:tcMar>
              <w:top w:type="dxa" w:w="90"/>
              <w:left w:type="dxa" w:w="130"/>
              <w:bottom w:type="dxa" w:w="90"/>
              <w:right w:type="dxa" w:w="130"/>
            </w:tcMar>
          </w:tcPr>
          <w:p>
            <w:pPr>
              <w:spacing w:after="0"/>
            </w:pPr>
            <w:r>
              <w:rPr>
                <w:b/>
                <w:bCs/>
                <w:color w:val="21252E"/>
                <w:sz w:val="18"/>
                <w:szCs w:val="18"/>
              </w:rPr>
              <w:t xml:space="preserve">Contents</w:t>
            </w:r>
          </w:p>
        </w:tc>
      </w:tr>
      <w:tr>
        <w:tc>
          <w:tcPr>
            <w:tcW w:type="pct" w:w="30%"/>
            <w:tcMar>
              <w:top w:type="dxa" w:w="90"/>
              <w:left w:type="dxa" w:w="130"/>
              <w:bottom w:type="dxa" w:w="90"/>
              <w:right w:type="dxa" w:w="130"/>
            </w:tcMar>
          </w:tcPr>
          <w:p>
            <w:pPr>
              <w:spacing w:after="0"/>
            </w:pPr>
            <w:r>
              <w:rPr>
                <w:color w:val="333A47"/>
                <w:sz w:val="19"/>
                <w:szCs w:val="19"/>
              </w:rPr>
              <w:t xml:space="preserve">ARCHITECTURE.md</w:t>
            </w:r>
          </w:p>
        </w:tc>
        <w:tc>
          <w:tcPr>
            <w:tcW w:type="pct" w:w="70%"/>
            <w:tcMar>
              <w:top w:type="dxa" w:w="90"/>
              <w:left w:type="dxa" w:w="130"/>
              <w:bottom w:type="dxa" w:w="90"/>
              <w:right w:type="dxa" w:w="130"/>
            </w:tcMar>
          </w:tcPr>
          <w:p>
            <w:pPr>
              <w:spacing w:after="0"/>
            </w:pPr>
            <w:r>
              <w:rPr>
                <w:color w:val="333A47"/>
                <w:sz w:val="19"/>
                <w:szCs w:val="19"/>
              </w:rPr>
              <w:t xml:space="preserve">Topology, stack reasoning, tenancy, module structure, deployment</w:t>
            </w:r>
          </w:p>
        </w:tc>
      </w:tr>
      <w:tr>
        <w:tc>
          <w:tcPr>
            <w:tcW w:type="pct" w:w="30%"/>
            <w:tcMar>
              <w:top w:type="dxa" w:w="90"/>
              <w:left w:type="dxa" w:w="130"/>
              <w:bottom w:type="dxa" w:w="90"/>
              <w:right w:type="dxa" w:w="130"/>
            </w:tcMar>
          </w:tcPr>
          <w:p>
            <w:pPr>
              <w:spacing w:after="0"/>
            </w:pPr>
            <w:r>
              <w:rPr>
                <w:color w:val="333A47"/>
                <w:sz w:val="19"/>
                <w:szCs w:val="19"/>
              </w:rPr>
              <w:t xml:space="preserve">DATA_MODEL.md</w:t>
            </w:r>
          </w:p>
        </w:tc>
        <w:tc>
          <w:tcPr>
            <w:tcW w:type="pct" w:w="70%"/>
            <w:tcMar>
              <w:top w:type="dxa" w:w="90"/>
              <w:left w:type="dxa" w:w="130"/>
              <w:bottom w:type="dxa" w:w="90"/>
              <w:right w:type="dxa" w:w="130"/>
            </w:tcMar>
          </w:tcPr>
          <w:p>
            <w:pPr>
              <w:spacing w:after="0"/>
            </w:pPr>
            <w:r>
              <w:rPr>
                <w:color w:val="333A47"/>
                <w:sz w:val="19"/>
                <w:szCs w:val="19"/>
              </w:rPr>
              <w:t xml:space="preserve">Entities, lifecycles, state machines, pharma extension path</w:t>
            </w:r>
          </w:p>
        </w:tc>
      </w:tr>
      <w:tr>
        <w:tc>
          <w:tcPr>
            <w:tcW w:type="pct" w:w="30%"/>
            <w:tcMar>
              <w:top w:type="dxa" w:w="90"/>
              <w:left w:type="dxa" w:w="130"/>
              <w:bottom w:type="dxa" w:w="90"/>
              <w:right w:type="dxa" w:w="130"/>
            </w:tcMar>
          </w:tcPr>
          <w:p>
            <w:pPr>
              <w:spacing w:after="0"/>
            </w:pPr>
            <w:r>
              <w:rPr>
                <w:color w:val="333A47"/>
                <w:sz w:val="19"/>
                <w:szCs w:val="19"/>
              </w:rPr>
              <w:t xml:space="preserve">COMPLIANCE.md</w:t>
            </w:r>
          </w:p>
        </w:tc>
        <w:tc>
          <w:tcPr>
            <w:tcW w:type="pct" w:w="70%"/>
            <w:tcMar>
              <w:top w:type="dxa" w:w="90"/>
              <w:left w:type="dxa" w:w="130"/>
              <w:bottom w:type="dxa" w:w="90"/>
              <w:right w:type="dxa" w:w="130"/>
            </w:tcMar>
          </w:tcPr>
          <w:p>
            <w:pPr>
              <w:spacing w:after="0"/>
            </w:pPr>
            <w:r>
              <w:rPr>
                <w:color w:val="333A47"/>
                <w:sz w:val="19"/>
                <w:szCs w:val="19"/>
              </w:rPr>
              <w:t xml:space="preserve">NABL/ISO 15189, DPDP, audit and e-signature design, threat model</w:t>
            </w:r>
          </w:p>
        </w:tc>
      </w:tr>
      <w:tr>
        <w:tc>
          <w:tcPr>
            <w:tcW w:type="pct" w:w="30%"/>
            <w:tcMar>
              <w:top w:type="dxa" w:w="90"/>
              <w:left w:type="dxa" w:w="130"/>
              <w:bottom w:type="dxa" w:w="90"/>
              <w:right w:type="dxa" w:w="130"/>
            </w:tcMar>
          </w:tcPr>
          <w:p>
            <w:pPr>
              <w:spacing w:after="0"/>
            </w:pPr>
            <w:r>
              <w:rPr>
                <w:color w:val="333A47"/>
                <w:sz w:val="19"/>
                <w:szCs w:val="19"/>
              </w:rPr>
              <w:t xml:space="preserve">SECURITY.md</w:t>
            </w:r>
          </w:p>
        </w:tc>
        <w:tc>
          <w:tcPr>
            <w:tcW w:type="pct" w:w="70%"/>
            <w:tcMar>
              <w:top w:type="dxa" w:w="90"/>
              <w:left w:type="dxa" w:w="130"/>
              <w:bottom w:type="dxa" w:w="90"/>
              <w:right w:type="dxa" w:w="130"/>
            </w:tcMar>
          </w:tcPr>
          <w:p>
            <w:pPr>
              <w:spacing w:after="0"/>
            </w:pPr>
            <w:r>
              <w:rPr>
                <w:color w:val="333A47"/>
                <w:sz w:val="19"/>
                <w:szCs w:val="19"/>
              </w:rPr>
              <w:t xml:space="preserve">Threat model, authn/authz, encryption, key management, checklist</w:t>
            </w:r>
          </w:p>
        </w:tc>
      </w:tr>
      <w:tr>
        <w:tc>
          <w:tcPr>
            <w:tcW w:type="pct" w:w="30%"/>
            <w:tcMar>
              <w:top w:type="dxa" w:w="90"/>
              <w:left w:type="dxa" w:w="130"/>
              <w:bottom w:type="dxa" w:w="90"/>
              <w:right w:type="dxa" w:w="130"/>
            </w:tcMar>
          </w:tcPr>
          <w:p>
            <w:pPr>
              <w:spacing w:after="0"/>
            </w:pPr>
            <w:r>
              <w:rPr>
                <w:color w:val="333A47"/>
                <w:sz w:val="19"/>
                <w:szCs w:val="19"/>
              </w:rPr>
              <w:t xml:space="preserve">INSTRUMENT_INTEGRATION.md</w:t>
            </w:r>
          </w:p>
        </w:tc>
        <w:tc>
          <w:tcPr>
            <w:tcW w:type="pct" w:w="70%"/>
            <w:tcMar>
              <w:top w:type="dxa" w:w="90"/>
              <w:left w:type="dxa" w:w="130"/>
              <w:bottom w:type="dxa" w:w="90"/>
              <w:right w:type="dxa" w:w="130"/>
            </w:tcMar>
          </w:tcPr>
          <w:p>
            <w:pPr>
              <w:spacing w:after="0"/>
            </w:pPr>
            <w:r>
              <w:rPr>
                <w:color w:val="333A47"/>
                <w:sz w:val="19"/>
                <w:szCs w:val="19"/>
              </w:rPr>
              <w:t xml:space="preserve">ASTM/HL7 protocols, gateway design, analyzer onboarding</w:t>
            </w:r>
          </w:p>
        </w:tc>
      </w:tr>
      <w:tr>
        <w:tc>
          <w:tcPr>
            <w:tcW w:type="pct" w:w="30%"/>
            <w:tcMar>
              <w:top w:type="dxa" w:w="90"/>
              <w:left w:type="dxa" w:w="130"/>
              <w:bottom w:type="dxa" w:w="90"/>
              <w:right w:type="dxa" w:w="130"/>
            </w:tcMar>
          </w:tcPr>
          <w:p>
            <w:pPr>
              <w:spacing w:after="0"/>
            </w:pPr>
            <w:r>
              <w:rPr>
                <w:color w:val="333A47"/>
                <w:sz w:val="19"/>
                <w:szCs w:val="19"/>
              </w:rPr>
              <w:t xml:space="preserve">DEPLOYMENT.md</w:t>
            </w:r>
          </w:p>
        </w:tc>
        <w:tc>
          <w:tcPr>
            <w:tcW w:type="pct" w:w="70%"/>
            <w:tcMar>
              <w:top w:type="dxa" w:w="90"/>
              <w:left w:type="dxa" w:w="130"/>
              <w:bottom w:type="dxa" w:w="90"/>
              <w:right w:type="dxa" w:w="130"/>
            </w:tcMar>
          </w:tcPr>
          <w:p>
            <w:pPr>
              <w:spacing w:after="0"/>
            </w:pPr>
            <w:r>
              <w:rPr>
                <w:color w:val="333A47"/>
                <w:sz w:val="19"/>
                <w:szCs w:val="19"/>
              </w:rPr>
              <w:t xml:space="preserve">Production deployment, hardening, operations</w:t>
            </w:r>
          </w:p>
        </w:tc>
      </w:tr>
      <w:tr>
        <w:tc>
          <w:tcPr>
            <w:tcW w:type="pct" w:w="30%"/>
            <w:tcMar>
              <w:top w:type="dxa" w:w="90"/>
              <w:left w:type="dxa" w:w="130"/>
              <w:bottom w:type="dxa" w:w="90"/>
              <w:right w:type="dxa" w:w="130"/>
            </w:tcMar>
          </w:tcPr>
          <w:p>
            <w:pPr>
              <w:spacing w:after="0"/>
            </w:pPr>
            <w:r>
              <w:rPr>
                <w:color w:val="333A47"/>
                <w:sz w:val="19"/>
                <w:szCs w:val="19"/>
              </w:rPr>
              <w:t xml:space="preserve">ROADMAP.md</w:t>
            </w:r>
          </w:p>
        </w:tc>
        <w:tc>
          <w:tcPr>
            <w:tcW w:type="pct" w:w="70%"/>
            <w:tcMar>
              <w:top w:type="dxa" w:w="90"/>
              <w:left w:type="dxa" w:w="130"/>
              <w:bottom w:type="dxa" w:w="90"/>
              <w:right w:type="dxa" w:w="130"/>
            </w:tcMar>
          </w:tcPr>
          <w:p>
            <w:pPr>
              <w:spacing w:after="0"/>
            </w:pPr>
            <w:r>
              <w:rPr>
                <w:color w:val="333A47"/>
                <w:sz w:val="19"/>
                <w:szCs w:val="19"/>
              </w:rPr>
              <w:t xml:space="preserve">Phased delivery plan and the parallel non-engineering track</w:t>
            </w:r>
          </w:p>
        </w:tc>
      </w:tr>
      <w:tr>
        <w:tc>
          <w:tcPr>
            <w:tcW w:type="pct" w:w="30%"/>
            <w:tcMar>
              <w:top w:type="dxa" w:w="90"/>
              <w:left w:type="dxa" w:w="130"/>
              <w:bottom w:type="dxa" w:w="90"/>
              <w:right w:type="dxa" w:w="130"/>
            </w:tcMar>
          </w:tcPr>
          <w:p>
            <w:pPr>
              <w:spacing w:after="0"/>
            </w:pPr>
            <w:r>
              <w:rPr>
                <w:color w:val="333A47"/>
                <w:sz w:val="19"/>
                <w:szCs w:val="19"/>
              </w:rPr>
              <w:t xml:space="preserve">adr/0001–0005</w:t>
            </w:r>
          </w:p>
        </w:tc>
        <w:tc>
          <w:tcPr>
            <w:tcW w:type="pct" w:w="70%"/>
            <w:tcMar>
              <w:top w:type="dxa" w:w="90"/>
              <w:left w:type="dxa" w:w="130"/>
              <w:bottom w:type="dxa" w:w="90"/>
              <w:right w:type="dxa" w:w="130"/>
            </w:tcMar>
          </w:tcPr>
          <w:p>
            <w:pPr>
              <w:spacing w:after="0"/>
            </w:pPr>
            <w:r>
              <w:rPr>
                <w:color w:val="333A47"/>
                <w:sz w:val="19"/>
                <w:szCs w:val="19"/>
              </w:rPr>
              <w:t xml:space="preserve">Five Architecture Decision Records with alternatives and consequences</w:t>
            </w:r>
          </w:p>
        </w:tc>
      </w:tr>
    </w:tbl>
    <w:p>
      <w:pPr>
        <w:spacing w:after="140"/>
      </w:pPr>
    </w:p>
    <w:p>
      <w:pPr>
        <w:pStyle w:val="Heading2"/>
        <w:spacing w:after="120" w:before="280"/>
      </w:pPr>
      <w:r>
        <w:rPr>
          <w:b/>
          <w:bCs/>
          <w:color w:val="21252E"/>
          <w:sz w:val="25"/>
          <w:szCs w:val="25"/>
        </w:rPr>
        <w:t xml:space="preserve">12.3 Demonstration credentials</w:t>
      </w:r>
    </w:p>
    <w:p>
      <w:pPr>
        <w:spacing w:after="120" w:line="276"/>
      </w:pPr>
      <w:r>
        <w:rPr>
          <w:color w:val="333A47"/>
          <w:sz w:val="21"/>
          <w:szCs w:val="21"/>
        </w:rPr>
        <w:t xml:space="preserve">Tenant code </w:t>
      </w:r>
      <w:r>
        <w:rPr>
          <w:b/>
          <w:bCs/>
          <w:color w:val="21252E"/>
          <w:sz w:val="21"/>
          <w:szCs w:val="21"/>
        </w:rPr>
        <w:t xml:space="preserve">SUNRISE</w:t>
      </w:r>
      <w:r>
        <w:rPr>
          <w:color w:val="333A47"/>
          <w:sz w:val="21"/>
          <w:szCs w:val="21"/>
        </w:rPr>
        <w:t xml:space="preserve">, password </w:t>
      </w:r>
      <w:r>
        <w:rPr>
          <w:b/>
          <w:bCs/>
          <w:color w:val="21252E"/>
          <w:sz w:val="21"/>
          <w:szCs w:val="21"/>
        </w:rPr>
        <w:t xml:space="preserve">LabSetu@2026</w:t>
      </w:r>
      <w:r>
        <w:rPr>
          <w:color w:val="333A47"/>
          <w:sz w:val="21"/>
          <w:szCs w:val="21"/>
        </w:rPr>
        <w:t xml:space="preserve"> for all accounts.</w:t>
      </w:r>
    </w:p>
    <w:p>
      <w:pPr>
        <w:spacing w:after="80"/>
      </w:pPr>
    </w:p>
    <w:tbl>
      <w:tblPr>
        <w:tblW w:type="pct" w:w="100%"/>
        <w:tblBorders>
          <w:top w:val="single" w:color="D5DAE3" w:sz="1"/>
          <w:left w:val="none"/>
          <w:bottom w:val="single" w:color="D5DAE3" w:sz="1"/>
          <w:right w:val="none"/>
          <w:insideH w:val="single" w:color="ECEEF2" w:sz="1"/>
          <w:insideV w:val="none"/>
        </w:tblBorders>
      </w:tblPr>
      <w:tblGrid>
        <w:gridCol w:w="100"/>
        <w:gridCol w:w="100"/>
        <w:gridCol w:w="100"/>
      </w:tblGrid>
      <w:tr>
        <w:trPr>
          <w:tblHeader/>
        </w:trPr>
        <w:tc>
          <w:tcPr>
            <w:tcW w:type="pct" w:w="30%"/>
            <w:shd w:fill="F4F6F8" w:val="clear"/>
            <w:tcMar>
              <w:top w:type="dxa" w:w="90"/>
              <w:left w:type="dxa" w:w="130"/>
              <w:bottom w:type="dxa" w:w="90"/>
              <w:right w:type="dxa" w:w="130"/>
            </w:tcMar>
          </w:tcPr>
          <w:p>
            <w:pPr>
              <w:spacing w:after="0"/>
            </w:pPr>
            <w:r>
              <w:rPr>
                <w:b/>
                <w:bCs/>
                <w:color w:val="21252E"/>
                <w:sz w:val="18"/>
                <w:szCs w:val="18"/>
              </w:rPr>
              <w:t xml:space="preserve">Account</w:t>
            </w:r>
          </w:p>
        </w:tc>
        <w:tc>
          <w:tcPr>
            <w:tcW w:type="pct" w:w="18%"/>
            <w:shd w:fill="F4F6F8" w:val="clear"/>
            <w:tcMar>
              <w:top w:type="dxa" w:w="90"/>
              <w:left w:type="dxa" w:w="130"/>
              <w:bottom w:type="dxa" w:w="90"/>
              <w:right w:type="dxa" w:w="130"/>
            </w:tcMar>
          </w:tcPr>
          <w:p>
            <w:pPr>
              <w:spacing w:after="0"/>
            </w:pPr>
            <w:r>
              <w:rPr>
                <w:b/>
                <w:bCs/>
                <w:color w:val="21252E"/>
                <w:sz w:val="18"/>
                <w:szCs w:val="18"/>
              </w:rPr>
              <w:t xml:space="preserve">Role</w:t>
            </w:r>
          </w:p>
        </w:tc>
        <w:tc>
          <w:tcPr>
            <w:tcW w:type="pct" w:w="52%"/>
            <w:shd w:fill="F4F6F8" w:val="clear"/>
            <w:tcMar>
              <w:top w:type="dxa" w:w="90"/>
              <w:left w:type="dxa" w:w="130"/>
              <w:bottom w:type="dxa" w:w="90"/>
              <w:right w:type="dxa" w:w="130"/>
            </w:tcMar>
          </w:tcPr>
          <w:p>
            <w:pPr>
              <w:spacing w:after="0"/>
            </w:pPr>
            <w:r>
              <w:rPr>
                <w:b/>
                <w:bCs/>
                <w:color w:val="21252E"/>
                <w:sz w:val="18"/>
                <w:szCs w:val="18"/>
              </w:rPr>
              <w:t xml:space="preserve">Demonstrates</w:t>
            </w:r>
          </w:p>
        </w:tc>
      </w:tr>
      <w:tr>
        <w:tc>
          <w:tcPr>
            <w:tcW w:type="pct" w:w="30%"/>
            <w:tcMar>
              <w:top w:type="dxa" w:w="90"/>
              <w:left w:type="dxa" w:w="130"/>
              <w:bottom w:type="dxa" w:w="90"/>
              <w:right w:type="dxa" w:w="130"/>
            </w:tcMar>
          </w:tcPr>
          <w:p>
            <w:pPr>
              <w:spacing w:after="0"/>
            </w:pPr>
            <w:r>
              <w:rPr>
                <w:color w:val="333A47"/>
                <w:sz w:val="19"/>
                <w:szCs w:val="19"/>
              </w:rPr>
              <w:t xml:space="preserve">pathologist@sunrise.test</w:t>
            </w:r>
          </w:p>
        </w:tc>
        <w:tc>
          <w:tcPr>
            <w:tcW w:type="pct" w:w="18%"/>
            <w:tcMar>
              <w:top w:type="dxa" w:w="90"/>
              <w:left w:type="dxa" w:w="130"/>
              <w:bottom w:type="dxa" w:w="90"/>
              <w:right w:type="dxa" w:w="130"/>
            </w:tcMar>
          </w:tcPr>
          <w:p>
            <w:pPr>
              <w:spacing w:after="0"/>
            </w:pPr>
            <w:r>
              <w:rPr>
                <w:color w:val="333A47"/>
                <w:sz w:val="19"/>
                <w:szCs w:val="19"/>
              </w:rPr>
              <w:t xml:space="preserve">Pathologist</w:t>
            </w:r>
          </w:p>
        </w:tc>
        <w:tc>
          <w:tcPr>
            <w:tcW w:type="pct" w:w="52%"/>
            <w:tcMar>
              <w:top w:type="dxa" w:w="90"/>
              <w:left w:type="dxa" w:w="130"/>
              <w:bottom w:type="dxa" w:w="90"/>
              <w:right w:type="dxa" w:w="130"/>
            </w:tcMar>
          </w:tcPr>
          <w:p>
            <w:pPr>
              <w:spacing w:after="0"/>
            </w:pPr>
            <w:r>
              <w:rPr>
                <w:color w:val="333A47"/>
                <w:sz w:val="19"/>
                <w:szCs w:val="19"/>
              </w:rPr>
              <w:t xml:space="preserve">Authorising results and releasing reports with an electronic signature</w:t>
            </w:r>
          </w:p>
        </w:tc>
      </w:tr>
      <w:tr>
        <w:tc>
          <w:tcPr>
            <w:tcW w:type="pct" w:w="30%"/>
            <w:tcMar>
              <w:top w:type="dxa" w:w="90"/>
              <w:left w:type="dxa" w:w="130"/>
              <w:bottom w:type="dxa" w:w="90"/>
              <w:right w:type="dxa" w:w="130"/>
            </w:tcMar>
          </w:tcPr>
          <w:p>
            <w:pPr>
              <w:spacing w:after="0"/>
            </w:pPr>
            <w:r>
              <w:rPr>
                <w:color w:val="333A47"/>
                <w:sz w:val="19"/>
                <w:szCs w:val="19"/>
              </w:rPr>
              <w:t xml:space="preserve">tech@sunrise.test</w:t>
            </w:r>
          </w:p>
        </w:tc>
        <w:tc>
          <w:tcPr>
            <w:tcW w:type="pct" w:w="18%"/>
            <w:tcMar>
              <w:top w:type="dxa" w:w="90"/>
              <w:left w:type="dxa" w:w="130"/>
              <w:bottom w:type="dxa" w:w="90"/>
              <w:right w:type="dxa" w:w="130"/>
            </w:tcMar>
          </w:tcPr>
          <w:p>
            <w:pPr>
              <w:spacing w:after="0"/>
            </w:pPr>
            <w:r>
              <w:rPr>
                <w:color w:val="333A47"/>
                <w:sz w:val="19"/>
                <w:szCs w:val="19"/>
              </w:rPr>
              <w:t xml:space="preserve">Technician</w:t>
            </w:r>
          </w:p>
        </w:tc>
        <w:tc>
          <w:tcPr>
            <w:tcW w:type="pct" w:w="52%"/>
            <w:tcMar>
              <w:top w:type="dxa" w:w="90"/>
              <w:left w:type="dxa" w:w="130"/>
              <w:bottom w:type="dxa" w:w="90"/>
              <w:right w:type="dxa" w:w="130"/>
            </w:tcMar>
          </w:tcPr>
          <w:p>
            <w:pPr>
              <w:spacing w:after="0"/>
            </w:pPr>
            <w:r>
              <w:rPr>
                <w:color w:val="333A47"/>
                <w:sz w:val="19"/>
                <w:szCs w:val="19"/>
              </w:rPr>
              <w:t xml:space="preserve">Entering and verifying results — and being refused authorisation</w:t>
            </w:r>
          </w:p>
        </w:tc>
      </w:tr>
      <w:tr>
        <w:tc>
          <w:tcPr>
            <w:tcW w:type="pct" w:w="30%"/>
            <w:tcMar>
              <w:top w:type="dxa" w:w="90"/>
              <w:left w:type="dxa" w:w="130"/>
              <w:bottom w:type="dxa" w:w="90"/>
              <w:right w:type="dxa" w:w="130"/>
            </w:tcMar>
          </w:tcPr>
          <w:p>
            <w:pPr>
              <w:spacing w:after="0"/>
            </w:pPr>
            <w:r>
              <w:rPr>
                <w:color w:val="333A47"/>
                <w:sz w:val="19"/>
                <w:szCs w:val="19"/>
              </w:rPr>
              <w:t xml:space="preserve">front@sunrise.test</w:t>
            </w:r>
          </w:p>
        </w:tc>
        <w:tc>
          <w:tcPr>
            <w:tcW w:type="pct" w:w="18%"/>
            <w:tcMar>
              <w:top w:type="dxa" w:w="90"/>
              <w:left w:type="dxa" w:w="130"/>
              <w:bottom w:type="dxa" w:w="90"/>
              <w:right w:type="dxa" w:w="130"/>
            </w:tcMar>
          </w:tcPr>
          <w:p>
            <w:pPr>
              <w:spacing w:after="0"/>
            </w:pPr>
            <w:r>
              <w:rPr>
                <w:color w:val="333A47"/>
                <w:sz w:val="19"/>
                <w:szCs w:val="19"/>
              </w:rPr>
              <w:t xml:space="preserve">Front desk</w:t>
            </w:r>
          </w:p>
        </w:tc>
        <w:tc>
          <w:tcPr>
            <w:tcW w:type="pct" w:w="52%"/>
            <w:tcMar>
              <w:top w:type="dxa" w:w="90"/>
              <w:left w:type="dxa" w:w="130"/>
              <w:bottom w:type="dxa" w:w="90"/>
              <w:right w:type="dxa" w:w="130"/>
            </w:tcMar>
          </w:tcPr>
          <w:p>
            <w:pPr>
              <w:spacing w:after="0"/>
            </w:pPr>
            <w:r>
              <w:rPr>
                <w:color w:val="333A47"/>
                <w:sz w:val="19"/>
                <w:szCs w:val="19"/>
              </w:rPr>
              <w:t xml:space="preserve">Patient registration, ordering, accessioning</w:t>
            </w:r>
          </w:p>
        </w:tc>
      </w:tr>
      <w:tr>
        <w:tc>
          <w:tcPr>
            <w:tcW w:type="pct" w:w="30%"/>
            <w:tcMar>
              <w:top w:type="dxa" w:w="90"/>
              <w:left w:type="dxa" w:w="130"/>
              <w:bottom w:type="dxa" w:w="90"/>
              <w:right w:type="dxa" w:w="130"/>
            </w:tcMar>
          </w:tcPr>
          <w:p>
            <w:pPr>
              <w:spacing w:after="0"/>
            </w:pPr>
            <w:r>
              <w:rPr>
                <w:color w:val="333A47"/>
                <w:sz w:val="19"/>
                <w:szCs w:val="19"/>
              </w:rPr>
              <w:t xml:space="preserve">auditor@sunrise.test</w:t>
            </w:r>
          </w:p>
        </w:tc>
        <w:tc>
          <w:tcPr>
            <w:tcW w:type="pct" w:w="18%"/>
            <w:tcMar>
              <w:top w:type="dxa" w:w="90"/>
              <w:left w:type="dxa" w:w="130"/>
              <w:bottom w:type="dxa" w:w="90"/>
              <w:right w:type="dxa" w:w="130"/>
            </w:tcMar>
          </w:tcPr>
          <w:p>
            <w:pPr>
              <w:spacing w:after="0"/>
            </w:pPr>
            <w:r>
              <w:rPr>
                <w:color w:val="333A47"/>
                <w:sz w:val="19"/>
                <w:szCs w:val="19"/>
              </w:rPr>
              <w:t xml:space="preserve">Auditor</w:t>
            </w:r>
          </w:p>
        </w:tc>
        <w:tc>
          <w:tcPr>
            <w:tcW w:type="pct" w:w="52%"/>
            <w:tcMar>
              <w:top w:type="dxa" w:w="90"/>
              <w:left w:type="dxa" w:w="130"/>
              <w:bottom w:type="dxa" w:w="90"/>
              <w:right w:type="dxa" w:w="130"/>
            </w:tcMar>
          </w:tcPr>
          <w:p>
            <w:pPr>
              <w:spacing w:after="0"/>
            </w:pPr>
            <w:r>
              <w:rPr>
                <w:color w:val="333A47"/>
                <w:sz w:val="19"/>
                <w:szCs w:val="19"/>
              </w:rPr>
              <w:t xml:space="preserve">Read-only access and the full audit trail with chain verification</w:t>
            </w:r>
          </w:p>
        </w:tc>
      </w:tr>
      <w:tr>
        <w:tc>
          <w:tcPr>
            <w:tcW w:type="pct" w:w="30%"/>
            <w:tcMar>
              <w:top w:type="dxa" w:w="90"/>
              <w:left w:type="dxa" w:w="130"/>
              <w:bottom w:type="dxa" w:w="90"/>
              <w:right w:type="dxa" w:w="130"/>
            </w:tcMar>
          </w:tcPr>
          <w:p>
            <w:pPr>
              <w:spacing w:after="0"/>
            </w:pPr>
            <w:r>
              <w:rPr>
                <w:color w:val="333A47"/>
                <w:sz w:val="19"/>
                <w:szCs w:val="19"/>
              </w:rPr>
              <w:t xml:space="preserve">admin@sunrise.test</w:t>
            </w:r>
          </w:p>
        </w:tc>
        <w:tc>
          <w:tcPr>
            <w:tcW w:type="pct" w:w="18%"/>
            <w:tcMar>
              <w:top w:type="dxa" w:w="90"/>
              <w:left w:type="dxa" w:w="130"/>
              <w:bottom w:type="dxa" w:w="90"/>
              <w:right w:type="dxa" w:w="130"/>
            </w:tcMar>
          </w:tcPr>
          <w:p>
            <w:pPr>
              <w:spacing w:after="0"/>
            </w:pPr>
            <w:r>
              <w:rPr>
                <w:color w:val="333A47"/>
                <w:sz w:val="19"/>
                <w:szCs w:val="19"/>
              </w:rPr>
              <w:t xml:space="preserve">Administrator</w:t>
            </w:r>
          </w:p>
        </w:tc>
        <w:tc>
          <w:tcPr>
            <w:tcW w:type="pct" w:w="52%"/>
            <w:tcMar>
              <w:top w:type="dxa" w:w="90"/>
              <w:left w:type="dxa" w:w="130"/>
              <w:bottom w:type="dxa" w:w="90"/>
              <w:right w:type="dxa" w:w="130"/>
            </w:tcMar>
          </w:tcPr>
          <w:p>
            <w:pPr>
              <w:spacing w:after="0"/>
            </w:pPr>
            <w:r>
              <w:rPr>
                <w:color w:val="333A47"/>
                <w:sz w:val="19"/>
                <w:szCs w:val="19"/>
              </w:rPr>
              <w:t xml:space="preserve">Full tenant access, QC override</w:t>
            </w:r>
          </w:p>
        </w:tc>
      </w:tr>
    </w:tbl>
    <w:p>
      <w:pPr>
        <w:spacing w:after="140"/>
      </w:pPr>
    </w:p>
    <w:p>
      <w:pPr>
        <w:pStyle w:val="Heading2"/>
        <w:spacing w:after="120" w:before="280"/>
      </w:pPr>
      <w:r>
        <w:rPr>
          <w:b/>
          <w:bCs/>
          <w:color w:val="21252E"/>
          <w:sz w:val="25"/>
          <w:szCs w:val="25"/>
        </w:rPr>
        <w:t xml:space="preserve">12.4 Seeded demonstration data</w:t>
      </w:r>
    </w:p>
    <w:p>
      <w:pPr>
        <w:pStyle w:val="ListParagraph"/>
        <w:numPr>
          <w:ilvl w:val="0"/>
          <w:numId w:val="1"/>
        </w:numPr>
        <w:spacing w:after="80" w:line="276"/>
      </w:pPr>
      <w:r>
        <w:rPr>
          <w:color w:val="333A47"/>
          <w:sz w:val="21"/>
          <w:szCs w:val="21"/>
        </w:rPr>
        <w:t xml:space="preserve">Sunrise Diagnostics — two branches (Jubilee Hills, Kukatpally), NABL certificate details.</w:t>
      </w:r>
    </w:p>
    <w:p>
      <w:pPr>
        <w:pStyle w:val="ListParagraph"/>
        <w:numPr>
          <w:ilvl w:val="0"/>
          <w:numId w:val="1"/>
        </w:numPr>
        <w:spacing w:after="80" w:line="276"/>
      </w:pPr>
      <w:r>
        <w:rPr>
          <w:color w:val="333A47"/>
          <w:sz w:val="21"/>
          <w:szCs w:val="21"/>
        </w:rPr>
        <w:t xml:space="preserve">40 analytes, 8 test definitions, 3 packages, with age- and sex-specific reference ranges and critical values.</w:t>
      </w:r>
    </w:p>
    <w:p>
      <w:pPr>
        <w:pStyle w:val="ListParagraph"/>
        <w:numPr>
          <w:ilvl w:val="0"/>
          <w:numId w:val="1"/>
        </w:numPr>
        <w:spacing w:after="80" w:line="276"/>
      </w:pPr>
      <w:r>
        <w:rPr>
          <w:color w:val="333A47"/>
          <w:sz w:val="21"/>
          <w:szCs w:val="21"/>
        </w:rPr>
        <w:t xml:space="preserve">3 analyzers with 32 channel mappings; one deliberately left in shadow mode.</w:t>
      </w:r>
    </w:p>
    <w:p>
      <w:pPr>
        <w:pStyle w:val="ListParagraph"/>
        <w:numPr>
          <w:ilvl w:val="0"/>
          <w:numId w:val="1"/>
        </w:numPr>
        <w:spacing w:after="80" w:line="276"/>
      </w:pPr>
      <w:r>
        <w:rPr>
          <w:color w:val="333A47"/>
          <w:sz w:val="21"/>
          <w:szCs w:val="21"/>
        </w:rPr>
        <w:t xml:space="preserve">2 QC materials, 2 lots, 8 analyte targets with mean and standard deviation.</w:t>
      </w:r>
    </w:p>
    <w:p>
      <w:pPr>
        <w:pStyle w:val="ListParagraph"/>
        <w:numPr>
          <w:ilvl w:val="0"/>
          <w:numId w:val="1"/>
        </w:numPr>
        <w:spacing w:after="80" w:line="276"/>
      </w:pPr>
      <w:r>
        <w:rPr>
          <w:color w:val="333A47"/>
          <w:sz w:val="21"/>
          <w:szCs w:val="21"/>
        </w:rPr>
        <w:t xml:space="preserve">7 users across 7 roles, 40 competency records, demonstration patients with encrypted identifiers.</w:t>
      </w:r>
    </w:p>
    <w:p>
      <w:pPr>
        <w:spacing w:after="140"/>
      </w:pPr>
    </w:p>
    <w:p>
      <w:pPr>
        <w:pStyle w:val="Heading2"/>
        <w:spacing w:after="120" w:before="280"/>
      </w:pPr>
      <w:r>
        <w:rPr>
          <w:b/>
          <w:bCs/>
          <w:color w:val="21252E"/>
          <w:sz w:val="25"/>
          <w:szCs w:val="25"/>
        </w:rPr>
        <w:t xml:space="preserve">12.5 Suggested demonstration sequence</w:t>
      </w:r>
    </w:p>
    <w:p>
      <w:pPr>
        <w:pStyle w:val="ListParagraph"/>
        <w:numPr>
          <w:ilvl w:val="0"/>
          <w:numId w:val="1"/>
        </w:numPr>
        <w:spacing w:after="80" w:line="276"/>
      </w:pPr>
      <w:r>
        <w:rPr>
          <w:color w:val="333A47"/>
          <w:sz w:val="21"/>
          <w:szCs w:val="21"/>
        </w:rPr>
        <w:t xml:space="preserve">Sign in as the front desk — register a patient and order a Complete Blood Count. Show the accession number and the specimen grouping.</w:t>
      </w:r>
    </w:p>
    <w:p>
      <w:pPr>
        <w:pStyle w:val="ListParagraph"/>
        <w:numPr>
          <w:ilvl w:val="0"/>
          <w:numId w:val="1"/>
        </w:numPr>
        <w:spacing w:after="80" w:line="276"/>
      </w:pPr>
      <w:r>
        <w:rPr>
          <w:color w:val="333A47"/>
          <w:sz w:val="21"/>
          <w:szCs w:val="21"/>
        </w:rPr>
        <w:t xml:space="preserve">Sign in as the technician — receive the sample, enter a critically low haemoglobin. Show the critical-value flag against the sex-specific reference range, then verify.</w:t>
      </w:r>
    </w:p>
    <w:p>
      <w:pPr>
        <w:pStyle w:val="ListParagraph"/>
        <w:numPr>
          <w:ilvl w:val="0"/>
          <w:numId w:val="1"/>
        </w:numPr>
        <w:spacing w:after="80" w:line="276"/>
      </w:pPr>
      <w:r>
        <w:rPr>
          <w:color w:val="333A47"/>
          <w:sz w:val="21"/>
          <w:szCs w:val="21"/>
        </w:rPr>
        <w:t xml:space="preserve">Attempt to authorise as the technician — refused, 403. Role separation is real.</w:t>
      </w:r>
    </w:p>
    <w:p>
      <w:pPr>
        <w:pStyle w:val="ListParagraph"/>
        <w:numPr>
          <w:ilvl w:val="0"/>
          <w:numId w:val="1"/>
        </w:numPr>
        <w:spacing w:after="80" w:line="276"/>
      </w:pPr>
      <w:r>
        <w:rPr>
          <w:color w:val="333A47"/>
          <w:sz w:val="21"/>
          <w:szCs w:val="21"/>
        </w:rPr>
        <w:t xml:space="preserve">Sign in as the pathologist — authorise with password re-authentication. Show that the signature is bound to the exact values.</w:t>
      </w:r>
    </w:p>
    <w:p>
      <w:pPr>
        <w:pStyle w:val="ListParagraph"/>
        <w:numPr>
          <w:ilvl w:val="0"/>
          <w:numId w:val="1"/>
        </w:numPr>
        <w:spacing w:after="80" w:line="276"/>
      </w:pPr>
      <w:r>
        <w:rPr>
          <w:color w:val="333A47"/>
          <w:sz w:val="21"/>
          <w:szCs w:val="21"/>
        </w:rPr>
        <w:t xml:space="preserve">Open Quality Control — record a failing run, then attempt to authorise another result on that analyzer. Blocked. Resolve with a documented action; the block clears.</w:t>
      </w:r>
    </w:p>
    <w:p>
      <w:pPr>
        <w:pStyle w:val="ListParagraph"/>
        <w:numPr>
          <w:ilvl w:val="0"/>
          <w:numId w:val="1"/>
        </w:numPr>
        <w:spacing w:after="80" w:line="276"/>
      </w:pPr>
      <w:r>
        <w:rPr>
          <w:color w:val="333A47"/>
          <w:sz w:val="21"/>
          <w:szCs w:val="21"/>
        </w:rPr>
        <w:t xml:space="preserve">Open the Audit trail as the auditor — show the chain verification banner and the complete history of the sample.</w:t>
      </w:r>
    </w:p>
    <w:p>
      <w:pPr>
        <w:pStyle w:val="ListParagraph"/>
        <w:numPr>
          <w:ilvl w:val="0"/>
          <w:numId w:val="1"/>
        </w:numPr>
        <w:spacing w:after="80" w:line="276"/>
      </w:pPr>
      <w:r>
        <w:rPr>
          <w:color w:val="333A47"/>
          <w:sz w:val="21"/>
          <w:szCs w:val="21"/>
        </w:rPr>
        <w:t xml:space="preserve">Open the same screens on a phone.</w:t>
      </w:r>
    </w:p>
    <w:p>
      <w:pPr>
        <w:spacing w:after="140"/>
      </w:pPr>
    </w:p>
    <w:p>
      <w:pPr>
        <w:spacing w:after="140"/>
      </w:pPr>
    </w:p>
    <w:p>
      <w:pPr>
        <w:spacing w:before="400"/>
        <w:jc w:val="center"/>
      </w:pPr>
      <w:r>
        <w:rPr>
          <w:i/>
          <w:iCs/>
          <w:color w:val="647591"/>
          <w:sz w:val="18"/>
          <w:szCs w:val="18"/>
        </w:rPr>
        <w:t xml:space="preserve">End of report</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591"/>
        <w:sz w:val="16"/>
        <w:szCs w:val="16"/>
      </w:rPr>
      <w:t xml:space="preserve">Page </w:t>
    </w:r>
    <w:r>
      <w:rPr>
        <w:color w:val="647591"/>
        <w:sz w:val="16"/>
        <w:szCs w:val="16"/>
      </w:rPr>
      <w:fldChar w:fldCharType="begin"/>
      <w:instrText xml:space="preserve">PAGE</w:instrText>
      <w:fldChar w:fldCharType="separate"/>
      <w:fldChar w:fldCharType="end"/>
    </w:r>
    <w:r>
      <w:rPr>
        <w:color w:val="647591"/>
        <w:sz w:val="16"/>
        <w:szCs w:val="16"/>
      </w:rPr>
      <w:t xml:space="preserve"> of </w:t>
    </w:r>
    <w:r>
      <w:rPr>
        <w:color w:val="64759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591"/>
        <w:sz w:val="16"/>
        <w:szCs w:val="16"/>
      </w:rPr>
      <w:t xml:space="preserve">LabSetu —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LabSetu — Implementation Report</dc:title>
  <dc:creator>LabSetu</dc:creator>
  <dc:description>Implementation report for the LabSetu Laboratory Information Management System</dc:description>
  <cp:lastModifiedBy>Un-named</cp:lastModifiedBy>
  <cp:revision>1</cp:revision>
  <dcterms:created xsi:type="dcterms:W3CDTF">2026-08-01T19:59:20.670Z</dcterms:created>
  <dcterms:modified xsi:type="dcterms:W3CDTF">2026-08-01T19:59:20.671Z</dcterms:modified>
</cp:coreProperties>
</file>

<file path=docProps/custom.xml><?xml version="1.0" encoding="utf-8"?>
<Properties xmlns="http://schemas.openxmlformats.org/officeDocument/2006/custom-properties" xmlns:vt="http://schemas.openxmlformats.org/officeDocument/2006/docPropsVTypes"/>
</file>