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 Job creates one or more Pods and ensures that a specified number of them successfully terminate. As pods successfully complete, the Job tracks the successful completions. When a specified number of successful completions is reached, the task (ie, Job) is complete. Deleting a Job will clean up the Pods it created.</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Jobs looks similar to init containers, but the major difference is, the main application containers don't start until init containers completes the job. Init containers can be used for initial copy of the database. Where jobs can be used for data migration and run independently with no dependency on the main container.</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CronJobs are useful for creating periodic and recurring tasks, like running backups or sending emails. CronJobs can also schedule individual tasks for a specific time, such as scheduling a Job for when your cluster is likely to be idle.</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hyperlink r:id="rId6">
        <w:r w:rsidDel="00000000" w:rsidR="00000000" w:rsidRPr="00000000">
          <w:rPr>
            <w:color w:val="1155cc"/>
            <w:u w:val="single"/>
            <w:rtl w:val="0"/>
          </w:rPr>
          <w:t xml:space="preserve">https://www.magalix.com/blog/kubernetes-jobs-101</w:t>
        </w:r>
      </w:hyperlink>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galix.com/blog/kubernetes-jobs-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