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8E38" w14:textId="24B258B2" w:rsidR="00AC3C8C" w:rsidRDefault="00000000">
      <w:pPr>
        <w:pStyle w:val="Title"/>
      </w:pPr>
      <w:r>
        <w:t xml:space="preserve">Variant Analysis </w:t>
      </w:r>
    </w:p>
    <w:p w14:paraId="3EF8EF2D" w14:textId="77777777" w:rsidR="00AC3C8C" w:rsidRDefault="00000000">
      <w:pPr>
        <w:pStyle w:val="Heading1"/>
      </w:pPr>
      <w:r>
        <w:t>Project Overview</w:t>
      </w:r>
    </w:p>
    <w:p w14:paraId="6EFC5A07" w14:textId="77777777" w:rsidR="00AC3C8C" w:rsidRDefault="00000000">
      <w:r>
        <w:t>This project analyzes ~120,000 annotated variants from a Harvard Personal Genome Project individual, using functional and conservation scores to prioritize potentially impactful SNPs.</w:t>
      </w:r>
    </w:p>
    <w:p w14:paraId="62169FB9" w14:textId="77777777" w:rsidR="00AC3C8C" w:rsidRDefault="00000000">
      <w:pPr>
        <w:pStyle w:val="Heading1"/>
      </w:pPr>
      <w:r>
        <w:t>Objective</w:t>
      </w:r>
    </w:p>
    <w:p w14:paraId="18FA6CAD" w14:textId="77777777" w:rsidR="00AC3C8C" w:rsidRDefault="00000000">
      <w:r>
        <w:t>- Compare genomic feature annotations (functionGVS vs. functionDBSNP)</w:t>
      </w:r>
    </w:p>
    <w:p w14:paraId="5A27F4F9" w14:textId="77777777" w:rsidR="00AC3C8C" w:rsidRDefault="00000000">
      <w:r>
        <w:t>- Evaluate variant impact using PolyPhen, Grantham, and GERP scores</w:t>
      </w:r>
    </w:p>
    <w:p w14:paraId="49EDE347" w14:textId="77777777" w:rsidR="00AC3C8C" w:rsidRDefault="00000000">
      <w:r>
        <w:t>- Select and analyze high-impact variants in PRDM16, IL37, and PNPLA1</w:t>
      </w:r>
    </w:p>
    <w:p w14:paraId="4634E712" w14:textId="77777777" w:rsidR="00AC3C8C" w:rsidRDefault="00000000">
      <w:r>
        <w:t>- Link variants to phenotype, population frequency, and clinical relevance</w:t>
      </w:r>
    </w:p>
    <w:p w14:paraId="769173EE" w14:textId="77777777" w:rsidR="00AC3C8C" w:rsidRDefault="00000000">
      <w:pPr>
        <w:pStyle w:val="Heading1"/>
      </w:pPr>
      <w:r>
        <w:t>Functional Annotation Comparison</w:t>
      </w:r>
    </w:p>
    <w:p w14:paraId="45195BDC" w14:textId="77777777" w:rsidR="00AC3C8C" w:rsidRDefault="00000000">
      <w:r>
        <w:t>functionGVS integrates annotations from the Genome Variation Server, offering a broad context from multiple integrated data sources.</w:t>
      </w:r>
    </w:p>
    <w:p w14:paraId="78E5DE0F" w14:textId="77777777" w:rsidR="00AC3C8C" w:rsidRDefault="00000000">
      <w:r>
        <w:t>functionDBSNP is based on the NCBI dbSNP database, assigning function based on standard SNP identifiers and curated functional consequences.</w:t>
      </w:r>
    </w:p>
    <w:p w14:paraId="2584EF2B" w14:textId="77777777" w:rsidR="00AC3C8C" w:rsidRDefault="00000000">
      <w:r>
        <w:t>Differences arise from reference builds and interpretation approaches. Example: one variant is labeled as "non-coding exon" in functionGVS but "non-coding transcript variant" in functionDBSNP.</w:t>
      </w:r>
    </w:p>
    <w:p w14:paraId="77D81910" w14:textId="77777777" w:rsidR="00AC3C8C" w:rsidRDefault="00000000">
      <w:pPr>
        <w:pStyle w:val="Heading1"/>
      </w:pPr>
      <w:r>
        <w:t>Variant Effect Prediction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4830"/>
        <w:gridCol w:w="4830"/>
      </w:tblGrid>
      <w:tr w:rsidR="009C4004" w14:paraId="33C14DB7" w14:textId="77777777" w:rsidTr="009C4004">
        <w:trPr>
          <w:trHeight w:val="426"/>
        </w:trPr>
        <w:tc>
          <w:tcPr>
            <w:tcW w:w="4830" w:type="dxa"/>
          </w:tcPr>
          <w:p w14:paraId="6F5A1A9C" w14:textId="119D0601" w:rsidR="009C4004" w:rsidRPr="009C4004" w:rsidRDefault="009C4004" w:rsidP="009C4004">
            <w:pPr>
              <w:rPr>
                <w:b/>
                <w:bCs/>
              </w:rPr>
            </w:pPr>
            <w:r w:rsidRPr="009C4004">
              <w:rPr>
                <w:b/>
                <w:bCs/>
              </w:rPr>
              <w:t xml:space="preserve">Method  </w:t>
            </w:r>
          </w:p>
        </w:tc>
        <w:tc>
          <w:tcPr>
            <w:tcW w:w="4830" w:type="dxa"/>
          </w:tcPr>
          <w:p w14:paraId="6EBBBFFD" w14:textId="0E8AE74A" w:rsidR="009C4004" w:rsidRPr="009C4004" w:rsidRDefault="009C4004" w:rsidP="009C4004">
            <w:pPr>
              <w:rPr>
                <w:b/>
                <w:bCs/>
              </w:rPr>
            </w:pPr>
            <w:r w:rsidRPr="009C4004">
              <w:rPr>
                <w:b/>
                <w:bCs/>
              </w:rPr>
              <w:t>Purpose</w:t>
            </w:r>
          </w:p>
        </w:tc>
      </w:tr>
      <w:tr w:rsidR="009C4004" w14:paraId="50C250AE" w14:textId="77777777" w:rsidTr="009C4004">
        <w:trPr>
          <w:trHeight w:val="447"/>
        </w:trPr>
        <w:tc>
          <w:tcPr>
            <w:tcW w:w="4830" w:type="dxa"/>
          </w:tcPr>
          <w:p w14:paraId="19CF2240" w14:textId="1DDD9F20" w:rsidR="009C4004" w:rsidRPr="009C4004" w:rsidRDefault="009C4004" w:rsidP="009C4004">
            <w:pPr>
              <w:rPr>
                <w:b/>
                <w:bCs/>
              </w:rPr>
            </w:pPr>
            <w:r w:rsidRPr="009C4004">
              <w:rPr>
                <w:b/>
                <w:bCs/>
              </w:rPr>
              <w:t>PolyPhen</w:t>
            </w:r>
          </w:p>
        </w:tc>
        <w:tc>
          <w:tcPr>
            <w:tcW w:w="4830" w:type="dxa"/>
          </w:tcPr>
          <w:p w14:paraId="7251FFF5" w14:textId="197D87B0" w:rsidR="009C4004" w:rsidRDefault="009C4004" w:rsidP="009C4004">
            <w:r>
              <w:t>Predicts structural/functional impact of amino acid changes</w:t>
            </w:r>
          </w:p>
          <w:p w14:paraId="3A61B0A4" w14:textId="77777777" w:rsidR="009C4004" w:rsidRDefault="009C4004" w:rsidP="009C4004"/>
        </w:tc>
      </w:tr>
      <w:tr w:rsidR="009C4004" w14:paraId="15786439" w14:textId="77777777" w:rsidTr="009C4004">
        <w:trPr>
          <w:trHeight w:val="426"/>
        </w:trPr>
        <w:tc>
          <w:tcPr>
            <w:tcW w:w="4830" w:type="dxa"/>
          </w:tcPr>
          <w:p w14:paraId="499DF987" w14:textId="416AC973" w:rsidR="009C4004" w:rsidRPr="009C4004" w:rsidRDefault="009C4004" w:rsidP="009C4004">
            <w:pPr>
              <w:rPr>
                <w:b/>
                <w:bCs/>
              </w:rPr>
            </w:pPr>
            <w:r w:rsidRPr="009C4004">
              <w:rPr>
                <w:b/>
                <w:bCs/>
              </w:rPr>
              <w:t>Grantham Score</w:t>
            </w:r>
          </w:p>
        </w:tc>
        <w:tc>
          <w:tcPr>
            <w:tcW w:w="4830" w:type="dxa"/>
          </w:tcPr>
          <w:p w14:paraId="4C7A9379" w14:textId="65EA7CE3" w:rsidR="009C4004" w:rsidRDefault="009C4004" w:rsidP="009C4004">
            <w:r>
              <w:t>Measures chemical dissimilarity between amino acids</w:t>
            </w:r>
          </w:p>
        </w:tc>
      </w:tr>
      <w:tr w:rsidR="009C4004" w14:paraId="0B847D71" w14:textId="77777777" w:rsidTr="009C4004">
        <w:trPr>
          <w:trHeight w:val="426"/>
        </w:trPr>
        <w:tc>
          <w:tcPr>
            <w:tcW w:w="4830" w:type="dxa"/>
          </w:tcPr>
          <w:p w14:paraId="46A99B53" w14:textId="032D5F9B" w:rsidR="009C4004" w:rsidRPr="009C4004" w:rsidRDefault="009C4004" w:rsidP="009C4004">
            <w:pPr>
              <w:rPr>
                <w:b/>
                <w:bCs/>
              </w:rPr>
            </w:pPr>
            <w:r w:rsidRPr="009C4004">
              <w:rPr>
                <w:b/>
                <w:bCs/>
              </w:rPr>
              <w:t>GERP (consScore)</w:t>
            </w:r>
          </w:p>
        </w:tc>
        <w:tc>
          <w:tcPr>
            <w:tcW w:w="4830" w:type="dxa"/>
          </w:tcPr>
          <w:p w14:paraId="2AD3120F" w14:textId="77777777" w:rsidR="009C4004" w:rsidRDefault="009C4004" w:rsidP="009C4004">
            <w:r>
              <w:t>Indicates evolutionary conservation of genomic regions</w:t>
            </w:r>
          </w:p>
          <w:p w14:paraId="73B896F7" w14:textId="77777777" w:rsidR="009C4004" w:rsidRDefault="009C4004" w:rsidP="009C4004"/>
        </w:tc>
      </w:tr>
    </w:tbl>
    <w:p w14:paraId="1679B78A" w14:textId="77777777" w:rsidR="009C4004" w:rsidRPr="009C4004" w:rsidRDefault="009C4004" w:rsidP="009C4004"/>
    <w:p w14:paraId="38466FDA" w14:textId="196338E8" w:rsidR="00AC3C8C" w:rsidRDefault="00000000">
      <w:r>
        <w:t xml:space="preserve">         </w:t>
      </w:r>
    </w:p>
    <w:p w14:paraId="3B03350C" w14:textId="545F4518" w:rsidR="00AC3C8C" w:rsidRDefault="00000000">
      <w:r>
        <w:lastRenderedPageBreak/>
        <w:t xml:space="preserve">   </w:t>
      </w:r>
    </w:p>
    <w:p w14:paraId="5AD8AADA" w14:textId="77777777" w:rsidR="00AC3C8C" w:rsidRDefault="00000000">
      <w:r>
        <w:t>Grantham score quantifies physicochemical differences, while PolyPhen integrates structure and sequence conservation. GERP reflects evolutionary constraint.</w:t>
      </w:r>
    </w:p>
    <w:p w14:paraId="451F5199" w14:textId="77777777" w:rsidR="00AC3C8C" w:rsidRDefault="00000000">
      <w:pPr>
        <w:pStyle w:val="Heading1"/>
      </w:pPr>
      <w:r>
        <w:t>Score Comparison Insight</w:t>
      </w:r>
    </w:p>
    <w:p w14:paraId="5D8A43B4" w14:textId="77777777" w:rsidR="00AC3C8C" w:rsidRDefault="00000000">
      <w:r>
        <w:t>In the dataset, examples show:</w:t>
      </w:r>
    </w:p>
    <w:p w14:paraId="1C544A87" w14:textId="77777777" w:rsidR="00AC3C8C" w:rsidRDefault="00000000">
      <w:r>
        <w:t>- Variants with high Grantham and high PolyPhen generally reflect damaging changes.</w:t>
      </w:r>
    </w:p>
    <w:p w14:paraId="68BBD35D" w14:textId="77777777" w:rsidR="00AC3C8C" w:rsidRDefault="00000000">
      <w:r>
        <w:t>- GERP scores often align with PolyPhen on highly conserved regions.</w:t>
      </w:r>
    </w:p>
    <w:p w14:paraId="08A88B14" w14:textId="77777777" w:rsidR="00AC3C8C" w:rsidRDefault="00000000">
      <w:r>
        <w:t>- Discrepancies exist - e.g., a variant with a high Grantham score but a benign PolyPhen score may indicate biochemical change without functional disruption.</w:t>
      </w:r>
    </w:p>
    <w:p w14:paraId="44EC2E25" w14:textId="77777777" w:rsidR="00AC3C8C" w:rsidRDefault="00000000">
      <w:pPr>
        <w:pStyle w:val="Heading1"/>
      </w:pPr>
      <w:r>
        <w:t>Variant Selection Criteria</w:t>
      </w:r>
    </w:p>
    <w:p w14:paraId="33B31DE7" w14:textId="77777777" w:rsidR="00AC3C8C" w:rsidRDefault="00000000">
      <w:r>
        <w:t>Variants were filtered using PolyPhen predictions. Only variants with high impact scores were considered. Three were prioritized based on gene function relevance and known disease associations: PRDM16, IL37, PNPLA1.</w:t>
      </w:r>
    </w:p>
    <w:p w14:paraId="798F064C" w14:textId="77777777" w:rsidR="00AC3C8C" w:rsidRDefault="00000000">
      <w:r>
        <w:t>Selected Variants</w:t>
      </w:r>
    </w:p>
    <w:p w14:paraId="7EF19A93" w14:textId="77777777" w:rsidR="00AC3C8C" w:rsidRDefault="00000000">
      <w:pPr>
        <w:pStyle w:val="Heading1"/>
      </w:pPr>
      <w:r>
        <w:t>Variant 1: PRDM16 (rs2493292)</w:t>
      </w:r>
    </w:p>
    <w:p w14:paraId="15C3FB1B" w14:textId="77777777" w:rsidR="00AC3C8C" w:rsidRDefault="00000000">
      <w:r>
        <w:t>- Function: Transcription factor in energy metabolism and brown fat development</w:t>
      </w:r>
    </w:p>
    <w:p w14:paraId="1A84FE79" w14:textId="77777777" w:rsidR="00AC3C8C" w:rsidRDefault="00000000">
      <w:r>
        <w:t>- Change: Proline to Leucine (missense)</w:t>
      </w:r>
    </w:p>
    <w:p w14:paraId="7B231C41" w14:textId="77777777" w:rsidR="00AC3C8C" w:rsidRDefault="00000000">
      <w:r>
        <w:t>- Impact: Possibly damaging (PolyPhen); Grantham score suggests significant change</w:t>
      </w:r>
    </w:p>
    <w:p w14:paraId="0CFFE194" w14:textId="77777777" w:rsidR="00AC3C8C" w:rsidRDefault="00000000">
      <w:r>
        <w:t>- Protein Impact Insight: Proline is rigid and often disrupts secondary structures. Substitution to leucine might disturb helix-loop integrity.</w:t>
      </w:r>
    </w:p>
    <w:p w14:paraId="4F7D96E6" w14:textId="77777777" w:rsidR="00AC3C8C" w:rsidRDefault="00000000">
      <w:r>
        <w:t>- Clinical: Linked to left ventricular noncompaction (LVNC8), diastolic/systolic blood pressure traits</w:t>
      </w:r>
    </w:p>
    <w:p w14:paraId="2012CEDF" w14:textId="77777777" w:rsidR="00AC3C8C" w:rsidRDefault="00000000">
      <w:r>
        <w:t>- Zygosity: Heterozygous - may show partial phenotype in dominant traits or be asymptomatic carrier</w:t>
      </w:r>
    </w:p>
    <w:p w14:paraId="0C970846" w14:textId="77777777" w:rsidR="00AC3C8C" w:rsidRDefault="00000000">
      <w:r>
        <w:t>- Population: T allele ~11% global; up to 17% in Europeans</w:t>
      </w:r>
    </w:p>
    <w:p w14:paraId="19250EF1" w14:textId="77777777" w:rsidR="00AC3C8C" w:rsidRDefault="00000000">
      <w:pPr>
        <w:pStyle w:val="Heading1"/>
      </w:pPr>
      <w:r>
        <w:t>Variant 2: IL37 (rs3811046)</w:t>
      </w:r>
    </w:p>
    <w:p w14:paraId="3DBAFF27" w14:textId="77777777" w:rsidR="00AC3C8C" w:rsidRDefault="00000000">
      <w:r>
        <w:t>- Function: Anti-inflammatory cytokine in immune regulation</w:t>
      </w:r>
    </w:p>
    <w:p w14:paraId="49DB5F92" w14:textId="77777777" w:rsidR="00AC3C8C" w:rsidRDefault="00000000">
      <w:r>
        <w:lastRenderedPageBreak/>
        <w:t>- Change: Missense variant</w:t>
      </w:r>
    </w:p>
    <w:p w14:paraId="7FEE4D29" w14:textId="77777777" w:rsidR="00AC3C8C" w:rsidRDefault="00000000">
      <w:r>
        <w:t>- Impact: Moderate functional alteration; PolyPhen = possibly damaging; Grantham = moderate</w:t>
      </w:r>
    </w:p>
    <w:p w14:paraId="74131806" w14:textId="77777777" w:rsidR="00AC3C8C" w:rsidRDefault="00000000">
      <w:r>
        <w:t>- Protein Impact Insight: Potential effect on cytokine-receptor interaction domain, possibly altering immune response modulation</w:t>
      </w:r>
    </w:p>
    <w:p w14:paraId="1B8DA162" w14:textId="77777777" w:rsidR="00AC3C8C" w:rsidRDefault="00000000">
      <w:r>
        <w:t>- Clinical: Associated with IBD, IL-1 levels, and TB-related inflammatory response</w:t>
      </w:r>
    </w:p>
    <w:p w14:paraId="2374E22D" w14:textId="77777777" w:rsidR="00AC3C8C" w:rsidRDefault="00000000">
      <w:r>
        <w:t>- Zygosity: Homozygous - increases phenotypic expression likelihood for recessive traits</w:t>
      </w:r>
    </w:p>
    <w:p w14:paraId="5615AD51" w14:textId="77777777" w:rsidR="00AC3C8C" w:rsidRDefault="00000000">
      <w:r>
        <w:t>- Population: T allele ~60%, 81% in East Asians</w:t>
      </w:r>
    </w:p>
    <w:p w14:paraId="18A6D585" w14:textId="77777777" w:rsidR="00AC3C8C" w:rsidRDefault="00000000">
      <w:pPr>
        <w:pStyle w:val="Heading1"/>
      </w:pPr>
      <w:r>
        <w:t>Variant 3: PNPLA1 (rs34598813)</w:t>
      </w:r>
    </w:p>
    <w:p w14:paraId="535A01AB" w14:textId="77777777" w:rsidR="00AC3C8C" w:rsidRDefault="00000000">
      <w:r>
        <w:t>- Function: Lipid metabolism and skin barrier function</w:t>
      </w:r>
    </w:p>
    <w:p w14:paraId="3EFED95C" w14:textId="77777777" w:rsidR="00AC3C8C" w:rsidRDefault="00000000">
      <w:r>
        <w:t>- Change: Missense mutation (Aspartate to Glutamate)</w:t>
      </w:r>
    </w:p>
    <w:p w14:paraId="51E568E6" w14:textId="77777777" w:rsidR="00AC3C8C" w:rsidRDefault="00000000">
      <w:r>
        <w:t>- Impact: Conservative substitution, but in a critical lipid-binding region may affect hydrolytic efficiency</w:t>
      </w:r>
    </w:p>
    <w:p w14:paraId="68F62E85" w14:textId="77777777" w:rsidR="00AC3C8C" w:rsidRDefault="00000000">
      <w:r>
        <w:t>- Protein Impact Insight: May reduce triglyceride processing and barrier formation</w:t>
      </w:r>
    </w:p>
    <w:p w14:paraId="4763A4E5" w14:textId="77777777" w:rsidR="00AC3C8C" w:rsidRDefault="00000000">
      <w:r>
        <w:t>- Clinical: Linked to autosomal recessive congenital ichthyosis</w:t>
      </w:r>
    </w:p>
    <w:p w14:paraId="54B9B357" w14:textId="77777777" w:rsidR="00AC3C8C" w:rsidRDefault="00000000">
      <w:r>
        <w:t>- Zygosity: Heterozygous - individual likely carrier, low phenotype risk unless in compound heterozygosity</w:t>
      </w:r>
    </w:p>
    <w:p w14:paraId="7321FBC0" w14:textId="77777777" w:rsidR="00AC3C8C" w:rsidRDefault="00000000">
      <w:r>
        <w:t>- Population: G allele ~8% globally</w:t>
      </w:r>
    </w:p>
    <w:p w14:paraId="79C3EB35" w14:textId="77777777" w:rsidR="00AC3C8C" w:rsidRDefault="00000000">
      <w:pPr>
        <w:pStyle w:val="Heading1"/>
      </w:pPr>
      <w:r>
        <w:t>Summary of Genetic Variant Scoring</w:t>
      </w:r>
    </w:p>
    <w:p w14:paraId="6C235733" w14:textId="77777777" w:rsidR="00AC3C8C" w:rsidRDefault="00000000">
      <w:r>
        <w:t>- Investigated SNPs in PRDM16, IL37, and PNPLA1 using dbSNP, GVS, and PolyPhen-2</w:t>
      </w:r>
    </w:p>
    <w:p w14:paraId="22D51E9D" w14:textId="77777777" w:rsidR="00AC3C8C" w:rsidRDefault="00000000">
      <w:r>
        <w:t>- Scored variants using Grantham and GERP for conservation and impact analysis</w:t>
      </w:r>
    </w:p>
    <w:p w14:paraId="650433D7" w14:textId="77777777" w:rsidR="00AC3C8C" w:rsidRDefault="00000000">
      <w:r>
        <w:t>- Identified potentially deleterious mutations affecting protein stability and function</w:t>
      </w:r>
    </w:p>
    <w:p w14:paraId="6D45B1E5" w14:textId="77777777" w:rsidR="00AC3C8C" w:rsidRDefault="00000000">
      <w:r>
        <w:t>- Prioritized variants with disease relevance for further experimental validation</w:t>
      </w:r>
    </w:p>
    <w:p w14:paraId="25C68286" w14:textId="77777777" w:rsidR="00AC3C8C" w:rsidRDefault="00000000">
      <w:pPr>
        <w:pStyle w:val="Heading1"/>
      </w:pPr>
      <w:r>
        <w:t>References</w:t>
      </w:r>
    </w:p>
    <w:p w14:paraId="75EAB194" w14:textId="191690A4" w:rsidR="009C4004" w:rsidRDefault="009C4004" w:rsidP="009C4004">
      <w:pPr>
        <w:numPr>
          <w:ilvl w:val="0"/>
          <w:numId w:val="10"/>
        </w:numPr>
        <w:rPr>
          <w:lang w:val="en-GB"/>
        </w:rPr>
      </w:pPr>
      <w:r w:rsidRPr="009C4004">
        <w:rPr>
          <w:lang w:val="en-GB"/>
        </w:rPr>
        <w:t xml:space="preserve">Allam, G. et al. (2016). Association of IL-37 gene polymorphisms with susceptibility to tuberculosis in Saudi subjects. </w:t>
      </w:r>
      <w:r w:rsidRPr="009C4004">
        <w:rPr>
          <w:i/>
          <w:iCs/>
          <w:lang w:val="en-GB"/>
        </w:rPr>
        <w:t>Microbiology and Immunology, 60</w:t>
      </w:r>
      <w:r w:rsidRPr="009C4004">
        <w:rPr>
          <w:lang w:val="en-GB"/>
        </w:rPr>
        <w:t xml:space="preserve">(11), 778–786. </w:t>
      </w:r>
      <w:hyperlink r:id="rId6" w:history="1">
        <w:r w:rsidRPr="009C4004">
          <w:rPr>
            <w:rStyle w:val="Hyperlink"/>
            <w:lang w:val="en-GB"/>
          </w:rPr>
          <w:t>https://doi.org/10.1111/1348-0421.12444</w:t>
        </w:r>
      </w:hyperlink>
    </w:p>
    <w:p w14:paraId="47AB6DDB" w14:textId="141AB7DD" w:rsidR="009C4004" w:rsidRDefault="009C4004" w:rsidP="009C4004">
      <w:pPr>
        <w:numPr>
          <w:ilvl w:val="0"/>
          <w:numId w:val="10"/>
        </w:numPr>
        <w:rPr>
          <w:lang w:val="en-GB"/>
        </w:rPr>
      </w:pPr>
      <w:r w:rsidRPr="009C4004">
        <w:rPr>
          <w:lang w:val="en-GB"/>
        </w:rPr>
        <w:lastRenderedPageBreak/>
        <w:t xml:space="preserve">Ahmad, F. et al. (2021). Variants in the PNPLA1 Gene in Families with Autosomal Recessive Congenital Ichthyosis Reveal Clinical Significance. </w:t>
      </w:r>
      <w:r w:rsidRPr="009C4004">
        <w:rPr>
          <w:i/>
          <w:iCs/>
          <w:lang w:val="en-GB"/>
        </w:rPr>
        <w:t>Molecular Syndromology, 12</w:t>
      </w:r>
      <w:r w:rsidRPr="009C4004">
        <w:rPr>
          <w:lang w:val="en-GB"/>
        </w:rPr>
        <w:t xml:space="preserve">(6), 351–361. </w:t>
      </w:r>
      <w:hyperlink r:id="rId7" w:history="1">
        <w:r w:rsidRPr="009C4004">
          <w:rPr>
            <w:rStyle w:val="Hyperlink"/>
            <w:lang w:val="en-GB"/>
          </w:rPr>
          <w:t>https://doi.org/10.1159/000516943</w:t>
        </w:r>
      </w:hyperlink>
    </w:p>
    <w:p w14:paraId="65461720" w14:textId="77777777" w:rsidR="009C4004" w:rsidRDefault="009C4004" w:rsidP="009C4004">
      <w:pPr>
        <w:pStyle w:val="ListParagraph"/>
        <w:numPr>
          <w:ilvl w:val="0"/>
          <w:numId w:val="10"/>
        </w:numPr>
      </w:pPr>
      <w:r>
        <w:t>SeattleSeq, dbSNP, UniProt, OMIM</w:t>
      </w:r>
    </w:p>
    <w:p w14:paraId="2B6E1A09" w14:textId="6DED404D" w:rsidR="00AC3C8C" w:rsidRDefault="00000000">
      <w:r>
        <w:t xml:space="preserve"> </w:t>
      </w:r>
    </w:p>
    <w:sectPr w:rsidR="00AC3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CE40A5"/>
    <w:multiLevelType w:val="multilevel"/>
    <w:tmpl w:val="6868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680068">
    <w:abstractNumId w:val="8"/>
  </w:num>
  <w:num w:numId="2" w16cid:durableId="341779961">
    <w:abstractNumId w:val="6"/>
  </w:num>
  <w:num w:numId="3" w16cid:durableId="1633559953">
    <w:abstractNumId w:val="5"/>
  </w:num>
  <w:num w:numId="4" w16cid:durableId="327634048">
    <w:abstractNumId w:val="4"/>
  </w:num>
  <w:num w:numId="5" w16cid:durableId="1072895943">
    <w:abstractNumId w:val="7"/>
  </w:num>
  <w:num w:numId="6" w16cid:durableId="1928147071">
    <w:abstractNumId w:val="3"/>
  </w:num>
  <w:num w:numId="7" w16cid:durableId="549420066">
    <w:abstractNumId w:val="2"/>
  </w:num>
  <w:num w:numId="8" w16cid:durableId="1786852655">
    <w:abstractNumId w:val="1"/>
  </w:num>
  <w:num w:numId="9" w16cid:durableId="1273511176">
    <w:abstractNumId w:val="0"/>
  </w:num>
  <w:num w:numId="10" w16cid:durableId="546533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4004"/>
    <w:rsid w:val="00AA1D8D"/>
    <w:rsid w:val="00AC3C8C"/>
    <w:rsid w:val="00B47730"/>
    <w:rsid w:val="00CB0664"/>
    <w:rsid w:val="00F902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9CF74"/>
  <w14:defaultImageDpi w14:val="300"/>
  <w15:docId w15:val="{348C832D-5572-42E7-B207-12E6C7B3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C40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159/00051694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11/1348-0421.1244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Uday Kiran</cp:lastModifiedBy>
  <cp:revision>2</cp:revision>
  <dcterms:created xsi:type="dcterms:W3CDTF">2013-12-23T23:15:00Z</dcterms:created>
  <dcterms:modified xsi:type="dcterms:W3CDTF">2025-06-18T03:17:00Z</dcterms:modified>
  <cp:category/>
</cp:coreProperties>
</file>