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654879203bb1029e78963a3991306fbdbe2616a"/>
    <w:p>
      <w:pPr>
        <w:pStyle w:val="Heading1"/>
      </w:pPr>
      <w:r>
        <w:t xml:space="preserve">System Design — AI-Assisted Bank Reconciliation</w:t>
      </w:r>
    </w:p>
    <w:bookmarkStart w:id="20" w:name="purpose-and-scope"/>
    <w:p>
      <w:pPr>
        <w:pStyle w:val="Heading2"/>
      </w:pPr>
      <w:r>
        <w:t xml:space="preserve">1. Purpose and Scope</w:t>
      </w:r>
    </w:p>
    <w:p>
      <w:pPr>
        <w:pStyle w:val="FirstParagraph"/>
      </w:pPr>
      <w:r>
        <w:t xml:space="preserve">This document defines how the system is built: its layers and modules, the technology used and why, how data is accessed, how the audit chain is produced and verified, how matching and review work internally, the API surface, error handling, security, permissions, configuration, report generation, performance targets, the testing approach, and the decisions taken along the way.</w:t>
      </w:r>
    </w:p>
    <w:p>
      <w:pPr>
        <w:pStyle w:val="BodyText"/>
      </w:pPr>
      <w:r>
        <w:t xml:space="preserve">It describes the system as built. Where the implementation departed from the original design, the section says so and the reason is recorded in section 17.</w:t>
      </w:r>
    </w:p>
    <w:bookmarkEnd w:id="20"/>
    <w:bookmarkStart w:id="25" w:name="architecture"/>
    <w:p>
      <w:pPr>
        <w:pStyle w:val="Heading2"/>
      </w:pPr>
      <w:r>
        <w:t xml:space="preserve">2. Architecture</w:t>
      </w:r>
    </w:p>
    <w:p>
      <w:pPr>
        <w:pStyle w:val="CaptionedFigure"/>
      </w:pPr>
      <w:r>
        <w:drawing>
          <wp:inline>
            <wp:extent cx="6400800" cy="3868947"/>
            <wp:effectExtent b="0" l="0" r="0" t="0"/>
            <wp:docPr descr="Layered architecture" title="" id="22" name="Picture"/>
            <a:graphic>
              <a:graphicData uri="http://schemas.openxmlformats.org/drawingml/2006/picture">
                <pic:pic>
                  <pic:nvPicPr>
                    <pic:cNvPr descr="../diagrams/architecture.png" id="23" name="Picture"/>
                    <pic:cNvPicPr>
                      <a:picLocks noChangeArrowheads="1" noChangeAspect="1"/>
                    </pic:cNvPicPr>
                  </pic:nvPicPr>
                  <pic:blipFill>
                    <a:blip r:embed="rId21"/>
                    <a:stretch>
                      <a:fillRect/>
                    </a:stretch>
                  </pic:blipFill>
                  <pic:spPr bwMode="auto">
                    <a:xfrm>
                      <a:off x="0" y="0"/>
                      <a:ext cx="6400800" cy="3868947"/>
                    </a:xfrm>
                    <a:prstGeom prst="rect">
                      <a:avLst/>
                    </a:prstGeom>
                    <a:noFill/>
                    <a:ln w="9525">
                      <a:noFill/>
                      <a:headEnd/>
                      <a:tailEnd/>
                    </a:ln>
                  </pic:spPr>
                </pic:pic>
              </a:graphicData>
            </a:graphic>
          </wp:inline>
        </w:drawing>
      </w:r>
    </w:p>
    <w:p>
      <w:pPr>
        <w:pStyle w:val="ImageCaption"/>
      </w:pPr>
      <w:r>
        <w:t xml:space="preserve">Layered architecture</w:t>
      </w:r>
    </w:p>
    <w:tbl>
      <w:tblPr>
        <w:tblStyle w:val="Table"/>
        <w:tblW w:type="pct" w:w="5000"/>
        <w:tblLook w:firstRow="1" w:lastRow="0" w:firstColumn="0" w:lastColumn="0" w:noHBand="0" w:noVBand="0" w:val="0020"/>
        <w:jc w:val="start"/>
      </w:tblPr>
      <w:tblGrid>
        <w:gridCol w:w="1417"/>
        <w:gridCol w:w="1417"/>
        <w:gridCol w:w="3668"/>
        <w:gridCol w:w="1417"/>
      </w:tblGrid>
      <w:tr>
        <w:trPr>
          <w:tblHeader w:val="true"/>
        </w:trPr>
        <w:tc>
          <w:tcPr/>
          <w:p>
            <w:pPr>
              <w:pStyle w:val="Compact"/>
              <w:jc w:val="left"/>
            </w:pPr>
            <w:r>
              <w:t xml:space="preserve">Layer</w:t>
            </w:r>
          </w:p>
        </w:tc>
        <w:tc>
          <w:tcPr/>
          <w:p>
            <w:pPr>
              <w:pStyle w:val="Compact"/>
              <w:jc w:val="left"/>
            </w:pPr>
            <w:r>
              <w:t xml:space="preserve">Package</w:t>
            </w:r>
          </w:p>
        </w:tc>
        <w:tc>
          <w:tcPr/>
          <w:p>
            <w:pPr>
              <w:pStyle w:val="Compact"/>
              <w:jc w:val="left"/>
            </w:pPr>
            <w:r>
              <w:t xml:space="preserve">Responsibility</w:t>
            </w:r>
          </w:p>
        </w:tc>
        <w:tc>
          <w:tcPr/>
          <w:p>
            <w:pPr>
              <w:pStyle w:val="Compact"/>
              <w:jc w:val="left"/>
            </w:pPr>
            <w:r>
              <w:t xml:space="preserve">May call</w:t>
            </w:r>
          </w:p>
        </w:tc>
      </w:tr>
      <w:tr>
        <w:tc>
          <w:tcPr/>
          <w:p>
            <w:pPr>
              <w:pStyle w:val="Compact"/>
              <w:jc w:val="left"/>
            </w:pPr>
            <w:r>
              <w:t xml:space="preserve">Presentation</w:t>
            </w:r>
          </w:p>
        </w:tc>
        <w:tc>
          <w:tcPr/>
          <w:p>
            <w:pPr>
              <w:pStyle w:val="Compact"/>
              <w:jc w:val="left"/>
            </w:pPr>
            <w:r>
              <w:rPr>
                <w:rStyle w:val="VerbatimChar"/>
              </w:rPr>
              <w:t xml:space="preserve">app/web</w:t>
            </w:r>
          </w:p>
        </w:tc>
        <w:tc>
          <w:tcPr/>
          <w:p>
            <w:pPr>
              <w:pStyle w:val="Compact"/>
              <w:jc w:val="left"/>
            </w:pPr>
            <w:r>
              <w:t xml:space="preserve">Routers, templates, identity selection</w:t>
            </w:r>
          </w:p>
        </w:tc>
        <w:tc>
          <w:tcPr/>
          <w:p>
            <w:pPr>
              <w:pStyle w:val="Compact"/>
              <w:jc w:val="left"/>
            </w:pPr>
            <w:r>
              <w:t xml:space="preserve">Services</w:t>
            </w:r>
          </w:p>
        </w:tc>
      </w:tr>
      <w:tr>
        <w:tc>
          <w:tcPr/>
          <w:p>
            <w:pPr>
              <w:pStyle w:val="Compact"/>
              <w:jc w:val="left"/>
            </w:pPr>
            <w:r>
              <w:t xml:space="preserve">Application services</w:t>
            </w:r>
          </w:p>
        </w:tc>
        <w:tc>
          <w:tcPr/>
          <w:p>
            <w:pPr>
              <w:pStyle w:val="Compact"/>
              <w:jc w:val="left"/>
            </w:pPr>
            <w:r>
              <w:rPr>
                <w:rStyle w:val="VerbatimChar"/>
              </w:rPr>
              <w:t xml:space="preserve">app/services</w:t>
            </w:r>
          </w:p>
        </w:tc>
        <w:tc>
          <w:tcPr/>
          <w:p>
            <w:pPr>
              <w:pStyle w:val="Compact"/>
              <w:jc w:val="left"/>
            </w:pPr>
            <w:r>
              <w:t xml:space="preserve">One service per workflow step; owns transactions</w:t>
            </w:r>
          </w:p>
        </w:tc>
        <w:tc>
          <w:tcPr/>
          <w:p>
            <w:pPr>
              <w:pStyle w:val="Compact"/>
              <w:jc w:val="left"/>
            </w:pPr>
            <w:r>
              <w:t xml:space="preserve">Control, domain, infrastructure</w:t>
            </w:r>
          </w:p>
        </w:tc>
      </w:tr>
      <w:tr>
        <w:tc>
          <w:tcPr/>
          <w:p>
            <w:pPr>
              <w:pStyle w:val="Compact"/>
              <w:jc w:val="left"/>
            </w:pPr>
            <w:r>
              <w:t xml:space="preserve">Control</w:t>
            </w:r>
          </w:p>
        </w:tc>
        <w:tc>
          <w:tcPr/>
          <w:p>
            <w:pPr>
              <w:pStyle w:val="Compact"/>
              <w:jc w:val="left"/>
            </w:pPr>
            <w:r>
              <w:rPr>
                <w:rStyle w:val="VerbatimChar"/>
              </w:rPr>
              <w:t xml:space="preserve">app/control</w:t>
            </w:r>
          </w:p>
        </w:tc>
        <w:tc>
          <w:tcPr/>
          <w:p>
            <w:pPr>
              <w:pStyle w:val="Compact"/>
              <w:jc w:val="left"/>
            </w:pPr>
            <w:r>
              <w:t xml:space="preserve">Permission, separation of duties, period lock, completion rule</w:t>
            </w:r>
          </w:p>
        </w:tc>
        <w:tc>
          <w:tcPr/>
          <w:p>
            <w:pPr>
              <w:pStyle w:val="Compact"/>
              <w:jc w:val="left"/>
            </w:pPr>
            <w:r>
              <w:t xml:space="preserve">Infrastructure</w:t>
            </w:r>
          </w:p>
        </w:tc>
      </w:tr>
      <w:tr>
        <w:tc>
          <w:tcPr/>
          <w:p>
            <w:pPr>
              <w:pStyle w:val="Compact"/>
              <w:jc w:val="left"/>
            </w:pPr>
            <w:r>
              <w:t xml:space="preserve">Domain</w:t>
            </w:r>
          </w:p>
        </w:tc>
        <w:tc>
          <w:tcPr/>
          <w:p>
            <w:pPr>
              <w:pStyle w:val="Compact"/>
              <w:jc w:val="left"/>
            </w:pPr>
            <w:r>
              <w:rPr>
                <w:rStyle w:val="VerbatimChar"/>
              </w:rPr>
              <w:t xml:space="preserve">app/domain</w:t>
            </w:r>
          </w:p>
        </w:tc>
        <w:tc>
          <w:tcPr/>
          <w:p>
            <w:pPr>
              <w:pStyle w:val="Compact"/>
              <w:jc w:val="left"/>
            </w:pPr>
            <w:r>
              <w:t xml:space="preserve">Rules, candidate generation, scoring, calibration, risk, explanations</w:t>
            </w:r>
          </w:p>
        </w:tc>
        <w:tc>
          <w:tcPr/>
          <w:p>
            <w:pPr>
              <w:pStyle w:val="Compact"/>
              <w:jc w:val="left"/>
            </w:pPr>
            <w:r>
              <w:t xml:space="preserve">Nothing</w:t>
            </w:r>
          </w:p>
        </w:tc>
      </w:tr>
      <w:tr>
        <w:tc>
          <w:tcPr/>
          <w:p>
            <w:pPr>
              <w:pStyle w:val="Compact"/>
              <w:jc w:val="left"/>
            </w:pPr>
            <w:r>
              <w:t xml:space="preserve">Infrastructure</w:t>
            </w:r>
          </w:p>
        </w:tc>
        <w:tc>
          <w:tcPr/>
          <w:p>
            <w:pPr>
              <w:pStyle w:val="Compact"/>
              <w:jc w:val="left"/>
            </w:pPr>
            <w:r>
              <w:rPr>
                <w:rStyle w:val="VerbatimChar"/>
              </w:rPr>
              <w:t xml:space="preserve">app/infra</w:t>
            </w:r>
          </w:p>
        </w:tc>
        <w:tc>
          <w:tcPr/>
          <w:p>
            <w:pPr>
              <w:pStyle w:val="Compact"/>
              <w:jc w:val="left"/>
            </w:pPr>
            <w:r>
              <w:t xml:space="preserve">Repositories, audit writer, report renderer, GenAI adapter</w:t>
            </w:r>
          </w:p>
        </w:tc>
        <w:tc>
          <w:tcPr/>
          <w:p>
            <w:pPr>
              <w:pStyle w:val="Compact"/>
              <w:jc w:val="left"/>
            </w:pPr>
            <w:r>
              <w:t xml:space="preserve">Database</w:t>
            </w:r>
          </w:p>
        </w:tc>
      </w:tr>
    </w:tbl>
    <w:p>
      <w:pPr>
        <w:pStyle w:val="BodyText"/>
      </w:pPr>
      <w:r>
        <w:t xml:space="preserve">Dependencies point downward only. The domain layer performs no input or output at all: it receives plain data structures and returns results, which is what makes rules and scoring reproducible and testable without a database.</w:t>
      </w:r>
    </w:p>
    <w:bookmarkStart w:id="24" w:name="module-structure"/>
    <w:p>
      <w:pPr>
        <w:pStyle w:val="Heading3"/>
      </w:pPr>
      <w:r>
        <w:t xml:space="preserve">2.1 Module structure</w:t>
      </w:r>
    </w:p>
    <w:p>
      <w:pPr>
        <w:pStyle w:val="SourceCode"/>
      </w:pPr>
      <w:r>
        <w:rPr>
          <w:rStyle w:val="VerbatimChar"/>
        </w:rPr>
        <w:t xml:space="preserve">app/</w:t>
      </w:r>
      <w:r>
        <w:br/>
      </w:r>
      <w:r>
        <w:rPr>
          <w:rStyle w:val="VerbatimChar"/>
        </w:rPr>
        <w:t xml:space="preserve">├── cli.py                  Command line: init, run, status, verify, report, serve, evaluate, reset</w:t>
      </w:r>
      <w:r>
        <w:br/>
      </w:r>
      <w:r>
        <w:rPr>
          <w:rStyle w:val="VerbatimChar"/>
        </w:rPr>
        <w:t xml:space="preserve">├── config.py               Configuration load and parameter snapshot</w:t>
      </w:r>
      <w:r>
        <w:br/>
      </w:r>
      <w:r>
        <w:rPr>
          <w:rStyle w:val="VerbatimChar"/>
        </w:rPr>
        <w:t xml:space="preserve">├── web/</w:t>
      </w:r>
      <w:r>
        <w:br/>
      </w:r>
      <w:r>
        <w:rPr>
          <w:rStyle w:val="VerbatimChar"/>
        </w:rPr>
        <w:t xml:space="preserve">│   ├── main.py             Application factory, session, error handling</w:t>
      </w:r>
      <w:r>
        <w:br/>
      </w:r>
      <w:r>
        <w:rPr>
          <w:rStyle w:val="VerbatimChar"/>
        </w:rPr>
        <w:t xml:space="preserve">│   ├── common.py           Identity, messages, page and redirect helpers</w:t>
      </w:r>
      <w:r>
        <w:br/>
      </w:r>
      <w:r>
        <w:rPr>
          <w:rStyle w:val="VerbatimChar"/>
        </w:rPr>
        <w:t xml:space="preserve">│   ├── views.py            What each screen shows; no web framework imports</w:t>
      </w:r>
      <w:r>
        <w:br/>
      </w:r>
      <w:r>
        <w:rPr>
          <w:rStyle w:val="VerbatimChar"/>
        </w:rPr>
        <w:t xml:space="preserve">│   ├── labels.py           Plain-language names, help text and refusal sentences (ADR-33)</w:t>
      </w:r>
      <w:r>
        <w:br/>
      </w:r>
      <w:r>
        <w:rPr>
          <w:rStyle w:val="VerbatimChar"/>
        </w:rPr>
        <w:t xml:space="preserve">│   ├── plain.py            Sentences built from evidence and state: next step, checklist (ADR-33)</w:t>
      </w:r>
      <w:r>
        <w:br/>
      </w:r>
      <w:r>
        <w:rPr>
          <w:rStyle w:val="VerbatimChar"/>
        </w:rPr>
        <w:t xml:space="preserve">│   ├── rendering.py        Jinja2 environment and formatting filters</w:t>
      </w:r>
      <w:r>
        <w:br/>
      </w:r>
      <w:r>
        <w:rPr>
          <w:rStyle w:val="VerbatimChar"/>
        </w:rPr>
        <w:t xml:space="preserve">│   ├── routes/             dashboard.py, review.py, runs.py, period.py</w:t>
      </w:r>
      <w:r>
        <w:br/>
      </w:r>
      <w:r>
        <w:rPr>
          <w:rStyle w:val="VerbatimChar"/>
        </w:rPr>
        <w:t xml:space="preserve">│   ├── templates/          One template per screen (W1..W8), Help, and shared layout</w:t>
      </w:r>
      <w:r>
        <w:br/>
      </w:r>
      <w:r>
        <w:rPr>
          <w:rStyle w:val="VerbatimChar"/>
        </w:rPr>
        <w:t xml:space="preserve">│   └── static/app.css      Stylesheet</w:t>
      </w:r>
      <w:r>
        <w:br/>
      </w:r>
      <w:r>
        <w:rPr>
          <w:rStyle w:val="VerbatimChar"/>
        </w:rPr>
        <w:t xml:space="preserve">├── services/</w:t>
      </w:r>
      <w:r>
        <w:br/>
      </w:r>
      <w:r>
        <w:rPr>
          <w:rStyle w:val="VerbatimChar"/>
        </w:rPr>
        <w:t xml:space="preserve">│   ├── container.py            Builds every service from configuration</w:t>
      </w:r>
      <w:r>
        <w:br/>
      </w:r>
      <w:r>
        <w:rPr>
          <w:rStyle w:val="VerbatimChar"/>
        </w:rPr>
        <w:t xml:space="preserve">│   ├── run_service.py          W2: controls in front of import, validation, matching</w:t>
      </w:r>
      <w:r>
        <w:br/>
      </w:r>
      <w:r>
        <w:rPr>
          <w:rStyle w:val="VerbatimChar"/>
        </w:rPr>
        <w:t xml:space="preserve">│   ├── import_service.py       UC-01</w:t>
      </w:r>
      <w:r>
        <w:br/>
      </w:r>
      <w:r>
        <w:rPr>
          <w:rStyle w:val="VerbatimChar"/>
        </w:rPr>
        <w:t xml:space="preserve">│   ├── validation_service.py   UC-02, includes normalization</w:t>
      </w:r>
      <w:r>
        <w:br/>
      </w:r>
      <w:r>
        <w:rPr>
          <w:rStyle w:val="VerbatimChar"/>
        </w:rPr>
        <w:t xml:space="preserve">│   ├── matching_service.py     UC-03, orchestrates the domain layer; re-proposal of released items</w:t>
      </w:r>
      <w:r>
        <w:br/>
      </w:r>
      <w:r>
        <w:rPr>
          <w:rStyle w:val="VerbatimChar"/>
        </w:rPr>
        <w:t xml:space="preserve">│   ├── review_service.py       UC-04..UC-07, batches, manual pairing, reversal (CR-19)</w:t>
      </w:r>
      <w:r>
        <w:br/>
      </w:r>
      <w:r>
        <w:rPr>
          <w:rStyle w:val="VerbatimChar"/>
        </w:rPr>
        <w:t xml:space="preserve">│   ├── adjustment_service.py   UC-08, UC-09</w:t>
      </w:r>
      <w:r>
        <w:br/>
      </w:r>
      <w:r>
        <w:rPr>
          <w:rStyle w:val="VerbatimChar"/>
        </w:rPr>
        <w:t xml:space="preserve">│   ├── period_service.py       UC-11..UC-13, the bank-to-book statement</w:t>
      </w:r>
      <w:r>
        <w:br/>
      </w:r>
      <w:r>
        <w:rPr>
          <w:rStyle w:val="VerbatimChar"/>
        </w:rPr>
        <w:t xml:space="preserve">│   ├── report_service.py       UC-10, package and report check</w:t>
      </w:r>
      <w:r>
        <w:br/>
      </w:r>
      <w:r>
        <w:rPr>
          <w:rStyle w:val="VerbatimChar"/>
        </w:rPr>
        <w:t xml:space="preserve">│   ├── report_builders.py      Data for RPT-01..13</w:t>
      </w:r>
      <w:r>
        <w:br/>
      </w:r>
      <w:r>
        <w:rPr>
          <w:rStyle w:val="VerbatimChar"/>
        </w:rPr>
        <w:t xml:space="preserve">│   ├── prose_service.py        Optional labelled prose (CR-13)</w:t>
      </w:r>
      <w:r>
        <w:br/>
      </w:r>
      <w:r>
        <w:rPr>
          <w:rStyle w:val="VerbatimChar"/>
        </w:rPr>
        <w:t xml:space="preserve">│   ├── evaluation_service.py   FR-EVL; the only code that reads ground truth</w:t>
      </w:r>
      <w:r>
        <w:br/>
      </w:r>
      <w:r>
        <w:rPr>
          <w:rStyle w:val="VerbatimChar"/>
        </w:rPr>
        <w:t xml:space="preserve">│   ├── reference_data.py       Identities and chart of accounts</w:t>
      </w:r>
      <w:r>
        <w:br/>
      </w:r>
      <w:r>
        <w:rPr>
          <w:rStyle w:val="VerbatimChar"/>
        </w:rPr>
        <w:t xml:space="preserve">│   └── blocked.py              BLOCKED_ATTEMPT events for every service</w:t>
      </w:r>
      <w:r>
        <w:br/>
      </w:r>
      <w:r>
        <w:rPr>
          <w:rStyle w:val="VerbatimChar"/>
        </w:rPr>
        <w:t xml:space="preserve">├── control/</w:t>
      </w:r>
      <w:r>
        <w:br/>
      </w:r>
      <w:r>
        <w:rPr>
          <w:rStyle w:val="VerbatimChar"/>
        </w:rPr>
        <w:t xml:space="preserve">│   ├── errors.py           ControlViolation and error codes</w:t>
      </w:r>
      <w:r>
        <w:br/>
      </w:r>
      <w:r>
        <w:rPr>
          <w:rStyle w:val="VerbatimChar"/>
        </w:rPr>
        <w:t xml:space="preserve">│   ├── permissions.py      Permission matrix, levels, offered actions, comment rule</w:t>
      </w:r>
      <w:r>
        <w:br/>
      </w:r>
      <w:r>
        <w:rPr>
          <w:rStyle w:val="VerbatimChar"/>
        </w:rPr>
        <w:t xml:space="preserve">│   ├── duties.py           Separation of duties (CR-03..CR-06)</w:t>
      </w:r>
      <w:r>
        <w:br/>
      </w:r>
      <w:r>
        <w:rPr>
          <w:rStyle w:val="VerbatimChar"/>
        </w:rPr>
        <w:t xml:space="preserve">│   ├── states.py           Allowed status transitions from the DOC-03 state models</w:t>
      </w:r>
      <w:r>
        <w:br/>
      </w:r>
      <w:r>
        <w:rPr>
          <w:rStyle w:val="VerbatimChar"/>
        </w:rPr>
        <w:t xml:space="preserve">│   ├── period_lock.py      Lock, stage gates, close conditions (CR-10, CR-17, CR-18)</w:t>
      </w:r>
      <w:r>
        <w:br/>
      </w:r>
      <w:r>
        <w:rPr>
          <w:rStyle w:val="VerbatimChar"/>
        </w:rPr>
        <w:t xml:space="preserve">│   └── completion.py       Six-condition rule (CR-07)</w:t>
      </w:r>
      <w:r>
        <w:br/>
      </w:r>
      <w:r>
        <w:rPr>
          <w:rStyle w:val="VerbatimChar"/>
        </w:rPr>
        <w:t xml:space="preserve">├── domain/</w:t>
      </w:r>
      <w:r>
        <w:br/>
      </w:r>
      <w:r>
        <w:rPr>
          <w:rStyle w:val="VerbatimChar"/>
        </w:rPr>
        <w:t xml:space="preserve">│   ├── rules.py            BR-01..BR-12 deterministic rules</w:t>
      </w:r>
      <w:r>
        <w:br/>
      </w:r>
      <w:r>
        <w:rPr>
          <w:rStyle w:val="VerbatimChar"/>
        </w:rPr>
        <w:t xml:space="preserve">│   ├── normalize.py        Normalization with originals kept</w:t>
      </w:r>
      <w:r>
        <w:br/>
      </w:r>
      <w:r>
        <w:rPr>
          <w:rStyle w:val="VerbatimChar"/>
        </w:rPr>
        <w:t xml:space="preserve">│   ├── candidates.py       Candidate and group generation</w:t>
      </w:r>
      <w:r>
        <w:br/>
      </w:r>
      <w:r>
        <w:rPr>
          <w:rStyle w:val="VerbatimChar"/>
        </w:rPr>
        <w:t xml:space="preserve">│   ├── features.py, text.py, scoring.py, calibration.py</w:t>
      </w:r>
      <w:r>
        <w:br/>
      </w:r>
      <w:r>
        <w:rPr>
          <w:rStyle w:val="VerbatimChar"/>
        </w:rPr>
        <w:t xml:space="preserve">│   ├── risk.py             BR-13..BR-15 risk and routing</w:t>
      </w:r>
      <w:r>
        <w:br/>
      </w:r>
      <w:r>
        <w:rPr>
          <w:rStyle w:val="VerbatimChar"/>
        </w:rPr>
        <w:t xml:space="preserve">│   ├── exceptions.py       EXC-01..08 catalogue</w:t>
      </w:r>
      <w:r>
        <w:br/>
      </w:r>
      <w:r>
        <w:rPr>
          <w:rStyle w:val="VerbatimChar"/>
        </w:rPr>
        <w:t xml:space="preserve">│   ├── explanation.py      Supporting and conflicting evidence</w:t>
      </w:r>
      <w:r>
        <w:br/>
      </w:r>
      <w:r>
        <w:rPr>
          <w:rStyle w:val="VerbatimChar"/>
        </w:rPr>
        <w:t xml:space="preserve">│   ├── statement.py        Bank-to-book arithmetic (BR-17)</w:t>
      </w:r>
      <w:r>
        <w:br/>
      </w:r>
      <w:r>
        <w:rPr>
          <w:rStyle w:val="VerbatimChar"/>
        </w:rPr>
        <w:t xml:space="preserve">│   └── manual_match.py     Checks for a hand-selected pairing</w:t>
      </w:r>
      <w:r>
        <w:br/>
      </w:r>
      <w:r>
        <w:rPr>
          <w:rStyle w:val="VerbatimChar"/>
        </w:rPr>
        <w:t xml:space="preserve">└── infra/</w:t>
      </w:r>
      <w:r>
        <w:br/>
      </w:r>
      <w:r>
        <w:rPr>
          <w:rStyle w:val="VerbatimChar"/>
        </w:rPr>
        <w:t xml:space="preserve">    ├── db.py               Connection, schema bootstrap, transactions</w:t>
      </w:r>
      <w:r>
        <w:br/>
      </w:r>
      <w:r>
        <w:rPr>
          <w:rStyle w:val="VerbatimChar"/>
        </w:rPr>
        <w:t xml:space="preserve">    ├── repositories.py     All SQL, one class per aggregate</w:t>
      </w:r>
      <w:r>
        <w:br/>
      </w:r>
      <w:r>
        <w:rPr>
          <w:rStyle w:val="VerbatimChar"/>
        </w:rPr>
        <w:t xml:space="preserve">    ├── audit.py            Event builder, hash chain, verification</w:t>
      </w:r>
      <w:r>
        <w:br/>
      </w:r>
      <w:r>
        <w:rPr>
          <w:rStyle w:val="VerbatimChar"/>
        </w:rPr>
        <w:t xml:space="preserve">    ├── reports/            Renderer and the one report template</w:t>
      </w:r>
      <w:r>
        <w:br/>
      </w:r>
      <w:r>
        <w:rPr>
          <w:rStyle w:val="VerbatimChar"/>
        </w:rPr>
        <w:t xml:space="preserve">    └── genai/              Provider-neutral adapter, offline stub, Gemini option</w:t>
      </w:r>
    </w:p>
    <w:p>
      <w:pPr>
        <w:pStyle w:val="FirstParagraph"/>
      </w:pPr>
      <w:r>
        <w:t xml:space="preserve">The web layer separates view functions from routes so every screen can be built and checked without a server (ADR-22); repositories are one module rather than a package (ADR-29). For release 1.0 the screens lead with plain language (ADR-33), show original records as received (ADR-34), and a wrong decision can be reversed without editing evidence (ADR-32).</w:t>
      </w:r>
    </w:p>
    <w:bookmarkEnd w:id="24"/>
    <w:bookmarkEnd w:id="25"/>
    <w:bookmarkStart w:id="26" w:name="technology"/>
    <w:p>
      <w:pPr>
        <w:pStyle w:val="Heading2"/>
      </w:pPr>
      <w:r>
        <w:t xml:space="preserve">3. Technology</w:t>
      </w:r>
    </w:p>
    <w:p>
      <w:pPr>
        <w:pStyle w:val="FirstParagraph"/>
      </w:pPr>
      <w:r>
        <w:t xml:space="preserve">Every dependency is free, installs with pip, and earns its place.</w:t>
      </w:r>
    </w:p>
    <w:tbl>
      <w:tblPr>
        <w:tblStyle w:val="Table"/>
        <w:tblW w:type="pct" w:w="5000"/>
        <w:tblLook w:firstRow="1" w:lastRow="0" w:firstColumn="0" w:lastColumn="0" w:noHBand="0" w:noVBand="0" w:val="0020"/>
        <w:jc w:val="start"/>
      </w:tblPr>
      <w:tblGrid>
        <w:gridCol w:w="1334"/>
        <w:gridCol w:w="1245"/>
        <w:gridCol w:w="5339"/>
      </w:tblGrid>
      <w:tr>
        <w:trPr>
          <w:tblHeader w:val="true"/>
        </w:trPr>
        <w:tc>
          <w:tcPr/>
          <w:p>
            <w:pPr>
              <w:pStyle w:val="Compact"/>
              <w:jc w:val="left"/>
            </w:pPr>
            <w:r>
              <w:t xml:space="preserve">Choice</w:t>
            </w:r>
          </w:p>
        </w:tc>
        <w:tc>
          <w:tcPr/>
          <w:p>
            <w:pPr>
              <w:pStyle w:val="Compact"/>
              <w:jc w:val="left"/>
            </w:pPr>
            <w:r>
              <w:t xml:space="preserve">Used for</w:t>
            </w:r>
          </w:p>
        </w:tc>
        <w:tc>
          <w:tcPr/>
          <w:p>
            <w:pPr>
              <w:pStyle w:val="Compact"/>
              <w:jc w:val="left"/>
            </w:pPr>
            <w:r>
              <w:t xml:space="preserve">Why this, not the alternative</w:t>
            </w:r>
          </w:p>
        </w:tc>
      </w:tr>
      <w:tr>
        <w:tc>
          <w:tcPr/>
          <w:p>
            <w:pPr>
              <w:pStyle w:val="Compact"/>
              <w:jc w:val="left"/>
            </w:pPr>
            <w:r>
              <w:t xml:space="preserve">Python 3.11+</w:t>
            </w:r>
          </w:p>
        </w:tc>
        <w:tc>
          <w:tcPr/>
          <w:p>
            <w:pPr>
              <w:pStyle w:val="Compact"/>
              <w:jc w:val="left"/>
            </w:pPr>
            <w:r>
              <w:t xml:space="preserve">Whole system</w:t>
            </w:r>
          </w:p>
        </w:tc>
        <w:tc>
          <w:tcPr/>
          <w:p>
            <w:pPr>
              <w:pStyle w:val="Compact"/>
              <w:jc w:val="left"/>
            </w:pPr>
            <w:r>
              <w:t xml:space="preserve">Standard library covers CSV, hashing, JSON and SQLite; no compiled dependencies</w:t>
            </w:r>
          </w:p>
        </w:tc>
      </w:tr>
      <w:tr>
        <w:tc>
          <w:tcPr/>
          <w:p>
            <w:pPr>
              <w:pStyle w:val="Compact"/>
              <w:jc w:val="left"/>
            </w:pPr>
            <w:r>
              <w:t xml:space="preserve">FastAPI</w:t>
            </w:r>
          </w:p>
        </w:tc>
        <w:tc>
          <w:tcPr/>
          <w:p>
            <w:pPr>
              <w:pStyle w:val="Compact"/>
              <w:jc w:val="left"/>
            </w:pPr>
            <w:r>
              <w:t xml:space="preserve">HTTP routing</w:t>
            </w:r>
          </w:p>
        </w:tc>
        <w:tc>
          <w:tcPr/>
          <w:p>
            <w:pPr>
              <w:pStyle w:val="Compact"/>
              <w:jc w:val="left"/>
            </w:pPr>
            <w:r>
              <w:t xml:space="preserve">Typed request handling and automatic input validation; Flask would need the same checks written by hand. Brings</w:t>
            </w:r>
            <w:r>
              <w:t xml:space="preserve"> </w:t>
            </w:r>
            <w:r>
              <w:rPr>
                <w:rStyle w:val="VerbatimChar"/>
              </w:rPr>
              <w:t xml:space="preserve">python-multipart</w:t>
            </w:r>
            <w:r>
              <w:t xml:space="preserve"> </w:t>
            </w:r>
            <w:r>
              <w:t xml:space="preserve">for form posts and file uploads, and uses</w:t>
            </w:r>
            <w:r>
              <w:t xml:space="preserve"> </w:t>
            </w:r>
            <w:r>
              <w:rPr>
                <w:rStyle w:val="VerbatimChar"/>
              </w:rPr>
              <w:t xml:space="preserve">itsdangerous</w:t>
            </w:r>
            <w:r>
              <w:t xml:space="preserve"> </w:t>
            </w:r>
            <w:r>
              <w:t xml:space="preserve">to sign the session cookie</w:t>
            </w:r>
          </w:p>
        </w:tc>
      </w:tr>
      <w:tr>
        <w:tc>
          <w:tcPr/>
          <w:p>
            <w:pPr>
              <w:pStyle w:val="Compact"/>
              <w:jc w:val="left"/>
            </w:pPr>
            <w:r>
              <w:t xml:space="preserve">Uvicorn</w:t>
            </w:r>
          </w:p>
        </w:tc>
        <w:tc>
          <w:tcPr/>
          <w:p>
            <w:pPr>
              <w:pStyle w:val="Compact"/>
              <w:jc w:val="left"/>
            </w:pPr>
            <w:r>
              <w:t xml:space="preserve">Server</w:t>
            </w:r>
          </w:p>
        </w:tc>
        <w:tc>
          <w:tcPr/>
          <w:p>
            <w:pPr>
              <w:pStyle w:val="Compact"/>
              <w:jc w:val="left"/>
            </w:pPr>
            <w:r>
              <w:t xml:space="preserve">Single-process local server, no configuration</w:t>
            </w:r>
          </w:p>
        </w:tc>
      </w:tr>
      <w:tr>
        <w:tc>
          <w:tcPr/>
          <w:p>
            <w:pPr>
              <w:pStyle w:val="Compact"/>
              <w:jc w:val="left"/>
            </w:pPr>
            <w:r>
              <w:t xml:space="preserve">Jinja2</w:t>
            </w:r>
          </w:p>
        </w:tc>
        <w:tc>
          <w:tcPr/>
          <w:p>
            <w:pPr>
              <w:pStyle w:val="Compact"/>
              <w:jc w:val="left"/>
            </w:pPr>
            <w:r>
              <w:t xml:space="preserve">HTML rendering</w:t>
            </w:r>
          </w:p>
        </w:tc>
        <w:tc>
          <w:tcPr/>
          <w:p>
            <w:pPr>
              <w:pStyle w:val="Compact"/>
              <w:jc w:val="left"/>
            </w:pPr>
            <w:r>
              <w:t xml:space="preserve">Server-rendered pages keep the whole request path inspectable; a front-end framework would add build tooling without changing what reviewers see. Also renders the 13 reports</w:t>
            </w:r>
          </w:p>
        </w:tc>
      </w:tr>
      <w:tr>
        <w:tc>
          <w:tcPr/>
          <w:p>
            <w:pPr>
              <w:pStyle w:val="Compact"/>
              <w:jc w:val="left"/>
            </w:pPr>
            <w:r>
              <w:t xml:space="preserve">Standard library</w:t>
            </w:r>
            <w:r>
              <w:t xml:space="preserve"> </w:t>
            </w:r>
            <w:r>
              <w:rPr>
                <w:rStyle w:val="VerbatimChar"/>
              </w:rPr>
              <w:t xml:space="preserve">sqlite3</w:t>
            </w:r>
          </w:p>
        </w:tc>
        <w:tc>
          <w:tcPr/>
          <w:p>
            <w:pPr>
              <w:pStyle w:val="Compact"/>
              <w:jc w:val="left"/>
            </w:pPr>
            <w:r>
              <w:t xml:space="preserve">Database access</w:t>
            </w:r>
          </w:p>
        </w:tc>
        <w:tc>
          <w:tcPr/>
          <w:p>
            <w:pPr>
              <w:pStyle w:val="Compact"/>
              <w:jc w:val="left"/>
            </w:pPr>
            <w:r>
              <w:t xml:space="preserve">The schema is the source of truth and repositories write explicit SQL, so an abstraction layer would wrap</w:t>
            </w:r>
            <w:r>
              <w:t xml:space="preserve"> </w:t>
            </w:r>
            <w:r>
              <w:rPr>
                <w:rStyle w:val="VerbatimChar"/>
              </w:rPr>
              <w:t xml:space="preserve">sqlite3</w:t>
            </w:r>
            <w:r>
              <w:t xml:space="preserve"> </w:t>
            </w:r>
            <w:r>
              <w:t xml:space="preserve">without replacing anything. Parameterized statements, transactions and row factories are all native (see ADR-01)</w:t>
            </w:r>
          </w:p>
        </w:tc>
      </w:tr>
      <w:tr>
        <w:tc>
          <w:tcPr/>
          <w:p>
            <w:pPr>
              <w:pStyle w:val="Compact"/>
              <w:jc w:val="left"/>
            </w:pPr>
            <w:r>
              <w:t xml:space="preserve">SQLite</w:t>
            </w:r>
          </w:p>
        </w:tc>
        <w:tc>
          <w:tcPr/>
          <w:p>
            <w:pPr>
              <w:pStyle w:val="Compact"/>
              <w:jc w:val="left"/>
            </w:pPr>
            <w:r>
              <w:t xml:space="preserve">Storage</w:t>
            </w:r>
          </w:p>
        </w:tc>
        <w:tc>
          <w:tcPr/>
          <w:p>
            <w:pPr>
              <w:pStyle w:val="Compact"/>
              <w:jc w:val="left"/>
            </w:pPr>
            <w:r>
              <w:t xml:space="preserve">Single file, zero setup, supports triggers and CHECK constraints, which is where the controls live</w:t>
            </w:r>
          </w:p>
        </w:tc>
      </w:tr>
      <w:tr>
        <w:tc>
          <w:tcPr/>
          <w:p>
            <w:pPr>
              <w:pStyle w:val="Compact"/>
              <w:jc w:val="left"/>
            </w:pPr>
            <w:r>
              <w:rPr>
                <w:rStyle w:val="VerbatimChar"/>
              </w:rPr>
              <w:t xml:space="preserve">app/domain/text.py</w:t>
            </w:r>
          </w:p>
        </w:tc>
        <w:tc>
          <w:tcPr/>
          <w:p>
            <w:pPr>
              <w:pStyle w:val="Compact"/>
              <w:jc w:val="left"/>
            </w:pPr>
            <w:r>
              <w:t xml:space="preserve">Text similarity</w:t>
            </w:r>
          </w:p>
        </w:tc>
        <w:tc>
          <w:tcPr/>
          <w:p>
            <w:pPr>
              <w:pStyle w:val="Compact"/>
              <w:jc w:val="left"/>
            </w:pPr>
            <w:r>
              <w:t xml:space="preserve">One token-set function written on</w:t>
            </w:r>
            <w:r>
              <w:t xml:space="preserve"> </w:t>
            </w:r>
            <w:r>
              <w:rPr>
                <w:rStyle w:val="VerbatimChar"/>
              </w:rPr>
              <w:t xml:space="preserve">difflib</w:t>
            </w:r>
            <w:r>
              <w:t xml:space="preserve">, about forty lines. A dependency for a single function is hard to justify, and bank abbreviations that drop vowels (SLVR for SILVER) need a subsequence test that off-the-shelf ratios handle poorly</w:t>
            </w:r>
          </w:p>
        </w:tc>
      </w:tr>
      <w:tr>
        <w:tc>
          <w:tcPr/>
          <w:p>
            <w:pPr>
              <w:pStyle w:val="Compact"/>
              <w:jc w:val="left"/>
            </w:pPr>
            <w:r>
              <w:t xml:space="preserve">scikit-learn</w:t>
            </w:r>
          </w:p>
        </w:tc>
        <w:tc>
          <w:tcPr/>
          <w:p>
            <w:pPr>
              <w:pStyle w:val="Compact"/>
              <w:jc w:val="left"/>
            </w:pPr>
            <w:r>
              <w:t xml:space="preserve">Confidence calibration</w:t>
            </w:r>
          </w:p>
        </w:tc>
        <w:tc>
          <w:tcPr/>
          <w:p>
            <w:pPr>
              <w:pStyle w:val="Compact"/>
              <w:jc w:val="left"/>
            </w:pPr>
            <w:r>
              <w:t xml:space="preserve">Isotonic regression is exactly the calibration tool needed. Used for nothing else, and never for matching decisions (DD-11)</w:t>
            </w:r>
          </w:p>
        </w:tc>
      </w:tr>
      <w:tr>
        <w:tc>
          <w:tcPr/>
          <w:p>
            <w:pPr>
              <w:pStyle w:val="Compact"/>
              <w:jc w:val="left"/>
            </w:pPr>
            <w:r>
              <w:t xml:space="preserve">pytest, httpx</w:t>
            </w:r>
          </w:p>
        </w:tc>
        <w:tc>
          <w:tcPr/>
          <w:p>
            <w:pPr>
              <w:pStyle w:val="Compact"/>
              <w:jc w:val="left"/>
            </w:pPr>
            <w:r>
              <w:t xml:space="preserve">Tests</w:t>
            </w:r>
          </w:p>
        </w:tc>
        <w:tc>
          <w:tcPr/>
          <w:p>
            <w:pPr>
              <w:pStyle w:val="Compact"/>
              <w:jc w:val="left"/>
            </w:pPr>
            <w:r>
              <w:t xml:space="preserve">Standard test runner plus an HTTP client for route tests</w:t>
            </w:r>
          </w:p>
        </w:tc>
      </w:tr>
    </w:tbl>
    <w:p>
      <w:pPr>
        <w:pStyle w:val="BodyText"/>
      </w:pPr>
      <w:r>
        <w:t xml:space="preserve">Deliberately not used: an ORM, a migrations framework, a task queue, Docker, a front-end framework, JavaScript beyond two one-line form submits, a cloud service, or any paid API. Matching runs on the standard library plus scikit-learn; Jinja2 and the web packages are needed only for reports and the interface.</w:t>
      </w:r>
    </w:p>
    <w:bookmarkEnd w:id="26"/>
    <w:bookmarkStart w:id="27" w:name="data-access"/>
    <w:p>
      <w:pPr>
        <w:pStyle w:val="Heading2"/>
      </w:pPr>
      <w:r>
        <w:t xml:space="preserve">4. Data Access</w:t>
      </w:r>
    </w:p>
    <w:tbl>
      <w:tblPr>
        <w:tblStyle w:val="Table"/>
        <w:tblW w:type="pct" w:w="5000"/>
        <w:tblLook w:firstRow="1" w:lastRow="0" w:firstColumn="0" w:lastColumn="0" w:noHBand="0" w:noVBand="0" w:val="0020"/>
        <w:jc w:val="start"/>
      </w:tblPr>
      <w:tblGrid>
        <w:gridCol w:w="1414"/>
        <w:gridCol w:w="6505"/>
      </w:tblGrid>
      <w:tr>
        <w:trPr>
          <w:tblHeader w:val="true"/>
        </w:trPr>
        <w:tc>
          <w:tcPr/>
          <w:p>
            <w:pPr>
              <w:pStyle w:val="Compact"/>
              <w:jc w:val="left"/>
            </w:pPr>
            <w:r>
              <w:t xml:space="preserve">Point</w:t>
            </w:r>
          </w:p>
        </w:tc>
        <w:tc>
          <w:tcPr/>
          <w:p>
            <w:pPr>
              <w:pStyle w:val="Compact"/>
              <w:jc w:val="left"/>
            </w:pPr>
            <w:r>
              <w:t xml:space="preserve">Design</w:t>
            </w:r>
          </w:p>
        </w:tc>
      </w:tr>
      <w:tr>
        <w:tc>
          <w:tcPr/>
          <w:p>
            <w:pPr>
              <w:pStyle w:val="Compact"/>
              <w:jc w:val="left"/>
            </w:pPr>
            <w:r>
              <w:t xml:space="preserve">Source of truth</w:t>
            </w:r>
          </w:p>
        </w:tc>
        <w:tc>
          <w:tcPr/>
          <w:p>
            <w:pPr>
              <w:pStyle w:val="Compact"/>
              <w:jc w:val="left"/>
            </w:pPr>
            <w:r>
              <w:rPr>
                <w:rStyle w:val="VerbatimChar"/>
              </w:rPr>
              <w:t xml:space="preserve">db/schema.sql</w:t>
            </w:r>
            <w:r>
              <w:t xml:space="preserve">. On startup the connection executes it if the database is empty</w:t>
            </w:r>
          </w:p>
        </w:tc>
      </w:tr>
      <w:tr>
        <w:tc>
          <w:tcPr/>
          <w:p>
            <w:pPr>
              <w:pStyle w:val="Compact"/>
              <w:jc w:val="left"/>
            </w:pPr>
            <w:r>
              <w:t xml:space="preserve">Statements</w:t>
            </w:r>
          </w:p>
        </w:tc>
        <w:tc>
          <w:tcPr/>
          <w:p>
            <w:pPr>
              <w:pStyle w:val="Compact"/>
              <w:jc w:val="left"/>
            </w:pPr>
            <w:r>
              <w:t xml:space="preserve">Bound parameters only; table and column names come from repository code, never from input; no string-built SQL anywhere</w:t>
            </w:r>
          </w:p>
        </w:tc>
      </w:tr>
      <w:tr>
        <w:tc>
          <w:tcPr/>
          <w:p>
            <w:pPr>
              <w:pStyle w:val="Compact"/>
              <w:jc w:val="left"/>
            </w:pPr>
            <w:r>
              <w:t xml:space="preserve">Repositories</w:t>
            </w:r>
          </w:p>
        </w:tc>
        <w:tc>
          <w:tcPr/>
          <w:p>
            <w:pPr>
              <w:pStyle w:val="Compact"/>
              <w:jc w:val="left"/>
            </w:pPr>
            <w:r>
              <w:t xml:space="preserve">One class per aggregate (users, accounts, runs, files, items, validation, normalization, recommendations, decisions, adjustments, period, reports) in</w:t>
            </w:r>
            <w:r>
              <w:t xml:space="preserve"> </w:t>
            </w:r>
            <w:r>
              <w:rPr>
                <w:rStyle w:val="VerbatimChar"/>
              </w:rPr>
              <w:t xml:space="preserve">infra/repositories.py</w:t>
            </w:r>
            <w:r>
              <w:t xml:space="preserve">. Services never write SQL</w:t>
            </w:r>
          </w:p>
        </w:tc>
      </w:tr>
      <w:tr>
        <w:tc>
          <w:tcPr/>
          <w:p>
            <w:pPr>
              <w:pStyle w:val="Compact"/>
              <w:jc w:val="left"/>
            </w:pPr>
            <w:r>
              <w:t xml:space="preserve">Transactions</w:t>
            </w:r>
          </w:p>
        </w:tc>
        <w:tc>
          <w:tcPr/>
          <w:p>
            <w:pPr>
              <w:pStyle w:val="Compact"/>
              <w:jc w:val="left"/>
            </w:pPr>
            <w:r>
              <w:t xml:space="preserve">The service owns the boundary. Each request opens one transaction; the change and its audit event commit together, or neither does (CR-08)</w:t>
            </w:r>
          </w:p>
        </w:tc>
      </w:tr>
      <w:tr>
        <w:tc>
          <w:tcPr/>
          <w:p>
            <w:pPr>
              <w:pStyle w:val="Compact"/>
              <w:jc w:val="left"/>
            </w:pPr>
            <w:r>
              <w:t xml:space="preserve">Reads that guard a write</w:t>
            </w:r>
          </w:p>
        </w:tc>
        <w:tc>
          <w:tcPr/>
          <w:p>
            <w:pPr>
              <w:pStyle w:val="Compact"/>
              <w:jc w:val="left"/>
            </w:pPr>
            <w:r>
              <w:t xml:space="preserve">Taken on the transaction’s own connection. A permission or separation-of-duties check therefore sees exactly the uncommitted state the write will change; status changes read the previous status the same way</w:t>
            </w:r>
          </w:p>
        </w:tc>
      </w:tr>
      <w:tr>
        <w:tc>
          <w:tcPr/>
          <w:p>
            <w:pPr>
              <w:pStyle w:val="Compact"/>
              <w:jc w:val="left"/>
            </w:pPr>
            <w:r>
              <w:t xml:space="preserve">Request handling</w:t>
            </w:r>
          </w:p>
        </w:tc>
        <w:tc>
          <w:tcPr/>
          <w:p>
            <w:pPr>
              <w:pStyle w:val="Compact"/>
              <w:jc w:val="left"/>
            </w:pPr>
            <w:r>
              <w:t xml:space="preserve">One SQLite connection, one request at a time: handlers are asynchronous and never await during database work (ADR-21)</w:t>
            </w:r>
          </w:p>
        </w:tc>
      </w:tr>
      <w:tr>
        <w:tc>
          <w:tcPr/>
          <w:p>
            <w:pPr>
              <w:pStyle w:val="Compact"/>
              <w:jc w:val="left"/>
            </w:pPr>
            <w:r>
              <w:t xml:space="preserve">Write mode</w:t>
            </w:r>
          </w:p>
        </w:tc>
        <w:tc>
          <w:tcPr/>
          <w:p>
            <w:pPr>
              <w:pStyle w:val="Compact"/>
              <w:jc w:val="left"/>
            </w:pPr>
            <w:r>
              <w:rPr>
                <w:rStyle w:val="VerbatimChar"/>
              </w:rPr>
              <w:t xml:space="preserve">BEGIN IMMEDIATE</w:t>
            </w:r>
            <w:r>
              <w:t xml:space="preserve"> </w:t>
            </w:r>
            <w:r>
              <w:t xml:space="preserve">for any write, so the audit sequence number cannot be allocated twice</w:t>
            </w:r>
          </w:p>
        </w:tc>
      </w:tr>
      <w:tr>
        <w:tc>
          <w:tcPr/>
          <w:p>
            <w:pPr>
              <w:pStyle w:val="Compact"/>
              <w:jc w:val="left"/>
            </w:pPr>
            <w:r>
              <w:t xml:space="preserve">Journal mode</w:t>
            </w:r>
          </w:p>
        </w:tc>
        <w:tc>
          <w:tcPr/>
          <w:p>
            <w:pPr>
              <w:pStyle w:val="Compact"/>
              <w:jc w:val="left"/>
            </w:pPr>
            <w:r>
              <w:t xml:space="preserve">WAL, so reading a report does not block a decision</w:t>
            </w:r>
          </w:p>
        </w:tc>
      </w:tr>
      <w:tr>
        <w:tc>
          <w:tcPr/>
          <w:p>
            <w:pPr>
              <w:pStyle w:val="Compact"/>
              <w:jc w:val="left"/>
            </w:pPr>
            <w:r>
              <w:t xml:space="preserve">Identifiers</w:t>
            </w:r>
          </w:p>
        </w:tc>
        <w:tc>
          <w:tcPr/>
          <w:p>
            <w:pPr>
              <w:pStyle w:val="Compact"/>
              <w:jc w:val="left"/>
            </w:pPr>
            <w:r>
              <w:t xml:space="preserve">Database-assigned integers. Display identifiers (BT-, GL-, CI-) come from the source files and are kept as given</w:t>
            </w:r>
          </w:p>
        </w:tc>
      </w:tr>
    </w:tbl>
    <w:bookmarkEnd w:id="27"/>
    <w:bookmarkStart w:id="31" w:name="audit-and-hash-chain"/>
    <w:p>
      <w:pPr>
        <w:pStyle w:val="Heading2"/>
      </w:pPr>
      <w:r>
        <w:t xml:space="preserve">5. Audit and Hash Chain</w:t>
      </w:r>
    </w:p>
    <w:bookmarkStart w:id="28" w:name="writing-an-event"/>
    <w:p>
      <w:pPr>
        <w:pStyle w:val="Heading3"/>
      </w:pPr>
      <w:r>
        <w:t xml:space="preserve">5.1 Writing an event</w:t>
      </w:r>
    </w:p>
    <w:p>
      <w:pPr>
        <w:numPr>
          <w:ilvl w:val="0"/>
          <w:numId w:val="1001"/>
        </w:numPr>
        <w:pStyle w:val="Compact"/>
      </w:pPr>
      <w:r>
        <w:t xml:space="preserve">The service calls</w:t>
      </w:r>
      <w:r>
        <w:t xml:space="preserve"> </w:t>
      </w:r>
      <w:r>
        <w:rPr>
          <w:rStyle w:val="VerbatimChar"/>
        </w:rPr>
        <w:t xml:space="preserve">audit.write(event)</w:t>
      </w:r>
      <w:r>
        <w:t xml:space="preserve"> </w:t>
      </w:r>
      <w:r>
        <w:t xml:space="preserve">inside its open transaction.</w:t>
      </w:r>
    </w:p>
    <w:p>
      <w:pPr>
        <w:numPr>
          <w:ilvl w:val="0"/>
          <w:numId w:val="1001"/>
        </w:numPr>
        <w:pStyle w:val="Compact"/>
      </w:pPr>
      <w:r>
        <w:t xml:space="preserve">The writer takes the next</w:t>
      </w:r>
      <w:r>
        <w:t xml:space="preserve"> </w:t>
      </w:r>
      <w:r>
        <w:rPr>
          <w:rStyle w:val="VerbatimChar"/>
        </w:rPr>
        <w:t xml:space="preserve">sequence_no</w:t>
      </w:r>
      <w:r>
        <w:t xml:space="preserve"> </w:t>
      </w:r>
      <w:r>
        <w:t xml:space="preserve">for the run as</w:t>
      </w:r>
      <w:r>
        <w:t xml:space="preserve"> </w:t>
      </w:r>
      <w:r>
        <w:rPr>
          <w:rStyle w:val="VerbatimChar"/>
        </w:rPr>
        <w:t xml:space="preserve">MAX(sequence_no) + 1</w:t>
      </w:r>
      <w:r>
        <w:t xml:space="preserve">.</w:t>
      </w:r>
    </w:p>
    <w:p>
      <w:pPr>
        <w:numPr>
          <w:ilvl w:val="0"/>
          <w:numId w:val="1001"/>
        </w:numPr>
        <w:pStyle w:val="Compact"/>
      </w:pPr>
      <w:r>
        <w:t xml:space="preserve">It serializes the event to canonical JSON: keys sorted, UTF-8, no insignificant whitespace, integers for money, ISO 8601 for dates.</w:t>
      </w:r>
    </w:p>
    <w:p>
      <w:pPr>
        <w:numPr>
          <w:ilvl w:val="0"/>
          <w:numId w:val="1001"/>
        </w:numPr>
        <w:pStyle w:val="Compact"/>
      </w:pPr>
      <w:r>
        <w:t xml:space="preserve">It computes</w:t>
      </w:r>
      <w:r>
        <w:t xml:space="preserve"> </w:t>
      </w:r>
      <w:r>
        <w:rPr>
          <w:rStyle w:val="VerbatimChar"/>
        </w:rPr>
        <w:t xml:space="preserve">event_hash = SHA-256(previous_hash + "|" + canonical_json)</w:t>
      </w:r>
      <w:r>
        <w:t xml:space="preserve">, where</w:t>
      </w:r>
      <w:r>
        <w:t xml:space="preserve"> </w:t>
      </w:r>
      <w:r>
        <w:rPr>
          <w:rStyle w:val="VerbatimChar"/>
        </w:rPr>
        <w:t xml:space="preserve">previous_hash</w:t>
      </w:r>
      <w:r>
        <w:t xml:space="preserve"> </w:t>
      </w:r>
      <w:r>
        <w:t xml:space="preserve">is the previous event’s hash, or the literal</w:t>
      </w:r>
      <w:r>
        <w:t xml:space="preserve"> </w:t>
      </w:r>
      <w:r>
        <w:rPr>
          <w:rStyle w:val="VerbatimChar"/>
        </w:rPr>
        <w:t xml:space="preserve">GENESIS</w:t>
      </w:r>
      <w:r>
        <w:t xml:space="preserve"> </w:t>
      </w:r>
      <w:r>
        <w:t xml:space="preserve">for the first event in a run.</w:t>
      </w:r>
    </w:p>
    <w:p>
      <w:pPr>
        <w:numPr>
          <w:ilvl w:val="0"/>
          <w:numId w:val="1001"/>
        </w:numPr>
        <w:pStyle w:val="Compact"/>
      </w:pPr>
      <w:r>
        <w:t xml:space="preserve">It inserts the row. Triggers make the row immutable from that point (CR-09).</w:t>
      </w:r>
    </w:p>
    <w:p>
      <w:pPr>
        <w:pStyle w:val="FirstParagraph"/>
      </w:pPr>
      <w:r>
        <w:t xml:space="preserve">Because both the change and the event are inside one transaction, a failed audit write rolls back the action that caused it.</w:t>
      </w:r>
    </w:p>
    <w:bookmarkEnd w:id="28"/>
    <w:bookmarkStart w:id="29" w:name="verifying-the-chain"/>
    <w:p>
      <w:pPr>
        <w:pStyle w:val="Heading3"/>
      </w:pPr>
      <w:r>
        <w:t xml:space="preserve">5.2 Verifying the chain</w:t>
      </w:r>
    </w:p>
    <w:p>
      <w:pPr>
        <w:pStyle w:val="FirstParagraph"/>
      </w:pPr>
      <w:r>
        <w:t xml:space="preserve">Verification reads events in sequence order, recomputes each hash from the stored content and the previous hash, and stops at the first mismatch. It reports events checked, the chain-head hash, and the first broken sequence number if any. The result appears on the audit screen, blocks close when broken (CR-10), and is printed on the signed Reconciliation Summary (FR-AUD-07).</w:t>
      </w:r>
    </w:p>
    <w:bookmarkEnd w:id="29"/>
    <w:bookmarkStart w:id="30" w:name="stated-limits"/>
    <w:p>
      <w:pPr>
        <w:pStyle w:val="Heading3"/>
      </w:pPr>
      <w:r>
        <w:t xml:space="preserve">5.3 Stated limits</w:t>
      </w:r>
    </w:p>
    <w:p>
      <w:pPr>
        <w:pStyle w:val="FirstParagraph"/>
      </w:pPr>
      <w:r>
        <w:t xml:space="preserve">Trigger-based protection applies to changes made through this application’s connection. Anyone holding the database file can rebuild it, including the chain. What makes that detectable is the chain-head hash recorded in the signed summary and in the exported report package, which is kept outside the database. This is weaker than write-once storage and is described as such in every document and in the code comments (DD-06).</w:t>
      </w:r>
    </w:p>
    <w:bookmarkEnd w:id="30"/>
    <w:bookmarkEnd w:id="31"/>
    <w:bookmarkStart w:id="36" w:name="matching-pipeline"/>
    <w:p>
      <w:pPr>
        <w:pStyle w:val="Heading2"/>
      </w:pPr>
      <w:r>
        <w:t xml:space="preserve">6. Matching Pipeline</w:t>
      </w:r>
    </w:p>
    <w:p>
      <w:pPr>
        <w:pStyle w:val="FirstParagraph"/>
      </w:pPr>
      <w:r>
        <w:t xml:space="preserve">Order matters: deterministic rules run first, so scoring never sees an item a rule already settled.</w:t>
      </w:r>
    </w:p>
    <w:tbl>
      <w:tblPr>
        <w:tblStyle w:val="Table"/>
        <w:tblW w:type="pct" w:w="5000"/>
        <w:tblLook w:firstRow="1" w:lastRow="0" w:firstColumn="0" w:lastColumn="0" w:noHBand="0" w:noVBand="0" w:val="0020"/>
        <w:jc w:val="start"/>
      </w:tblPr>
      <w:tblGrid>
        <w:gridCol w:w="1411"/>
        <w:gridCol w:w="2587"/>
        <w:gridCol w:w="3920"/>
      </w:tblGrid>
      <w:tr>
        <w:trPr>
          <w:tblHeader w:val="true"/>
        </w:trPr>
        <w:tc>
          <w:tcPr/>
          <w:p>
            <w:pPr>
              <w:pStyle w:val="Compact"/>
              <w:jc w:val="left"/>
            </w:pPr>
            <w:r>
              <w:t xml:space="preserve">Step</w:t>
            </w:r>
          </w:p>
        </w:tc>
        <w:tc>
          <w:tcPr/>
          <w:p>
            <w:pPr>
              <w:pStyle w:val="Compact"/>
              <w:jc w:val="left"/>
            </w:pPr>
            <w:r>
              <w:t xml:space="preserve">Module</w:t>
            </w:r>
          </w:p>
        </w:tc>
        <w:tc>
          <w:tcPr/>
          <w:p>
            <w:pPr>
              <w:pStyle w:val="Compact"/>
              <w:jc w:val="left"/>
            </w:pPr>
            <w:r>
              <w:t xml:space="preserve">Design</w:t>
            </w:r>
          </w:p>
        </w:tc>
      </w:tr>
      <w:tr>
        <w:tc>
          <w:tcPr/>
          <w:p>
            <w:pPr>
              <w:pStyle w:val="Compact"/>
              <w:jc w:val="left"/>
            </w:pPr>
            <w:r>
              <w:t xml:space="preserve">1. Exact rules</w:t>
            </w:r>
          </w:p>
        </w:tc>
        <w:tc>
          <w:tcPr/>
          <w:p>
            <w:pPr>
              <w:pStyle w:val="Compact"/>
              <w:jc w:val="left"/>
            </w:pPr>
            <w:r>
              <w:rPr>
                <w:rStyle w:val="VerbatimChar"/>
              </w:rPr>
              <w:t xml:space="preserve">domain/rules.py</w:t>
            </w:r>
          </w:p>
        </w:tc>
        <w:tc>
          <w:tcPr/>
          <w:p>
            <w:pPr>
              <w:pStyle w:val="Compact"/>
              <w:jc w:val="left"/>
            </w:pPr>
            <w:r>
              <w:t xml:space="preserve">Equal amount in cents, same signed cash effect, equal non-empty normalized reference, same business date, and exactly one candidate on each side (BR-01, BR-02)</w:t>
            </w:r>
          </w:p>
        </w:tc>
      </w:tr>
      <w:tr>
        <w:tc>
          <w:tcPr/>
          <w:p>
            <w:pPr>
              <w:pStyle w:val="Compact"/>
              <w:jc w:val="left"/>
            </w:pPr>
            <w:r>
              <w:t xml:space="preserve">2. Bank-originated</w:t>
            </w:r>
          </w:p>
        </w:tc>
        <w:tc>
          <w:tcPr/>
          <w:p>
            <w:pPr>
              <w:pStyle w:val="Compact"/>
              <w:jc w:val="left"/>
            </w:pPr>
            <w:r>
              <w:rPr>
                <w:rStyle w:val="VerbatimChar"/>
              </w:rPr>
              <w:t xml:space="preserve">domain/rules.py</w:t>
            </w:r>
          </w:p>
        </w:tc>
        <w:tc>
          <w:tcPr/>
          <w:p>
            <w:pPr>
              <w:pStyle w:val="Compact"/>
              <w:jc w:val="left"/>
            </w:pPr>
            <w:r>
              <w:t xml:space="preserve">Bank type code in FEE, INT, RTN, or description keyword match, with no ledger counterpart (BR-06)</w:t>
            </w:r>
          </w:p>
        </w:tc>
      </w:tr>
      <w:tr>
        <w:tc>
          <w:tcPr/>
          <w:p>
            <w:pPr>
              <w:pStyle w:val="Compact"/>
              <w:jc w:val="left"/>
            </w:pPr>
            <w:r>
              <w:t xml:space="preserve">3. Carry-in clearing</w:t>
            </w:r>
          </w:p>
        </w:tc>
        <w:tc>
          <w:tcPr/>
          <w:p>
            <w:pPr>
              <w:pStyle w:val="Compact"/>
              <w:jc w:val="left"/>
            </w:pPr>
            <w:r>
              <w:rPr>
                <w:rStyle w:val="VerbatimChar"/>
              </w:rPr>
              <w:t xml:space="preserve">domain/rules.py</w:t>
            </w:r>
          </w:p>
        </w:tc>
        <w:tc>
          <w:tcPr/>
          <w:p>
            <w:pPr>
              <w:pStyle w:val="Compact"/>
              <w:jc w:val="left"/>
            </w:pPr>
            <w:r>
              <w:t xml:space="preserve">Current-period bank item matched to a carry-in item on amount, direction and reference (BR-11)</w:t>
            </w:r>
          </w:p>
        </w:tc>
      </w:tr>
      <w:tr>
        <w:tc>
          <w:tcPr/>
          <w:p>
            <w:pPr>
              <w:pStyle w:val="Compact"/>
              <w:jc w:val="left"/>
            </w:pPr>
            <w:r>
              <w:t xml:space="preserve">4. Candidate generation</w:t>
            </w:r>
          </w:p>
        </w:tc>
        <w:tc>
          <w:tcPr/>
          <w:p>
            <w:pPr>
              <w:pStyle w:val="Compact"/>
              <w:jc w:val="left"/>
            </w:pPr>
            <w:r>
              <w:rPr>
                <w:rStyle w:val="VerbatimChar"/>
              </w:rPr>
              <w:t xml:space="preserve">domain/candidates.py</w:t>
            </w:r>
          </w:p>
        </w:tc>
        <w:tc>
          <w:tcPr/>
          <w:p>
            <w:pPr>
              <w:pStyle w:val="Compact"/>
              <w:jc w:val="left"/>
            </w:pPr>
            <w:r>
              <w:t xml:space="preserve">Blocking on signed effect and date window (PRM-02), then amount: exact amount first, then within the near-miss tolerance. At most PRM-04 candidates per item</w:t>
            </w:r>
          </w:p>
        </w:tc>
      </w:tr>
      <w:tr>
        <w:tc>
          <w:tcPr/>
          <w:p>
            <w:pPr>
              <w:pStyle w:val="Compact"/>
              <w:jc w:val="left"/>
            </w:pPr>
            <w:r>
              <w:t xml:space="preserve">5. Group search</w:t>
            </w:r>
          </w:p>
        </w:tc>
        <w:tc>
          <w:tcPr/>
          <w:p>
            <w:pPr>
              <w:pStyle w:val="Compact"/>
              <w:jc w:val="left"/>
            </w:pPr>
            <w:r>
              <w:rPr>
                <w:rStyle w:val="VerbatimChar"/>
              </w:rPr>
              <w:t xml:space="preserve">domain/candidates.py</w:t>
            </w:r>
          </w:p>
        </w:tc>
        <w:tc>
          <w:tcPr/>
          <w:p>
            <w:pPr>
              <w:pStyle w:val="Compact"/>
              <w:jc w:val="left"/>
            </w:pPr>
            <w:r>
              <w:t xml:space="preserve">Depth-limited search up to PRM-05 members, pruned by remaining amount and date window, stopping at the first five solutions. If the search hits either cap, the item becomes EXC-08 rather than being dropped (DD-07)</w:t>
            </w:r>
          </w:p>
        </w:tc>
      </w:tr>
      <w:tr>
        <w:tc>
          <w:tcPr/>
          <w:p>
            <w:pPr>
              <w:pStyle w:val="Compact"/>
              <w:jc w:val="left"/>
            </w:pPr>
            <w:r>
              <w:t xml:space="preserve">6. Scoring</w:t>
            </w:r>
          </w:p>
        </w:tc>
        <w:tc>
          <w:tcPr/>
          <w:p>
            <w:pPr>
              <w:pStyle w:val="Compact"/>
              <w:jc w:val="left"/>
            </w:pPr>
            <w:r>
              <w:rPr>
                <w:rStyle w:val="VerbatimChar"/>
              </w:rPr>
              <w:t xml:space="preserve">domain/features.py</w:t>
            </w:r>
            <w:r>
              <w:t xml:space="preserve">,</w:t>
            </w:r>
            <w:r>
              <w:t xml:space="preserve"> </w:t>
            </w:r>
            <w:r>
              <w:rPr>
                <w:rStyle w:val="VerbatimChar"/>
              </w:rPr>
              <w:t xml:space="preserve">scoring.py</w:t>
            </w:r>
          </w:p>
        </w:tc>
        <w:tc>
          <w:tcPr/>
          <w:p>
            <w:pPr>
              <w:pStyle w:val="Compact"/>
              <w:jc w:val="left"/>
            </w:pPr>
            <w:r>
              <w:t xml:space="preserve">Five features, each normalized to 0..1, combined as a weighted sum</w:t>
            </w:r>
          </w:p>
        </w:tc>
      </w:tr>
      <w:tr>
        <w:tc>
          <w:tcPr/>
          <w:p>
            <w:pPr>
              <w:pStyle w:val="Compact"/>
              <w:jc w:val="left"/>
            </w:pPr>
            <w:r>
              <w:t xml:space="preserve">7. Calibration</w:t>
            </w:r>
          </w:p>
        </w:tc>
        <w:tc>
          <w:tcPr/>
          <w:p>
            <w:pPr>
              <w:pStyle w:val="Compact"/>
              <w:jc w:val="left"/>
            </w:pPr>
            <w:r>
              <w:rPr>
                <w:rStyle w:val="VerbatimChar"/>
              </w:rPr>
              <w:t xml:space="preserve">domain/calibration.py</w:t>
            </w:r>
          </w:p>
        </w:tc>
        <w:tc>
          <w:tcPr/>
          <w:p>
            <w:pPr>
              <w:pStyle w:val="Compact"/>
              <w:jc w:val="left"/>
            </w:pPr>
            <w:r>
              <w:t xml:space="preserve">Isotonic regression maps score to a calibrated probability, fitted on the July dataset only (DD-11)</w:t>
            </w:r>
          </w:p>
        </w:tc>
      </w:tr>
      <w:tr>
        <w:tc>
          <w:tcPr/>
          <w:p>
            <w:pPr>
              <w:pStyle w:val="Compact"/>
              <w:jc w:val="left"/>
            </w:pPr>
            <w:r>
              <w:t xml:space="preserve">8. Risk</w:t>
            </w:r>
          </w:p>
        </w:tc>
        <w:tc>
          <w:tcPr/>
          <w:p>
            <w:pPr>
              <w:pStyle w:val="Compact"/>
              <w:jc w:val="left"/>
            </w:pPr>
            <w:r>
              <w:rPr>
                <w:rStyle w:val="VerbatimChar"/>
              </w:rPr>
              <w:t xml:space="preserve">domain/risk.py</w:t>
            </w:r>
          </w:p>
        </w:tc>
        <w:tc>
          <w:tcPr/>
          <w:p>
            <w:pPr>
              <w:pStyle w:val="Compact"/>
              <w:jc w:val="left"/>
            </w:pPr>
            <w:r>
              <w:t xml:space="preserve">Rule-based, inspectable, never learned</w:t>
            </w:r>
          </w:p>
        </w:tc>
      </w:tr>
      <w:tr>
        <w:tc>
          <w:tcPr/>
          <w:p>
            <w:pPr>
              <w:pStyle w:val="Compact"/>
              <w:jc w:val="left"/>
            </w:pPr>
            <w:r>
              <w:t xml:space="preserve">9. Explanation</w:t>
            </w:r>
          </w:p>
        </w:tc>
        <w:tc>
          <w:tcPr/>
          <w:p>
            <w:pPr>
              <w:pStyle w:val="Compact"/>
              <w:jc w:val="left"/>
            </w:pPr>
            <w:r>
              <w:rPr>
                <w:rStyle w:val="VerbatimChar"/>
              </w:rPr>
              <w:t xml:space="preserve">domain/explanation.py</w:t>
            </w:r>
          </w:p>
        </w:tc>
        <w:tc>
          <w:tcPr/>
          <w:p>
            <w:pPr>
              <w:pStyle w:val="Compact"/>
              <w:jc w:val="left"/>
            </w:pPr>
            <w:r>
              <w:t xml:space="preserve">Sentence templates over feature values, plus conflict detectors</w:t>
            </w:r>
          </w:p>
        </w:tc>
      </w:tr>
      <w:tr>
        <w:tc>
          <w:tcPr/>
          <w:p>
            <w:pPr>
              <w:pStyle w:val="Compact"/>
              <w:jc w:val="left"/>
            </w:pPr>
            <w:r>
              <w:t xml:space="preserve">10. Routing</w:t>
            </w:r>
          </w:p>
        </w:tc>
        <w:tc>
          <w:tcPr/>
          <w:p>
            <w:pPr>
              <w:pStyle w:val="Compact"/>
              <w:jc w:val="left"/>
            </w:pPr>
            <w:r>
              <w:rPr>
                <w:rStyle w:val="VerbatimChar"/>
              </w:rPr>
              <w:t xml:space="preserve">services/matching_service.py</w:t>
            </w:r>
          </w:p>
        </w:tc>
        <w:tc>
          <w:tcPr/>
          <w:p>
            <w:pPr>
              <w:pStyle w:val="Compact"/>
              <w:jc w:val="left"/>
            </w:pPr>
            <w:r>
              <w:t xml:space="preserve">Category assigned by BR-13, first match wins, High risk checked first</w:t>
            </w:r>
          </w:p>
        </w:tc>
      </w:tr>
    </w:tbl>
    <w:bookmarkStart w:id="32" w:name="features"/>
    <w:p>
      <w:pPr>
        <w:pStyle w:val="Heading3"/>
      </w:pPr>
      <w:r>
        <w:t xml:space="preserve">6.1 Features</w:t>
      </w:r>
    </w:p>
    <w:tbl>
      <w:tblPr>
        <w:tblStyle w:val="Table"/>
        <w:tblW w:type="pct" w:w="5000"/>
        <w:tblLook w:firstRow="1" w:lastRow="0" w:firstColumn="0" w:lastColumn="0" w:noHBand="0" w:noVBand="0" w:val="0020"/>
        <w:jc w:val="start"/>
      </w:tblPr>
      <w:tblGrid>
        <w:gridCol w:w="1381"/>
        <w:gridCol w:w="5433"/>
        <w:gridCol w:w="1105"/>
      </w:tblGrid>
      <w:tr>
        <w:trPr>
          <w:tblHeader w:val="true"/>
        </w:trPr>
        <w:tc>
          <w:tcPr/>
          <w:p>
            <w:pPr>
              <w:pStyle w:val="Compact"/>
              <w:jc w:val="left"/>
            </w:pPr>
            <w:r>
              <w:t xml:space="preserve">Feature</w:t>
            </w:r>
          </w:p>
        </w:tc>
        <w:tc>
          <w:tcPr/>
          <w:p>
            <w:pPr>
              <w:pStyle w:val="Compact"/>
              <w:jc w:val="left"/>
            </w:pPr>
            <w:r>
              <w:t xml:space="preserve">Definition</w:t>
            </w:r>
          </w:p>
        </w:tc>
        <w:tc>
          <w:tcPr/>
          <w:p>
            <w:pPr>
              <w:pStyle w:val="Compact"/>
              <w:jc w:val="left"/>
            </w:pPr>
            <w:r>
              <w:t xml:space="preserve">Weight (default)</w:t>
            </w:r>
          </w:p>
        </w:tc>
      </w:tr>
      <w:tr>
        <w:tc>
          <w:tcPr/>
          <w:p>
            <w:pPr>
              <w:pStyle w:val="Compact"/>
              <w:jc w:val="left"/>
            </w:pPr>
            <w:r>
              <w:t xml:space="preserve">Date distance</w:t>
            </w:r>
          </w:p>
        </w:tc>
        <w:tc>
          <w:tcPr/>
          <w:p>
            <w:pPr>
              <w:pStyle w:val="Compact"/>
              <w:jc w:val="left"/>
            </w:pPr>
            <w:r>
              <w:rPr>
                <w:rStyle w:val="VerbatimChar"/>
              </w:rPr>
              <w:t xml:space="preserve">exp(-business_day_gap / PRM-02)</w:t>
            </w:r>
            <w:r>
              <w:t xml:space="preserve">; 1.0 on the same day</w:t>
            </w:r>
          </w:p>
        </w:tc>
        <w:tc>
          <w:tcPr/>
          <w:p>
            <w:pPr>
              <w:pStyle w:val="Compact"/>
              <w:jc w:val="left"/>
            </w:pPr>
            <w:r>
              <w:t xml:space="preserve">0.20</w:t>
            </w:r>
          </w:p>
        </w:tc>
      </w:tr>
      <w:tr>
        <w:tc>
          <w:tcPr/>
          <w:p>
            <w:pPr>
              <w:pStyle w:val="Compact"/>
              <w:jc w:val="left"/>
            </w:pPr>
            <w:r>
              <w:t xml:space="preserve">Amount similarity</w:t>
            </w:r>
          </w:p>
        </w:tc>
        <w:tc>
          <w:tcPr/>
          <w:p>
            <w:pPr>
              <w:pStyle w:val="Compact"/>
              <w:jc w:val="left"/>
            </w:pPr>
            <w:r>
              <w:rPr>
                <w:rStyle w:val="VerbatimChar"/>
              </w:rPr>
              <w:t xml:space="preserve">1 - abs(a - b) / max(a, b)</w:t>
            </w:r>
            <w:r>
              <w:t xml:space="preserve">; 1.0 when equal in cents</w:t>
            </w:r>
          </w:p>
        </w:tc>
        <w:tc>
          <w:tcPr/>
          <w:p>
            <w:pPr>
              <w:pStyle w:val="Compact"/>
              <w:jc w:val="left"/>
            </w:pPr>
            <w:r>
              <w:t xml:space="preserve">0.30</w:t>
            </w:r>
          </w:p>
        </w:tc>
      </w:tr>
      <w:tr>
        <w:tc>
          <w:tcPr/>
          <w:p>
            <w:pPr>
              <w:pStyle w:val="Compact"/>
              <w:jc w:val="left"/>
            </w:pPr>
            <w:r>
              <w:t xml:space="preserve">Text similarity</w:t>
            </w:r>
          </w:p>
        </w:tc>
        <w:tc>
          <w:tcPr/>
          <w:p>
            <w:pPr>
              <w:pStyle w:val="Compact"/>
              <w:jc w:val="left"/>
            </w:pPr>
            <w:r>
              <w:t xml:space="preserve">RapidFuzz token-set ratio over normalized description and payee, scaled to 0..1</w:t>
            </w:r>
          </w:p>
        </w:tc>
        <w:tc>
          <w:tcPr/>
          <w:p>
            <w:pPr>
              <w:pStyle w:val="Compact"/>
              <w:jc w:val="left"/>
            </w:pPr>
            <w:r>
              <w:t xml:space="preserve">0.25</w:t>
            </w:r>
          </w:p>
        </w:tc>
      </w:tr>
      <w:tr>
        <w:tc>
          <w:tcPr/>
          <w:p>
            <w:pPr>
              <w:pStyle w:val="Compact"/>
              <w:jc w:val="left"/>
            </w:pPr>
            <w:r>
              <w:t xml:space="preserve">Reference similarity</w:t>
            </w:r>
          </w:p>
        </w:tc>
        <w:tc>
          <w:tcPr/>
          <w:p>
            <w:pPr>
              <w:pStyle w:val="Compact"/>
              <w:jc w:val="left"/>
            </w:pPr>
            <w:r>
              <w:t xml:space="preserve">1.0 when normalized references are equal and non-empty, partial ratio otherwise, 0 when either is missing</w:t>
            </w:r>
          </w:p>
        </w:tc>
        <w:tc>
          <w:tcPr/>
          <w:p>
            <w:pPr>
              <w:pStyle w:val="Compact"/>
              <w:jc w:val="left"/>
            </w:pPr>
            <w:r>
              <w:t xml:space="preserve">0.20</w:t>
            </w:r>
          </w:p>
        </w:tc>
      </w:tr>
      <w:tr>
        <w:tc>
          <w:tcPr/>
          <w:p>
            <w:pPr>
              <w:pStyle w:val="Compact"/>
              <w:jc w:val="left"/>
            </w:pPr>
            <w:r>
              <w:t xml:space="preserve">Relationship type</w:t>
            </w:r>
          </w:p>
        </w:tc>
        <w:tc>
          <w:tcPr/>
          <w:p>
            <w:pPr>
              <w:pStyle w:val="Compact"/>
              <w:jc w:val="left"/>
            </w:pPr>
            <w:r>
              <w:t xml:space="preserve">1.0 for one-to-one, 0.8 for a group</w:t>
            </w:r>
          </w:p>
        </w:tc>
        <w:tc>
          <w:tcPr/>
          <w:p>
            <w:pPr>
              <w:pStyle w:val="Compact"/>
              <w:jc w:val="left"/>
            </w:pPr>
            <w:r>
              <w:t xml:space="preserve">0.05</w:t>
            </w:r>
          </w:p>
        </w:tc>
      </w:tr>
    </w:tbl>
    <w:p>
      <w:pPr>
        <w:pStyle w:val="BodyText"/>
      </w:pPr>
      <w:r>
        <w:t xml:space="preserve">Weights live in configuration and are tuned on the calibration dataset only. The evaluation dataset is never used to choose them (DD-11).</w:t>
      </w:r>
    </w:p>
    <w:bookmarkEnd w:id="32"/>
    <w:bookmarkStart w:id="33" w:name="risk-rules"/>
    <w:p>
      <w:pPr>
        <w:pStyle w:val="Heading3"/>
      </w:pPr>
      <w:r>
        <w:t xml:space="preserve">6.2 Risk rules</w:t>
      </w:r>
    </w:p>
    <w:tbl>
      <w:tblPr>
        <w:tblStyle w:val="Table"/>
        <w:tblW w:type="pct" w:w="5000"/>
        <w:tblLook w:firstRow="1" w:lastRow="0" w:firstColumn="0" w:lastColumn="0" w:noHBand="0" w:noVBand="0" w:val="0020"/>
        <w:jc w:val="start"/>
      </w:tblPr>
      <w:tblGrid>
        <w:gridCol w:w="1089"/>
        <w:gridCol w:w="5544"/>
        <w:gridCol w:w="1287"/>
      </w:tblGrid>
      <w:tr>
        <w:trPr>
          <w:tblHeader w:val="true"/>
        </w:trPr>
        <w:tc>
          <w:tcPr/>
          <w:p>
            <w:pPr>
              <w:pStyle w:val="Compact"/>
              <w:jc w:val="left"/>
            </w:pPr>
            <w:r>
              <w:t xml:space="preserve">ID</w:t>
            </w:r>
          </w:p>
        </w:tc>
        <w:tc>
          <w:tcPr/>
          <w:p>
            <w:pPr>
              <w:pStyle w:val="Compact"/>
              <w:jc w:val="left"/>
            </w:pPr>
            <w:r>
              <w:t xml:space="preserve">Condition</w:t>
            </w:r>
          </w:p>
        </w:tc>
        <w:tc>
          <w:tcPr/>
          <w:p>
            <w:pPr>
              <w:pStyle w:val="Compact"/>
              <w:jc w:val="left"/>
            </w:pPr>
            <w:r>
              <w:t xml:space="preserve">Level</w:t>
            </w:r>
          </w:p>
        </w:tc>
      </w:tr>
      <w:tr>
        <w:tc>
          <w:tcPr/>
          <w:p>
            <w:pPr>
              <w:pStyle w:val="Compact"/>
              <w:jc w:val="left"/>
            </w:pPr>
            <w:r>
              <w:t xml:space="preserve">RR-01</w:t>
            </w:r>
          </w:p>
        </w:tc>
        <w:tc>
          <w:tcPr/>
          <w:p>
            <w:pPr>
              <w:pStyle w:val="Compact"/>
              <w:jc w:val="left"/>
            </w:pPr>
            <w:r>
              <w:t xml:space="preserve">Amount at or above PRM-01</w:t>
            </w:r>
          </w:p>
        </w:tc>
        <w:tc>
          <w:tcPr/>
          <w:p>
            <w:pPr>
              <w:pStyle w:val="Compact"/>
              <w:jc w:val="left"/>
            </w:pPr>
            <w:r>
              <w:t xml:space="preserve">High</w:t>
            </w:r>
          </w:p>
        </w:tc>
      </w:tr>
      <w:tr>
        <w:tc>
          <w:tcPr/>
          <w:p>
            <w:pPr>
              <w:pStyle w:val="Compact"/>
              <w:jc w:val="left"/>
            </w:pPr>
            <w:r>
              <w:t xml:space="preserve">RR-02</w:t>
            </w:r>
          </w:p>
        </w:tc>
        <w:tc>
          <w:tcPr/>
          <w:p>
            <w:pPr>
              <w:pStyle w:val="Compact"/>
              <w:jc w:val="left"/>
            </w:pPr>
            <w:r>
              <w:t xml:space="preserve">Suspected duplicate (BR-07)</w:t>
            </w:r>
          </w:p>
        </w:tc>
        <w:tc>
          <w:tcPr/>
          <w:p>
            <w:pPr>
              <w:pStyle w:val="Compact"/>
              <w:jc w:val="left"/>
            </w:pPr>
            <w:r>
              <w:t xml:space="preserve">High</w:t>
            </w:r>
          </w:p>
        </w:tc>
      </w:tr>
      <w:tr>
        <w:tc>
          <w:tcPr/>
          <w:p>
            <w:pPr>
              <w:pStyle w:val="Compact"/>
              <w:jc w:val="left"/>
            </w:pPr>
            <w:r>
              <w:t xml:space="preserve">RR-03</w:t>
            </w:r>
          </w:p>
        </w:tc>
        <w:tc>
          <w:tcPr/>
          <w:p>
            <w:pPr>
              <w:pStyle w:val="Compact"/>
              <w:jc w:val="left"/>
            </w:pPr>
            <w:r>
              <w:t xml:space="preserve">Unexplained item (EXC-07)</w:t>
            </w:r>
          </w:p>
        </w:tc>
        <w:tc>
          <w:tcPr/>
          <w:p>
            <w:pPr>
              <w:pStyle w:val="Compact"/>
              <w:jc w:val="left"/>
            </w:pPr>
            <w:r>
              <w:t xml:space="preserve">High</w:t>
            </w:r>
          </w:p>
        </w:tc>
      </w:tr>
      <w:tr>
        <w:tc>
          <w:tcPr/>
          <w:p>
            <w:pPr>
              <w:pStyle w:val="Compact"/>
              <w:jc w:val="left"/>
            </w:pPr>
            <w:r>
              <w:t xml:space="preserve">RR-04</w:t>
            </w:r>
          </w:p>
        </w:tc>
        <w:tc>
          <w:tcPr/>
          <w:p>
            <w:pPr>
              <w:pStyle w:val="Compact"/>
              <w:jc w:val="left"/>
            </w:pPr>
            <w:r>
              <w:t xml:space="preserve">Counterparty not seen earlier in the period or in carry-in</w:t>
            </w:r>
          </w:p>
        </w:tc>
        <w:tc>
          <w:tcPr/>
          <w:p>
            <w:pPr>
              <w:pStyle w:val="Compact"/>
              <w:jc w:val="left"/>
            </w:pPr>
            <w:r>
              <w:t xml:space="preserve">Medium</w:t>
            </w:r>
          </w:p>
        </w:tc>
      </w:tr>
      <w:tr>
        <w:tc>
          <w:tcPr/>
          <w:p>
            <w:pPr>
              <w:pStyle w:val="Compact"/>
              <w:jc w:val="left"/>
            </w:pPr>
            <w:r>
              <w:t xml:space="preserve">RR-05</w:t>
            </w:r>
          </w:p>
        </w:tc>
        <w:tc>
          <w:tcPr/>
          <w:p>
            <w:pPr>
              <w:pStyle w:val="Compact"/>
              <w:jc w:val="left"/>
            </w:pPr>
            <w:r>
              <w:t xml:space="preserve">Group match (one-to-many or many-to-one)</w:t>
            </w:r>
          </w:p>
        </w:tc>
        <w:tc>
          <w:tcPr/>
          <w:p>
            <w:pPr>
              <w:pStyle w:val="Compact"/>
              <w:jc w:val="left"/>
            </w:pPr>
            <w:r>
              <w:t xml:space="preserve">Medium</w:t>
            </w:r>
          </w:p>
        </w:tc>
      </w:tr>
      <w:tr>
        <w:tc>
          <w:tcPr/>
          <w:p>
            <w:pPr>
              <w:pStyle w:val="Compact"/>
              <w:jc w:val="left"/>
            </w:pPr>
            <w:r>
              <w:t xml:space="preserve">RR-06</w:t>
            </w:r>
          </w:p>
        </w:tc>
        <w:tc>
          <w:tcPr/>
          <w:p>
            <w:pPr>
              <w:pStyle w:val="Compact"/>
              <w:jc w:val="left"/>
            </w:pPr>
            <w:r>
              <w:t xml:space="preserve">Stale item (BR-10)</w:t>
            </w:r>
          </w:p>
        </w:tc>
        <w:tc>
          <w:tcPr/>
          <w:p>
            <w:pPr>
              <w:pStyle w:val="Compact"/>
              <w:jc w:val="left"/>
            </w:pPr>
            <w:r>
              <w:t xml:space="preserve">Medium</w:t>
            </w:r>
          </w:p>
        </w:tc>
      </w:tr>
      <w:tr>
        <w:tc>
          <w:tcPr/>
          <w:p>
            <w:pPr>
              <w:pStyle w:val="Compact"/>
              <w:jc w:val="left"/>
            </w:pPr>
            <w:r>
              <w:t xml:space="preserve">RR-07</w:t>
            </w:r>
          </w:p>
        </w:tc>
        <w:tc>
          <w:tcPr/>
          <w:p>
            <w:pPr>
              <w:pStyle w:val="Compact"/>
              <w:jc w:val="left"/>
            </w:pPr>
            <w:r>
              <w:t xml:space="preserve">None of the above</w:t>
            </w:r>
          </w:p>
        </w:tc>
        <w:tc>
          <w:tcPr/>
          <w:p>
            <w:pPr>
              <w:pStyle w:val="Compact"/>
              <w:jc w:val="left"/>
            </w:pPr>
            <w:r>
              <w:t xml:space="preserve">Low</w:t>
            </w:r>
          </w:p>
        </w:tc>
      </w:tr>
    </w:tbl>
    <w:p>
      <w:pPr>
        <w:pStyle w:val="BodyText"/>
      </w:pPr>
      <w:r>
        <w:t xml:space="preserve">The highest triggered level applies, and every triggered rule is stored with the recommendation and shown to the reviewer.</w:t>
      </w:r>
    </w:p>
    <w:bookmarkEnd w:id="33"/>
    <w:bookmarkStart w:id="34" w:name="explanations-and-conflicting-evidence"/>
    <w:p>
      <w:pPr>
        <w:pStyle w:val="Heading3"/>
      </w:pPr>
      <w:r>
        <w:t xml:space="preserve">6.3 Explanations and conflicting evidence</w:t>
      </w:r>
    </w:p>
    <w:p>
      <w:pPr>
        <w:pStyle w:val="FirstParagraph"/>
      </w:pPr>
      <w:r>
        <w:t xml:space="preserve">Supporting sentences are generated from the feature values that contributed most. Conflict detectors run separately and always report, whatever the score:</w:t>
      </w:r>
    </w:p>
    <w:tbl>
      <w:tblPr>
        <w:tblStyle w:val="Table"/>
        <w:tblW w:type="pct" w:w="5000"/>
        <w:tblLook w:firstRow="1" w:lastRow="0" w:firstColumn="0" w:lastColumn="0" w:noHBand="0" w:noVBand="0" w:val="0020"/>
        <w:jc w:val="start"/>
      </w:tblPr>
      <w:tblGrid>
        <w:gridCol w:w="1881"/>
        <w:gridCol w:w="6039"/>
      </w:tblGrid>
      <w:tr>
        <w:trPr>
          <w:tblHeader w:val="true"/>
        </w:trPr>
        <w:tc>
          <w:tcPr/>
          <w:p>
            <w:pPr>
              <w:pStyle w:val="Compact"/>
              <w:jc w:val="left"/>
            </w:pPr>
            <w:r>
              <w:t xml:space="preserve">Detector</w:t>
            </w:r>
          </w:p>
        </w:tc>
        <w:tc>
          <w:tcPr/>
          <w:p>
            <w:pPr>
              <w:pStyle w:val="Compact"/>
              <w:jc w:val="left"/>
            </w:pPr>
            <w:r>
              <w:t xml:space="preserve">Raises</w:t>
            </w:r>
          </w:p>
        </w:tc>
      </w:tr>
      <w:tr>
        <w:tc>
          <w:tcPr/>
          <w:p>
            <w:pPr>
              <w:pStyle w:val="Compact"/>
              <w:jc w:val="left"/>
            </w:pPr>
            <w:r>
              <w:t xml:space="preserve">Close runner-up</w:t>
            </w:r>
          </w:p>
        </w:tc>
        <w:tc>
          <w:tcPr/>
          <w:p>
            <w:pPr>
              <w:pStyle w:val="Compact"/>
              <w:jc w:val="left"/>
            </w:pPr>
            <w:r>
              <w:t xml:space="preserve">Second candidate within PRM-08 of the first</w:t>
            </w:r>
          </w:p>
        </w:tc>
      </w:tr>
      <w:tr>
        <w:tc>
          <w:tcPr/>
          <w:p>
            <w:pPr>
              <w:pStyle w:val="Compact"/>
              <w:jc w:val="left"/>
            </w:pPr>
            <w:r>
              <w:t xml:space="preserve">Repeated amount</w:t>
            </w:r>
          </w:p>
        </w:tc>
        <w:tc>
          <w:tcPr/>
          <w:p>
            <w:pPr>
              <w:pStyle w:val="Compact"/>
              <w:jc w:val="left"/>
            </w:pPr>
            <w:r>
              <w:t xml:space="preserve">The same amount appears more than once on the other side within the window</w:t>
            </w:r>
          </w:p>
        </w:tc>
      </w:tr>
      <w:tr>
        <w:tc>
          <w:tcPr/>
          <w:p>
            <w:pPr>
              <w:pStyle w:val="Compact"/>
              <w:jc w:val="left"/>
            </w:pPr>
            <w:r>
              <w:t xml:space="preserve">Reference mismatch</w:t>
            </w:r>
          </w:p>
        </w:tc>
        <w:tc>
          <w:tcPr/>
          <w:p>
            <w:pPr>
              <w:pStyle w:val="Compact"/>
              <w:jc w:val="left"/>
            </w:pPr>
            <w:r>
              <w:t xml:space="preserve">Both references present and different</w:t>
            </w:r>
          </w:p>
        </w:tc>
      </w:tr>
      <w:tr>
        <w:tc>
          <w:tcPr/>
          <w:p>
            <w:pPr>
              <w:pStyle w:val="Compact"/>
              <w:jc w:val="left"/>
            </w:pPr>
            <w:r>
              <w:t xml:space="preserve">Date at the edge</w:t>
            </w:r>
          </w:p>
        </w:tc>
        <w:tc>
          <w:tcPr/>
          <w:p>
            <w:pPr>
              <w:pStyle w:val="Compact"/>
              <w:jc w:val="left"/>
            </w:pPr>
            <w:r>
              <w:t xml:space="preserve">Gap equals the PRM-02 limit</w:t>
            </w:r>
          </w:p>
        </w:tc>
      </w:tr>
      <w:tr>
        <w:tc>
          <w:tcPr/>
          <w:p>
            <w:pPr>
              <w:pStyle w:val="Compact"/>
              <w:jc w:val="left"/>
            </w:pPr>
            <w:r>
              <w:t xml:space="preserve">Group tolerance</w:t>
            </w:r>
          </w:p>
        </w:tc>
        <w:tc>
          <w:tcPr/>
          <w:p>
            <w:pPr>
              <w:pStyle w:val="Compact"/>
              <w:jc w:val="left"/>
            </w:pPr>
            <w:r>
              <w:t xml:space="preserve">Group sums exactly but spans more than two business days</w:t>
            </w:r>
          </w:p>
        </w:tc>
      </w:tr>
      <w:tr>
        <w:tc>
          <w:tcPr/>
          <w:p>
            <w:pPr>
              <w:pStyle w:val="Compact"/>
              <w:jc w:val="left"/>
            </w:pPr>
            <w:r>
              <w:t xml:space="preserve">Novel counterparty</w:t>
            </w:r>
          </w:p>
        </w:tc>
        <w:tc>
          <w:tcPr/>
          <w:p>
            <w:pPr>
              <w:pStyle w:val="Compact"/>
              <w:jc w:val="left"/>
            </w:pPr>
            <w:r>
              <w:t xml:space="preserve">Counterparty not seen before in this period</w:t>
            </w:r>
          </w:p>
        </w:tc>
      </w:tr>
    </w:tbl>
    <w:p>
      <w:pPr>
        <w:pStyle w:val="BodyText"/>
      </w:pPr>
      <w:r>
        <w:t xml:space="preserve">If the optional GenAI adapter is enabled, its prose is stored in a separate field, labelled in the interface, and shown beside the deterministic explanation, never in place of it (CR-13).</w:t>
      </w:r>
      <w:r>
        <w:t xml:space="preserve"> </w:t>
      </w:r>
      <w:r>
        <w:t xml:space="preserve">## 7. Review and Approval</w:t>
      </w:r>
    </w:p>
    <w:tbl>
      <w:tblPr>
        <w:tblStyle w:val="Table"/>
        <w:tblW w:type="pct" w:w="5000"/>
        <w:tblLook w:firstRow="1" w:lastRow="0" w:firstColumn="0" w:lastColumn="0" w:noHBand="0" w:noVBand="0" w:val="0020"/>
        <w:jc w:val="start"/>
      </w:tblPr>
      <w:tblGrid>
        <w:gridCol w:w="1145"/>
        <w:gridCol w:w="6774"/>
      </w:tblGrid>
      <w:tr>
        <w:trPr>
          <w:tblHeader w:val="true"/>
        </w:trPr>
        <w:tc>
          <w:tcPr/>
          <w:p>
            <w:pPr>
              <w:pStyle w:val="Compact"/>
              <w:jc w:val="left"/>
            </w:pPr>
            <w:r>
              <w:t xml:space="preserve">Point</w:t>
            </w:r>
          </w:p>
        </w:tc>
        <w:tc>
          <w:tcPr/>
          <w:p>
            <w:pPr>
              <w:pStyle w:val="Compact"/>
              <w:jc w:val="left"/>
            </w:pPr>
            <w:r>
              <w:t xml:space="preserve">Design</w:t>
            </w:r>
          </w:p>
        </w:tc>
      </w:tr>
      <w:tr>
        <w:tc>
          <w:tcPr/>
          <w:p>
            <w:pPr>
              <w:pStyle w:val="Compact"/>
              <w:jc w:val="left"/>
            </w:pPr>
            <w:r>
              <w:t xml:space="preserve">Queue order</w:t>
            </w:r>
          </w:p>
        </w:tc>
        <w:tc>
          <w:tcPr/>
          <w:p>
            <w:pPr>
              <w:pStyle w:val="Compact"/>
              <w:jc w:val="left"/>
            </w:pPr>
            <w:r>
              <w:t xml:space="preserve">Risk descending, then confidence ascending, then identifier. The least certain work surfaces first</w:t>
            </w:r>
          </w:p>
        </w:tc>
      </w:tr>
      <w:tr>
        <w:tc>
          <w:tcPr/>
          <w:p>
            <w:pPr>
              <w:pStyle w:val="Compact"/>
              <w:jc w:val="left"/>
            </w:pPr>
            <w:r>
              <w:t xml:space="preserve">No filtering</w:t>
            </w:r>
          </w:p>
        </w:tc>
        <w:tc>
          <w:tcPr/>
          <w:p>
            <w:pPr>
              <w:pStyle w:val="Compact"/>
              <w:jc w:val="left"/>
            </w:pPr>
            <w:r>
              <w:t xml:space="preserve">Low-confidence items cannot be hidden. The interface offers queues and ordering, never a confidence filter (CR-15)</w:t>
            </w:r>
          </w:p>
        </w:tc>
      </w:tr>
      <w:tr>
        <w:tc>
          <w:tcPr/>
          <w:p>
            <w:pPr>
              <w:pStyle w:val="Compact"/>
              <w:jc w:val="left"/>
            </w:pPr>
            <w:r>
              <w:t xml:space="preserve">Senior queue</w:t>
            </w:r>
          </w:p>
        </w:tc>
        <w:tc>
          <w:tcPr/>
          <w:p>
            <w:pPr>
              <w:pStyle w:val="Compact"/>
              <w:jc w:val="left"/>
            </w:pPr>
            <w:r>
              <w:t xml:space="preserve">CAT-05 plus every escalated item, wherever it was first routed (FR-REV-08)</w:t>
            </w:r>
          </w:p>
        </w:tc>
      </w:tr>
      <w:tr>
        <w:tc>
          <w:tcPr/>
          <w:p>
            <w:pPr>
              <w:pStyle w:val="Compact"/>
              <w:jc w:val="left"/>
            </w:pPr>
            <w:r>
              <w:t xml:space="preserve">Detail required</w:t>
            </w:r>
          </w:p>
        </w:tc>
        <w:tc>
          <w:tcPr/>
          <w:p>
            <w:pPr>
              <w:pStyle w:val="Compact"/>
              <w:jc w:val="left"/>
            </w:pPr>
            <w:r>
              <w:t xml:space="preserve">Approving or modifying a non-exact item requires the reviewer’s own DETAIL_OPENED event. The service reads it from the audit log, never from a value the browser sends (FR-REV-10)</w:t>
            </w:r>
          </w:p>
        </w:tc>
      </w:tr>
      <w:tr>
        <w:tc>
          <w:tcPr/>
          <w:p>
            <w:pPr>
              <w:pStyle w:val="Compact"/>
              <w:jc w:val="left"/>
            </w:pPr>
            <w:r>
              <w:t xml:space="preserve">Timing</w:t>
            </w:r>
          </w:p>
        </w:tc>
        <w:tc>
          <w:tcPr/>
          <w:p>
            <w:pPr>
              <w:pStyle w:val="Compact"/>
              <w:jc w:val="left"/>
            </w:pPr>
            <w:r>
              <w:rPr>
                <w:rStyle w:val="VerbatimChar"/>
              </w:rPr>
              <w:t xml:space="preserve">opened_at</w:t>
            </w:r>
            <w:r>
              <w:t xml:space="preserve"> </w:t>
            </w:r>
            <w:r>
              <w:t xml:space="preserve">comes from that event,</w:t>
            </w:r>
            <w:r>
              <w:t xml:space="preserve"> </w:t>
            </w:r>
            <w:r>
              <w:rPr>
                <w:rStyle w:val="VerbatimChar"/>
              </w:rPr>
              <w:t xml:space="preserve">decided_at</w:t>
            </w:r>
            <w:r>
              <w:t xml:space="preserve"> </w:t>
            </w:r>
            <w:r>
              <w:t xml:space="preserve">from the decision. Both are stored on the decision, so time per item is measured (DD-04)</w:t>
            </w:r>
          </w:p>
        </w:tc>
      </w:tr>
      <w:tr>
        <w:tc>
          <w:tcPr/>
          <w:p>
            <w:pPr>
              <w:pStyle w:val="Compact"/>
              <w:jc w:val="left"/>
            </w:pPr>
            <w:r>
              <w:t xml:space="preserve">Comment rule</w:t>
            </w:r>
          </w:p>
        </w:tc>
        <w:tc>
          <w:tcPr/>
          <w:p>
            <w:pPr>
              <w:pStyle w:val="Compact"/>
              <w:jc w:val="left"/>
            </w:pPr>
            <w:r>
              <w:t xml:space="preserve">Reject, modify, escalate, unresolved and any High-risk approval (CR-16)</w:t>
            </w:r>
          </w:p>
        </w:tc>
      </w:tr>
      <w:tr>
        <w:tc>
          <w:tcPr/>
          <w:p>
            <w:pPr>
              <w:pStyle w:val="Compact"/>
              <w:jc w:val="left"/>
            </w:pPr>
            <w:r>
              <w:t xml:space="preserve">Offered actions</w:t>
            </w:r>
          </w:p>
        </w:tc>
        <w:tc>
          <w:tcPr/>
          <w:p>
            <w:pPr>
              <w:pStyle w:val="Compact"/>
              <w:jc w:val="left"/>
            </w:pPr>
            <w:r>
              <w:t xml:space="preserve">Per category and level (FR-REV-04). Reject and modify apply to matches only. Duplicates, unexplained items and capped searches (EXC-05, EXC-07, EXC-08) cannot be approved: approving would mark unexplained money reconciled (ADR-25)</w:t>
            </w:r>
          </w:p>
        </w:tc>
      </w:tr>
      <w:tr>
        <w:tc>
          <w:tcPr/>
          <w:p>
            <w:pPr>
              <w:pStyle w:val="Compact"/>
              <w:jc w:val="left"/>
            </w:pPr>
            <w:r>
              <w:t xml:space="preserve">Approve</w:t>
            </w:r>
          </w:p>
        </w:tc>
        <w:tc>
          <w:tcPr/>
          <w:p>
            <w:pPr>
              <w:pStyle w:val="Compact"/>
              <w:jc w:val="left"/>
            </w:pPr>
            <w:r>
              <w:t xml:space="preserve">The leading candidate, or the exception disposition. No candidate is preselected on screen</w:t>
            </w:r>
          </w:p>
        </w:tc>
      </w:tr>
      <w:tr>
        <w:tc>
          <w:tcPr/>
          <w:p>
            <w:pPr>
              <w:pStyle w:val="Compact"/>
              <w:jc w:val="left"/>
            </w:pPr>
            <w:r>
              <w:t xml:space="preserve">Modify</w:t>
            </w:r>
          </w:p>
        </w:tc>
        <w:tc>
          <w:tcPr/>
          <w:p>
            <w:pPr>
              <w:pStyle w:val="Compact"/>
              <w:jc w:val="left"/>
            </w:pPr>
            <w:r>
              <w:t xml:space="preserve">Selects another candidate of the same recommendation; the original and all candidates stay unchanged</w:t>
            </w:r>
          </w:p>
        </w:tc>
      </w:tr>
      <w:tr>
        <w:tc>
          <w:tcPr/>
          <w:p>
            <w:pPr>
              <w:pStyle w:val="Compact"/>
              <w:jc w:val="left"/>
            </w:pPr>
            <w:r>
              <w:t xml:space="preserve">Reject</w:t>
            </w:r>
          </w:p>
        </w:tc>
        <w:tc>
          <w:tcPr/>
          <w:p>
            <w:pPr>
              <w:pStyle w:val="Compact"/>
              <w:jc w:val="left"/>
            </w:pPr>
            <w:r>
              <w:t xml:space="preserve">Marks the recommendation superseded and re-proposes each released record as an exception, classified by the matching rules (ADR-24)</w:t>
            </w:r>
          </w:p>
        </w:tc>
      </w:tr>
      <w:tr>
        <w:tc>
          <w:tcPr/>
          <w:p>
            <w:pPr>
              <w:pStyle w:val="Compact"/>
              <w:jc w:val="left"/>
            </w:pPr>
            <w:r>
              <w:t xml:space="preserve">Escalate</w:t>
            </w:r>
          </w:p>
        </w:tc>
        <w:tc>
          <w:tcPr/>
          <w:p>
            <w:pPr>
              <w:pStyle w:val="Compact"/>
              <w:jc w:val="left"/>
            </w:pPr>
            <w:r>
              <w:t xml:space="preserve">Item status escalated; the escalating user is read later for CR-03</w:t>
            </w:r>
          </w:p>
        </w:tc>
      </w:tr>
      <w:tr>
        <w:tc>
          <w:tcPr/>
          <w:p>
            <w:pPr>
              <w:pStyle w:val="Compact"/>
              <w:jc w:val="left"/>
            </w:pPr>
            <w:r>
              <w:t xml:space="preserve">Manual pairing</w:t>
            </w:r>
          </w:p>
        </w:tc>
        <w:tc>
          <w:tcPr/>
          <w:p>
            <w:pPr>
              <w:pStyle w:val="Compact"/>
              <w:jc w:val="left"/>
            </w:pPr>
            <w:r>
              <w:t xml:space="preserve">For exceptions only. The reviewer selects records from the other side; the system checks they are free and agree to the cent, adds the pairing as an unscored candidate, and records a modify decision (ADR-23)</w:t>
            </w:r>
          </w:p>
        </w:tc>
      </w:tr>
      <w:tr>
        <w:tc>
          <w:tcPr/>
          <w:p>
            <w:pPr>
              <w:pStyle w:val="Compact"/>
              <w:jc w:val="left"/>
            </w:pPr>
            <w:r>
              <w:t xml:space="preserve">Settling a record</w:t>
            </w:r>
          </w:p>
        </w:tc>
        <w:tc>
          <w:tcPr/>
          <w:p>
            <w:pPr>
              <w:pStyle w:val="Compact"/>
              <w:jc w:val="left"/>
            </w:pPr>
            <w:r>
              <w:t xml:space="preserve">Approve, modify and unresolved settle every other open proposal for the same records: an exception raised for the record is superseded; another open match refuses the decision. Superseding a CAT-05 or escalated exception requires an independent senior (ADR-26)</w:t>
            </w:r>
          </w:p>
        </w:tc>
      </w:tr>
      <w:tr>
        <w:tc>
          <w:tcPr/>
          <w:p>
            <w:pPr>
              <w:pStyle w:val="Compact"/>
              <w:jc w:val="left"/>
            </w:pPr>
            <w:r>
              <w:t xml:space="preserve">Reversal</w:t>
            </w:r>
          </w:p>
        </w:tc>
        <w:tc>
          <w:tcPr/>
          <w:p>
            <w:pPr>
              <w:pStyle w:val="Compact"/>
              <w:jc w:val="left"/>
            </w:pPr>
            <w:r>
              <w:t xml:space="preserve">A Senior Accountant or Controller other than the decider reverses an approve, modify or unresolved decision in an open period, with a comment, when no adjustment for the item is proposed or approved (CR-19). The decision row and its audit event are unchanged; a DECISION_REVERSED event references both; the recommendation is marked superseded and reissued as an open copy with its system candidates, and the settled records return to proposed (FR-REV-12, ADR-32)</w:t>
            </w:r>
          </w:p>
        </w:tc>
      </w:tr>
      <w:tr>
        <w:tc>
          <w:tcPr/>
          <w:p>
            <w:pPr>
              <w:pStyle w:val="Compact"/>
              <w:jc w:val="left"/>
            </w:pPr>
            <w:r>
              <w:t xml:space="preserve">Refusals</w:t>
            </w:r>
          </w:p>
        </w:tc>
        <w:tc>
          <w:tcPr/>
          <w:p>
            <w:pPr>
              <w:pStyle w:val="Compact"/>
              <w:jc w:val="left"/>
            </w:pPr>
            <w:r>
              <w:t xml:space="preserve">Every check runs inside the transaction. A refusal rolls back, then a BLOCKED_ATTEMPT event names the rule (ADR-12)</w:t>
            </w:r>
          </w:p>
        </w:tc>
      </w:tr>
    </w:tbl>
    <w:bookmarkEnd w:id="34"/>
    <w:bookmarkStart w:id="35" w:name="batch-approval-dd-02"/>
    <w:p>
      <w:pPr>
        <w:pStyle w:val="Heading3"/>
      </w:pPr>
      <w:r>
        <w:t xml:space="preserve">7.1 Batch approval (DD-02)</w:t>
      </w:r>
    </w:p>
    <w:p>
      <w:pPr>
        <w:pStyle w:val="FirstParagraph"/>
      </w:pPr>
      <w:r>
        <w:t xml:space="preserve">A batch holds open CAT-01 items with Low risk only, all ticked by default, and the reviewer may untick any. One submission opens one transaction and, per item, writes a decision and an audit event; a batch rejection writes one rejection per item and re-proposes each released record. One ineligible item refuses the whole batch rather than being skipped silently (CR-11). The batch identifier is stored on each decision, so reports show both the action and the individual records.</w:t>
      </w:r>
    </w:p>
    <w:bookmarkEnd w:id="35"/>
    <w:bookmarkEnd w:id="36"/>
    <w:bookmarkStart w:id="37" w:name="period-control"/>
    <w:p>
      <w:pPr>
        <w:pStyle w:val="Heading2"/>
      </w:pPr>
      <w:r>
        <w:t xml:space="preserve">8. Period Control</w:t>
      </w:r>
    </w:p>
    <w:tbl>
      <w:tblPr>
        <w:tblStyle w:val="Table"/>
        <w:tblW w:type="pct" w:w="5000"/>
        <w:tblLook w:firstRow="1" w:lastRow="0" w:firstColumn="0" w:lastColumn="0" w:noHBand="0" w:noVBand="0" w:val="0020"/>
        <w:jc w:val="start"/>
      </w:tblPr>
      <w:tblGrid>
        <w:gridCol w:w="1145"/>
        <w:gridCol w:w="6774"/>
      </w:tblGrid>
      <w:tr>
        <w:trPr>
          <w:tblHeader w:val="true"/>
        </w:trPr>
        <w:tc>
          <w:tcPr/>
          <w:p>
            <w:pPr>
              <w:pStyle w:val="Compact"/>
              <w:jc w:val="left"/>
            </w:pPr>
            <w:r>
              <w:t xml:space="preserve">Step</w:t>
            </w:r>
          </w:p>
        </w:tc>
        <w:tc>
          <w:tcPr/>
          <w:p>
            <w:pPr>
              <w:pStyle w:val="Compact"/>
              <w:jc w:val="left"/>
            </w:pPr>
            <w:r>
              <w:t xml:space="preserve">Design</w:t>
            </w:r>
          </w:p>
        </w:tc>
      </w:tr>
      <w:tr>
        <w:tc>
          <w:tcPr/>
          <w:p>
            <w:pPr>
              <w:pStyle w:val="Compact"/>
              <w:jc w:val="left"/>
            </w:pPr>
            <w:r>
              <w:t xml:space="preserve">Statement</w:t>
            </w:r>
          </w:p>
        </w:tc>
        <w:tc>
          <w:tcPr/>
          <w:p>
            <w:pPr>
              <w:pStyle w:val="Compact"/>
              <w:jc w:val="left"/>
            </w:pPr>
            <w:r>
              <w:rPr>
                <w:rStyle w:val="VerbatimChar"/>
              </w:rPr>
              <w:t xml:space="preserve">period_service.statement()</w:t>
            </w:r>
            <w:r>
              <w:t xml:space="preserve"> </w:t>
            </w:r>
            <w:r>
              <w:t xml:space="preserve">builds the bank-to-book statement from the reviewer’s dispositions, not the ground truth: an item left unresolved is listed as unresolved whatever its proposed category; a hand-paired exception is a match. The arithmetic is in</w:t>
            </w:r>
            <w:r>
              <w:t xml:space="preserve"> </w:t>
            </w:r>
            <w:r>
              <w:rPr>
                <w:rStyle w:val="VerbatimChar"/>
              </w:rPr>
              <w:t xml:space="preserve">domain/statement.py</w:t>
            </w:r>
            <w:r>
              <w:t xml:space="preserve"> </w:t>
            </w:r>
            <w:r>
              <w:t xml:space="preserve">and is shared with RPT-09 (DD-12)</w:t>
            </w:r>
          </w:p>
        </w:tc>
      </w:tr>
      <w:tr>
        <w:tc>
          <w:tcPr/>
          <w:p>
            <w:pPr>
              <w:pStyle w:val="Compact"/>
              <w:jc w:val="left"/>
            </w:pPr>
            <w:r>
              <w:t xml:space="preserve">Readiness</w:t>
            </w:r>
          </w:p>
        </w:tc>
        <w:tc>
          <w:tcPr/>
          <w:p>
            <w:pPr>
              <w:pStyle w:val="Compact"/>
              <w:jc w:val="left"/>
            </w:pPr>
            <w:r>
              <w:rPr>
                <w:rStyle w:val="VerbatimChar"/>
              </w:rPr>
              <w:t xml:space="preserve">period_service.readiness()</w:t>
            </w:r>
            <w:r>
              <w:t xml:space="preserve"> </w:t>
            </w:r>
            <w:r>
              <w:t xml:space="preserve">evaluates each CR-10 condition separately. Condition 5 requires a package generated after the latest change and no approved item left unverified</w:t>
            </w:r>
          </w:p>
        </w:tc>
      </w:tr>
      <w:tr>
        <w:tc>
          <w:tcPr/>
          <w:p>
            <w:pPr>
              <w:pStyle w:val="Compact"/>
              <w:jc w:val="left"/>
            </w:pPr>
            <w:r>
              <w:t xml:space="preserve">Ready to close</w:t>
            </w:r>
          </w:p>
        </w:tc>
        <w:tc>
          <w:tcPr/>
          <w:p>
            <w:pPr>
              <w:pStyle w:val="Compact"/>
              <w:jc w:val="left"/>
            </w:pPr>
            <w:r>
              <w:t xml:space="preserve">A system transition between</w:t>
            </w:r>
            <w:r>
              <w:t xml:space="preserve"> </w:t>
            </w:r>
            <w:r>
              <w:rPr>
                <w:rStyle w:val="VerbatimChar"/>
              </w:rPr>
              <w:t xml:space="preserve">in_review</w:t>
            </w:r>
            <w:r>
              <w:t xml:space="preserve"> </w:t>
            </w:r>
            <w:r>
              <w:t xml:space="preserve">and</w:t>
            </w:r>
            <w:r>
              <w:t xml:space="preserve"> </w:t>
            </w:r>
            <w:r>
              <w:rPr>
                <w:rStyle w:val="VerbatimChar"/>
              </w:rPr>
              <w:t xml:space="preserve">ready_to_close</w:t>
            </w:r>
            <w:r>
              <w:t xml:space="preserve">, re-evaluated after every package, with a STATUS_CHANGED event</w:t>
            </w:r>
          </w:p>
        </w:tc>
      </w:tr>
      <w:tr>
        <w:tc>
          <w:tcPr/>
          <w:p>
            <w:pPr>
              <w:pStyle w:val="Compact"/>
              <w:jc w:val="left"/>
            </w:pPr>
            <w:r>
              <w:t xml:space="preserve">Sign-off</w:t>
            </w:r>
          </w:p>
        </w:tc>
        <w:tc>
          <w:tcPr/>
          <w:p>
            <w:pPr>
              <w:pStyle w:val="Compact"/>
              <w:jc w:val="left"/>
            </w:pPr>
            <w:r>
              <w:t xml:space="preserve">Controller only, from</w:t>
            </w:r>
            <w:r>
              <w:t xml:space="preserve"> </w:t>
            </w:r>
            <w:r>
              <w:rPr>
                <w:rStyle w:val="VerbatimChar"/>
              </w:rPr>
              <w:t xml:space="preserve">ready_to_close</w:t>
            </w:r>
            <w:r>
              <w:t xml:space="preserve">, all conditions met, CR-05, and a comment when the difference is non-zero. Records the statement and the chain head as it stood at signing, then writes SIGNOFF and PERIOD_LOCKED</w:t>
            </w:r>
          </w:p>
        </w:tc>
      </w:tr>
      <w:tr>
        <w:tc>
          <w:tcPr/>
          <w:p>
            <w:pPr>
              <w:pStyle w:val="Compact"/>
              <w:jc w:val="left"/>
            </w:pPr>
            <w:r>
              <w:t xml:space="preserve">Lock</w:t>
            </w:r>
          </w:p>
        </w:tc>
        <w:tc>
          <w:tcPr/>
          <w:p>
            <w:pPr>
              <w:pStyle w:val="Compact"/>
              <w:jc w:val="left"/>
            </w:pPr>
            <w:r>
              <w:t xml:space="preserve">Enforced in</w:t>
            </w:r>
            <w:r>
              <w:t xml:space="preserve"> </w:t>
            </w:r>
            <w:r>
              <w:rPr>
                <w:rStyle w:val="VerbatimChar"/>
              </w:rPr>
              <w:t xml:space="preserve">control/period_lock.py</w:t>
            </w:r>
            <w:r>
              <w:t xml:space="preserve"> </w:t>
            </w:r>
            <w:r>
              <w:t xml:space="preserve">and again by database triggers for decisions, adjustments and imports. Adjustment decisions have no run column, so their lock is the service check alone (ADR-30)</w:t>
            </w:r>
          </w:p>
        </w:tc>
      </w:tr>
      <w:tr>
        <w:tc>
          <w:tcPr/>
          <w:p>
            <w:pPr>
              <w:pStyle w:val="Compact"/>
              <w:jc w:val="left"/>
            </w:pPr>
            <w:r>
              <w:t xml:space="preserve">Reopen</w:t>
            </w:r>
          </w:p>
        </w:tc>
        <w:tc>
          <w:tcPr/>
          <w:p>
            <w:pPr>
              <w:pStyle w:val="Compact"/>
              <w:jc w:val="left"/>
            </w:pPr>
            <w:r>
              <w:t xml:space="preserve">A request with a reason, and a separate decision by a Controller who is not the requester (CR-06). A pending request does not unlock the period. Approval returns the run to</w:t>
            </w:r>
            <w:r>
              <w:t xml:space="preserve"> </w:t>
            </w:r>
            <w:r>
              <w:rPr>
                <w:rStyle w:val="VerbatimChar"/>
              </w:rPr>
              <w:t xml:space="preserve">in_review</w:t>
            </w:r>
            <w:r>
              <w:t xml:space="preserve">; both states are recorded</w:t>
            </w:r>
          </w:p>
        </w:tc>
      </w:tr>
      <w:tr>
        <w:tc>
          <w:tcPr/>
          <w:p>
            <w:pPr>
              <w:pStyle w:val="Compact"/>
              <w:jc w:val="left"/>
            </w:pPr>
            <w:r>
              <w:t xml:space="preserve">Re-close</w:t>
            </w:r>
          </w:p>
        </w:tc>
        <w:tc>
          <w:tcPr/>
          <w:p>
            <w:pPr>
              <w:pStyle w:val="Compact"/>
              <w:jc w:val="left"/>
            </w:pPr>
            <w:r>
              <w:t xml:space="preserve">Needs a new package and a new sign-off; the earlier sign-off stays on record</w:t>
            </w:r>
          </w:p>
        </w:tc>
      </w:tr>
    </w:tbl>
    <w:bookmarkEnd w:id="37"/>
    <w:bookmarkStart w:id="38" w:name="report-generation"/>
    <w:p>
      <w:pPr>
        <w:pStyle w:val="Heading2"/>
      </w:pPr>
      <w:r>
        <w:t xml:space="preserve">9. Report Generation</w:t>
      </w:r>
    </w:p>
    <w:tbl>
      <w:tblPr>
        <w:tblStyle w:val="Table"/>
        <w:tblW w:type="pct" w:w="5000"/>
        <w:tblLook w:firstRow="1" w:lastRow="0" w:firstColumn="0" w:lastColumn="0" w:noHBand="0" w:noVBand="0" w:val="0020"/>
        <w:jc w:val="start"/>
      </w:tblPr>
      <w:tblGrid>
        <w:gridCol w:w="1677"/>
        <w:gridCol w:w="6242"/>
      </w:tblGrid>
      <w:tr>
        <w:trPr>
          <w:tblHeader w:val="true"/>
        </w:trPr>
        <w:tc>
          <w:tcPr/>
          <w:p>
            <w:pPr>
              <w:pStyle w:val="Compact"/>
              <w:jc w:val="left"/>
            </w:pPr>
            <w:r>
              <w:t xml:space="preserve">Point</w:t>
            </w:r>
          </w:p>
        </w:tc>
        <w:tc>
          <w:tcPr/>
          <w:p>
            <w:pPr>
              <w:pStyle w:val="Compact"/>
              <w:jc w:val="left"/>
            </w:pPr>
            <w:r>
              <w:t xml:space="preserve">Design</w:t>
            </w:r>
          </w:p>
        </w:tc>
      </w:tr>
      <w:tr>
        <w:tc>
          <w:tcPr/>
          <w:p>
            <w:pPr>
              <w:pStyle w:val="Compact"/>
              <w:jc w:val="left"/>
            </w:pPr>
            <w:r>
              <w:t xml:space="preserve">Building</w:t>
            </w:r>
          </w:p>
        </w:tc>
        <w:tc>
          <w:tcPr/>
          <w:p>
            <w:pPr>
              <w:pStyle w:val="Compact"/>
              <w:jc w:val="left"/>
            </w:pPr>
            <w:r>
              <w:rPr>
                <w:rStyle w:val="VerbatimChar"/>
              </w:rPr>
              <w:t xml:space="preserve">report_builders.py</w:t>
            </w:r>
            <w:r>
              <w:t xml:space="preserve"> </w:t>
            </w:r>
            <w:r>
              <w:t xml:space="preserve">reads the run once and returns each report as data: summary figures, tables and notes. Ground truth is never read</w:t>
            </w:r>
          </w:p>
        </w:tc>
      </w:tr>
      <w:tr>
        <w:tc>
          <w:tcPr/>
          <w:p>
            <w:pPr>
              <w:pStyle w:val="Compact"/>
              <w:jc w:val="left"/>
            </w:pPr>
            <w:r>
              <w:t xml:space="preserve">Rendering</w:t>
            </w:r>
          </w:p>
        </w:tc>
        <w:tc>
          <w:tcPr/>
          <w:p>
            <w:pPr>
              <w:pStyle w:val="Compact"/>
              <w:jc w:val="left"/>
            </w:pPr>
            <w:r>
              <w:t xml:space="preserve">One Jinja2 template renders all 13 reports to HTML, and the same data is written to CSV (ADR-27)</w:t>
            </w:r>
          </w:p>
        </w:tc>
      </w:tr>
      <w:tr>
        <w:tc>
          <w:tcPr/>
          <w:p>
            <w:pPr>
              <w:pStyle w:val="Compact"/>
              <w:jc w:val="left"/>
            </w:pPr>
            <w:r>
              <w:t xml:space="preserve">Package</w:t>
            </w:r>
          </w:p>
        </w:tc>
        <w:tc>
          <w:tcPr/>
          <w:p>
            <w:pPr>
              <w:pStyle w:val="Compact"/>
              <w:jc w:val="left"/>
            </w:pPr>
            <w:r>
              <w:rPr>
                <w:rStyle w:val="VerbatimChar"/>
              </w:rPr>
              <w:t xml:space="preserve">report_service.generate_package()</w:t>
            </w:r>
            <w:r>
              <w:t xml:space="preserve"> </w:t>
            </w:r>
            <w:r>
              <w:t xml:space="preserve">builds RPT-01..13, runs the report check, writes both formats under</w:t>
            </w:r>
            <w:r>
              <w:t xml:space="preserve"> </w:t>
            </w:r>
            <w:r>
              <w:rPr>
                <w:rStyle w:val="VerbatimChar"/>
              </w:rPr>
              <w:t xml:space="preserve">reports/run_&lt;id&gt;/</w:t>
            </w:r>
            <w:r>
              <w:t xml:space="preserve">, stores each file with its content hash, and writes one REPORT_GENERATED event</w:t>
            </w:r>
          </w:p>
        </w:tc>
      </w:tr>
      <w:tr>
        <w:tc>
          <w:tcPr/>
          <w:p>
            <w:pPr>
              <w:pStyle w:val="Compact"/>
              <w:jc w:val="left"/>
            </w:pPr>
            <w:r>
              <w:t xml:space="preserve">Content hash</w:t>
            </w:r>
          </w:p>
        </w:tc>
        <w:tc>
          <w:tcPr/>
          <w:p>
            <w:pPr>
              <w:pStyle w:val="Compact"/>
              <w:jc w:val="left"/>
            </w:pPr>
            <w:r>
              <w:t xml:space="preserve">SHA-256 of the report’s data in canonical JSON; the generation timestamp is excluded, so an unchanged report regenerates with the same hash (FR-RPT-04, ADR-14). RPT-13 changes with every package because generating one adds an event</w:t>
            </w:r>
          </w:p>
        </w:tc>
      </w:tr>
      <w:tr>
        <w:tc>
          <w:tcPr/>
          <w:p>
            <w:pPr>
              <w:pStyle w:val="Compact"/>
              <w:jc w:val="left"/>
            </w:pPr>
            <w:r>
              <w:t xml:space="preserve">Report check</w:t>
            </w:r>
          </w:p>
        </w:tc>
        <w:tc>
          <w:tcPr/>
          <w:p>
            <w:pPr>
              <w:pStyle w:val="Compact"/>
              <w:jc w:val="left"/>
            </w:pPr>
            <w:r>
              <w:t xml:space="preserve">Each approved item must appear in the Match or Exception Report with its amount and an approved outcome. When all six CR-07 conditions hold it moves</w:t>
            </w:r>
            <w:r>
              <w:t xml:space="preserve"> </w:t>
            </w:r>
            <w:r>
              <w:rPr>
                <w:rStyle w:val="VerbatimChar"/>
              </w:rPr>
              <w:t xml:space="preserve">approved</w:t>
            </w:r>
            <w:r>
              <w:t xml:space="preserve"> </w:t>
            </w:r>
            <w:r>
              <w:t xml:space="preserve">→</w:t>
            </w:r>
            <w:r>
              <w:t xml:space="preserve"> </w:t>
            </w:r>
            <w:r>
              <w:rPr>
                <w:rStyle w:val="VerbatimChar"/>
              </w:rPr>
              <w:t xml:space="preserve">report_verified</w:t>
            </w:r>
            <w:r>
              <w:t xml:space="preserve"> </w:t>
            </w:r>
            <w:r>
              <w:t xml:space="preserve">→</w:t>
            </w:r>
            <w:r>
              <w:t xml:space="preserve"> </w:t>
            </w:r>
            <w:r>
              <w:rPr>
                <w:rStyle w:val="VerbatimChar"/>
              </w:rPr>
              <w:t xml:space="preserve">reconciled</w:t>
            </w:r>
            <w:r>
              <w:t xml:space="preserve">, with one REPORT_VERIFIED event per recommendation. Nothing else sets</w:t>
            </w:r>
            <w:r>
              <w:t xml:space="preserve"> </w:t>
            </w:r>
            <w:r>
              <w:rPr>
                <w:rStyle w:val="VerbatimChar"/>
              </w:rPr>
              <w:t xml:space="preserve">reconciled</w:t>
            </w:r>
            <w:r>
              <w:t xml:space="preserve"> </w:t>
            </w:r>
            <w:r>
              <w:t xml:space="preserve">(FR-RPT-05)</w:t>
            </w:r>
          </w:p>
        </w:tc>
      </w:tr>
      <w:tr>
        <w:tc>
          <w:tcPr/>
          <w:p>
            <w:pPr>
              <w:pStyle w:val="Compact"/>
              <w:jc w:val="left"/>
            </w:pPr>
            <w:r>
              <w:t xml:space="preserve">After close</w:t>
            </w:r>
          </w:p>
        </w:tc>
        <w:tc>
          <w:tcPr/>
          <w:p>
            <w:pPr>
              <w:pStyle w:val="Compact"/>
              <w:jc w:val="left"/>
            </w:pPr>
            <w:r>
              <w:t xml:space="preserve">A package can be regenerated; it changes no item status, and RPT-09 then shows the sign-off and the chain head recorded at signing (FR-AUD-07)</w:t>
            </w:r>
          </w:p>
        </w:tc>
      </w:tr>
      <w:tr>
        <w:tc>
          <w:tcPr/>
          <w:p>
            <w:pPr>
              <w:pStyle w:val="Compact"/>
              <w:jc w:val="left"/>
            </w:pPr>
            <w:r>
              <w:t xml:space="preserve">PDF</w:t>
            </w:r>
          </w:p>
        </w:tc>
        <w:tc>
          <w:tcPr/>
          <w:p>
            <w:pPr>
              <w:pStyle w:val="Compact"/>
              <w:jc w:val="left"/>
            </w:pPr>
            <w:r>
              <w:t xml:space="preserve">Produced by printing the HTML from the browser; no PDF library is required (NOP-09)</w:t>
            </w:r>
          </w:p>
        </w:tc>
      </w:tr>
    </w:tbl>
    <w:bookmarkEnd w:id="38"/>
    <w:bookmarkStart w:id="39" w:name="api-design"/>
    <w:p>
      <w:pPr>
        <w:pStyle w:val="Heading2"/>
      </w:pPr>
      <w:r>
        <w:t xml:space="preserve">10. API Design</w:t>
      </w:r>
    </w:p>
    <w:p>
      <w:pPr>
        <w:pStyle w:val="FirstParagraph"/>
      </w:pPr>
      <w:r>
        <w:t xml:space="preserve">HTML routes serve the reviewer interface; two JSON routes exist where a machine-readable result is useful. Every route that changes data is a POST, calls one service method inside one transaction, and writes an audit event. Every page is viewable by any identity; actions an identity may not take are shown disabled with the rule that blocks them.</w:t>
      </w:r>
    </w:p>
    <w:tbl>
      <w:tblPr>
        <w:tblStyle w:val="Table"/>
        <w:tblW w:type="pct" w:w="5000"/>
        <w:tblLook w:firstRow="1" w:lastRow="0" w:firstColumn="0" w:lastColumn="0" w:noHBand="0" w:noVBand="0" w:val="0020"/>
        <w:jc w:val="start"/>
      </w:tblPr>
      <w:tblGrid>
        <w:gridCol w:w="3460"/>
        <w:gridCol w:w="1768"/>
        <w:gridCol w:w="999"/>
        <w:gridCol w:w="1691"/>
      </w:tblGrid>
      <w:tr>
        <w:trPr>
          <w:tblHeader w:val="true"/>
        </w:trPr>
        <w:tc>
          <w:tcPr/>
          <w:p>
            <w:pPr>
              <w:pStyle w:val="Compact"/>
              <w:jc w:val="left"/>
            </w:pPr>
            <w:r>
              <w:t xml:space="preserve">Method and path</w:t>
            </w:r>
          </w:p>
        </w:tc>
        <w:tc>
          <w:tcPr/>
          <w:p>
            <w:pPr>
              <w:pStyle w:val="Compact"/>
              <w:jc w:val="left"/>
            </w:pPr>
            <w:r>
              <w:t xml:space="preserve">Purpose</w:t>
            </w:r>
          </w:p>
        </w:tc>
        <w:tc>
          <w:tcPr/>
          <w:p>
            <w:pPr>
              <w:pStyle w:val="Compact"/>
              <w:jc w:val="left"/>
            </w:pPr>
            <w:r>
              <w:t xml:space="preserve">May act</w:t>
            </w:r>
          </w:p>
        </w:tc>
        <w:tc>
          <w:tcPr/>
          <w:p>
            <w:pPr>
              <w:pStyle w:val="Compact"/>
              <w:jc w:val="left"/>
            </w:pPr>
            <w:r>
              <w:t xml:space="preserve">Audit event</w:t>
            </w:r>
          </w:p>
        </w:tc>
      </w:tr>
      <w:tr>
        <w:tc>
          <w:tcPr/>
          <w:p>
            <w:pPr>
              <w:pStyle w:val="Compact"/>
              <w:jc w:val="left"/>
            </w:pPr>
            <w:r>
              <w:t xml:space="preserve">GET</w:t>
            </w:r>
            <w:r>
              <w:t xml:space="preserve"> </w:t>
            </w:r>
            <w:r>
              <w:rPr>
                <w:rStyle w:val="VerbatimChar"/>
              </w:rPr>
              <w:t xml:space="preserve">/</w:t>
            </w:r>
          </w:p>
        </w:tc>
        <w:tc>
          <w:tcPr/>
          <w:p>
            <w:pPr>
              <w:pStyle w:val="Compact"/>
              <w:jc w:val="left"/>
            </w:pPr>
            <w:r>
              <w:t xml:space="preserve">Run dashboard (W1)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POST</w:t>
            </w:r>
            <w:r>
              <w:t xml:space="preserve"> </w:t>
            </w:r>
            <w:r>
              <w:rPr>
                <w:rStyle w:val="VerbatimChar"/>
              </w:rPr>
              <w:t xml:space="preserve">/identity</w:t>
            </w:r>
          </w:p>
        </w:tc>
        <w:tc>
          <w:tcPr/>
          <w:p>
            <w:pPr>
              <w:pStyle w:val="Compact"/>
              <w:jc w:val="left"/>
            </w:pPr>
            <w:r>
              <w:t xml:space="preserve">Select acting identity</w:t>
            </w:r>
          </w:p>
        </w:tc>
        <w:tc>
          <w:tcPr/>
          <w:p>
            <w:pPr>
              <w:pStyle w:val="Compact"/>
              <w:jc w:val="left"/>
            </w:pPr>
            <w:r>
              <w:t xml:space="preserve">any</w:t>
            </w:r>
          </w:p>
        </w:tc>
        <w:tc>
          <w:tcPr/>
          <w:p>
            <w:pPr>
              <w:pStyle w:val="Compact"/>
              <w:jc w:val="left"/>
            </w:pPr>
            <w:r>
              <w:t xml:space="preserve">IDENTITY_SELECTED</w:t>
            </w:r>
          </w:p>
        </w:tc>
      </w:tr>
      <w:tr>
        <w:tc>
          <w:tcPr/>
          <w:p>
            <w:pPr>
              <w:pStyle w:val="Compact"/>
              <w:jc w:val="left"/>
            </w:pPr>
            <w:r>
              <w:t xml:space="preserve">GET</w:t>
            </w:r>
            <w:r>
              <w:t xml:space="preserve"> </w:t>
            </w:r>
            <w:r>
              <w:rPr>
                <w:rStyle w:val="VerbatimChar"/>
              </w:rPr>
              <w:t xml:space="preserve">/import</w:t>
            </w:r>
          </w:p>
        </w:tc>
        <w:tc>
          <w:tcPr/>
          <w:p>
            <w:pPr>
              <w:pStyle w:val="Compact"/>
              <w:jc w:val="left"/>
            </w:pPr>
            <w:r>
              <w:t xml:space="preserve">New run form (W2)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POST</w:t>
            </w:r>
            <w:r>
              <w:t xml:space="preserve"> </w:t>
            </w:r>
            <w:r>
              <w:rPr>
                <w:rStyle w:val="VerbatimChar"/>
              </w:rPr>
              <w:t xml:space="preserve">/runs</w:t>
            </w:r>
          </w:p>
        </w:tc>
        <w:tc>
          <w:tcPr/>
          <w:p>
            <w:pPr>
              <w:pStyle w:val="Compact"/>
              <w:jc w:val="left"/>
            </w:pPr>
            <w:r>
              <w:t xml:space="preserve">Create a run</w:t>
            </w:r>
          </w:p>
        </w:tc>
        <w:tc>
          <w:tcPr/>
          <w:p>
            <w:pPr>
              <w:pStyle w:val="Compact"/>
              <w:jc w:val="left"/>
            </w:pPr>
            <w:r>
              <w:t xml:space="preserve">ROL-01, ROL-02</w:t>
            </w:r>
          </w:p>
        </w:tc>
        <w:tc>
          <w:tcPr/>
          <w:p>
            <w:pPr>
              <w:pStyle w:val="Compact"/>
              <w:jc w:val="left"/>
            </w:pPr>
            <w:r>
              <w:t xml:space="preserve">—</w:t>
            </w:r>
          </w:p>
        </w:tc>
      </w:tr>
      <w:tr>
        <w:tc>
          <w:tcPr/>
          <w:p>
            <w:pPr>
              <w:pStyle w:val="Compact"/>
              <w:jc w:val="left"/>
            </w:pPr>
            <w:r>
              <w:t xml:space="preserve">GET</w:t>
            </w:r>
            <w:r>
              <w:t xml:space="preserve"> </w:t>
            </w:r>
            <w:r>
              <w:rPr>
                <w:rStyle w:val="VerbatimChar"/>
              </w:rPr>
              <w:t xml:space="preserve">/runs/{run_id}/import</w:t>
            </w:r>
          </w:p>
        </w:tc>
        <w:tc>
          <w:tcPr/>
          <w:p>
            <w:pPr>
              <w:pStyle w:val="Compact"/>
              <w:jc w:val="left"/>
            </w:pPr>
            <w:r>
              <w:t xml:space="preserve">Import and validation (W2)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POST</w:t>
            </w:r>
            <w:r>
              <w:t xml:space="preserve"> </w:t>
            </w:r>
            <w:r>
              <w:rPr>
                <w:rStyle w:val="VerbatimChar"/>
              </w:rPr>
              <w:t xml:space="preserve">/runs/{run_id}/import</w:t>
            </w:r>
          </w:p>
        </w:tc>
        <w:tc>
          <w:tcPr/>
          <w:p>
            <w:pPr>
              <w:pStyle w:val="Compact"/>
              <w:jc w:val="left"/>
            </w:pPr>
            <w:r>
              <w:t xml:space="preserve">Upload the CSV files</w:t>
            </w:r>
          </w:p>
        </w:tc>
        <w:tc>
          <w:tcPr/>
          <w:p>
            <w:pPr>
              <w:pStyle w:val="Compact"/>
              <w:jc w:val="left"/>
            </w:pPr>
            <w:r>
              <w:t xml:space="preserve">ROL-01, ROL-02</w:t>
            </w:r>
          </w:p>
        </w:tc>
        <w:tc>
          <w:tcPr/>
          <w:p>
            <w:pPr>
              <w:pStyle w:val="Compact"/>
              <w:jc w:val="left"/>
            </w:pPr>
            <w:r>
              <w:t xml:space="preserve">IMPORT or BLOCKED_ATTEMPT</w:t>
            </w:r>
          </w:p>
        </w:tc>
      </w:tr>
      <w:tr>
        <w:tc>
          <w:tcPr/>
          <w:p>
            <w:pPr>
              <w:pStyle w:val="Compact"/>
              <w:jc w:val="left"/>
            </w:pPr>
            <w:r>
              <w:t xml:space="preserve">POST</w:t>
            </w:r>
            <w:r>
              <w:t xml:space="preserve"> </w:t>
            </w:r>
            <w:r>
              <w:rPr>
                <w:rStyle w:val="VerbatimChar"/>
              </w:rPr>
              <w:t xml:space="preserve">/runs/{run_id}/match</w:t>
            </w:r>
          </w:p>
        </w:tc>
        <w:tc>
          <w:tcPr/>
          <w:p>
            <w:pPr>
              <w:pStyle w:val="Compact"/>
              <w:jc w:val="left"/>
            </w:pPr>
            <w:r>
              <w:t xml:space="preserve">Validate, normalize, match and score</w:t>
            </w:r>
          </w:p>
        </w:tc>
        <w:tc>
          <w:tcPr/>
          <w:p>
            <w:pPr>
              <w:pStyle w:val="Compact"/>
              <w:jc w:val="left"/>
            </w:pPr>
            <w:r>
              <w:t xml:space="preserve">ROL-01, ROL-02</w:t>
            </w:r>
          </w:p>
        </w:tc>
        <w:tc>
          <w:tcPr/>
          <w:p>
            <w:pPr>
              <w:pStyle w:val="Compact"/>
              <w:jc w:val="left"/>
            </w:pPr>
            <w:r>
              <w:t xml:space="preserve">VALIDATION, NORMALIZATION, RULE, AI_RECOMMENDATION, ROUTING</w:t>
            </w:r>
          </w:p>
        </w:tc>
      </w:tr>
      <w:tr>
        <w:tc>
          <w:tcPr/>
          <w:p>
            <w:pPr>
              <w:pStyle w:val="Compact"/>
              <w:jc w:val="left"/>
            </w:pPr>
            <w:r>
              <w:t xml:space="preserve">GET</w:t>
            </w:r>
            <w:r>
              <w:t xml:space="preserve"> </w:t>
            </w:r>
            <w:r>
              <w:rPr>
                <w:rStyle w:val="VerbatimChar"/>
              </w:rPr>
              <w:t xml:space="preserve">/runs/{run_id}/queues/{category}</w:t>
            </w:r>
          </w:p>
        </w:tc>
        <w:tc>
          <w:tcPr/>
          <w:p>
            <w:pPr>
              <w:pStyle w:val="Compact"/>
              <w:jc w:val="left"/>
            </w:pPr>
            <w:r>
              <w:t xml:space="preserve">Queue listing; CAT-05 is the senior queue (W6)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GET</w:t>
            </w:r>
            <w:r>
              <w:t xml:space="preserve"> </w:t>
            </w:r>
            <w:r>
              <w:rPr>
                <w:rStyle w:val="VerbatimChar"/>
              </w:rPr>
              <w:t xml:space="preserve">/items/{recommendation_id}</w:t>
            </w:r>
          </w:p>
        </w:tc>
        <w:tc>
          <w:tcPr/>
          <w:p>
            <w:pPr>
              <w:pStyle w:val="Compact"/>
              <w:jc w:val="left"/>
            </w:pPr>
            <w:r>
              <w:t xml:space="preserve">Item detail (W3, W5)</w:t>
            </w:r>
          </w:p>
        </w:tc>
        <w:tc>
          <w:tcPr/>
          <w:p>
            <w:pPr>
              <w:pStyle w:val="Compact"/>
              <w:jc w:val="left"/>
            </w:pPr>
            <w:r>
              <w:t xml:space="preserve">—</w:t>
            </w:r>
          </w:p>
        </w:tc>
        <w:tc>
          <w:tcPr/>
          <w:p>
            <w:pPr>
              <w:pStyle w:val="Compact"/>
              <w:jc w:val="left"/>
            </w:pPr>
            <w:r>
              <w:t xml:space="preserve">DETAIL_OPENED</w:t>
            </w:r>
          </w:p>
        </w:tc>
      </w:tr>
      <w:tr>
        <w:tc>
          <w:tcPr/>
          <w:p>
            <w:pPr>
              <w:pStyle w:val="Compact"/>
              <w:jc w:val="left"/>
            </w:pPr>
            <w:r>
              <w:t xml:space="preserve">POST</w:t>
            </w:r>
            <w:r>
              <w:t xml:space="preserve"> </w:t>
            </w:r>
            <w:r>
              <w:rPr>
                <w:rStyle w:val="VerbatimChar"/>
              </w:rPr>
              <w:t xml:space="preserve">/items/{recommendation_id}/decision</w:t>
            </w:r>
          </w:p>
        </w:tc>
        <w:tc>
          <w:tcPr/>
          <w:p>
            <w:pPr>
              <w:pStyle w:val="Compact"/>
              <w:jc w:val="left"/>
            </w:pPr>
            <w:r>
              <w:t xml:space="preserve">Approve, modify, reject, escalate, unresolved</w:t>
            </w:r>
          </w:p>
        </w:tc>
        <w:tc>
          <w:tcPr/>
          <w:p>
            <w:pPr>
              <w:pStyle w:val="Compact"/>
              <w:jc w:val="left"/>
            </w:pPr>
            <w:r>
              <w:t xml:space="preserve">ROL-01..03 by level</w:t>
            </w:r>
          </w:p>
        </w:tc>
        <w:tc>
          <w:tcPr/>
          <w:p>
            <w:pPr>
              <w:pStyle w:val="Compact"/>
              <w:jc w:val="left"/>
            </w:pPr>
            <w:r>
              <w:t xml:space="preserve">DECISION or BLOCKED_ATTEMPT</w:t>
            </w:r>
          </w:p>
        </w:tc>
      </w:tr>
      <w:tr>
        <w:tc>
          <w:tcPr/>
          <w:p>
            <w:pPr>
              <w:pStyle w:val="Compact"/>
              <w:jc w:val="left"/>
            </w:pPr>
            <w:r>
              <w:t xml:space="preserve">POST</w:t>
            </w:r>
            <w:r>
              <w:t xml:space="preserve"> </w:t>
            </w:r>
            <w:r>
              <w:rPr>
                <w:rStyle w:val="VerbatimChar"/>
              </w:rPr>
              <w:t xml:space="preserve">/items/{recommendation_id}/manual-match</w:t>
            </w:r>
          </w:p>
        </w:tc>
        <w:tc>
          <w:tcPr/>
          <w:p>
            <w:pPr>
              <w:pStyle w:val="Compact"/>
              <w:jc w:val="left"/>
            </w:pPr>
            <w:r>
              <w:t xml:space="preserve">Pair an exception by hand</w:t>
            </w:r>
          </w:p>
        </w:tc>
        <w:tc>
          <w:tcPr/>
          <w:p>
            <w:pPr>
              <w:pStyle w:val="Compact"/>
              <w:jc w:val="left"/>
            </w:pPr>
            <w:r>
              <w:t xml:space="preserve">ROL-01..03 by level</w:t>
            </w:r>
          </w:p>
        </w:tc>
        <w:tc>
          <w:tcPr/>
          <w:p>
            <w:pPr>
              <w:pStyle w:val="Compact"/>
              <w:jc w:val="left"/>
            </w:pPr>
            <w:r>
              <w:t xml:space="preserve">DECISION or BLOCKED_ATTEMPT</w:t>
            </w:r>
          </w:p>
        </w:tc>
      </w:tr>
      <w:tr>
        <w:tc>
          <w:tcPr/>
          <w:p>
            <w:pPr>
              <w:pStyle w:val="Compact"/>
              <w:jc w:val="left"/>
            </w:pPr>
            <w:r>
              <w:t xml:space="preserve">POST</w:t>
            </w:r>
            <w:r>
              <w:t xml:space="preserve"> </w:t>
            </w:r>
            <w:r>
              <w:rPr>
                <w:rStyle w:val="VerbatimChar"/>
              </w:rPr>
              <w:t xml:space="preserve">/items/{recommendation_id}/reverse</w:t>
            </w:r>
          </w:p>
        </w:tc>
        <w:tc>
          <w:tcPr/>
          <w:p>
            <w:pPr>
              <w:pStyle w:val="Compact"/>
              <w:jc w:val="left"/>
            </w:pPr>
            <w:r>
              <w:t xml:space="preserve">Reverse a final decision</w:t>
            </w:r>
          </w:p>
        </w:tc>
        <w:tc>
          <w:tcPr/>
          <w:p>
            <w:pPr>
              <w:pStyle w:val="Compact"/>
              <w:jc w:val="left"/>
            </w:pPr>
            <w:r>
              <w:t xml:space="preserve">ROL-02, ROL-03, not the decider</w:t>
            </w:r>
          </w:p>
        </w:tc>
        <w:tc>
          <w:tcPr/>
          <w:p>
            <w:pPr>
              <w:pStyle w:val="Compact"/>
              <w:jc w:val="left"/>
            </w:pPr>
            <w:r>
              <w:t xml:space="preserve">DECISION_REVERSED or BLOCKED_ATTEMPT</w:t>
            </w:r>
          </w:p>
        </w:tc>
      </w:tr>
      <w:tr>
        <w:tc>
          <w:tcPr/>
          <w:p>
            <w:pPr>
              <w:pStyle w:val="Compact"/>
              <w:jc w:val="left"/>
            </w:pPr>
            <w:r>
              <w:t xml:space="preserve">POST</w:t>
            </w:r>
            <w:r>
              <w:t xml:space="preserve"> </w:t>
            </w:r>
            <w:r>
              <w:rPr>
                <w:rStyle w:val="VerbatimChar"/>
              </w:rPr>
              <w:t xml:space="preserve">/items/{recommendation_id}/prose</w:t>
            </w:r>
          </w:p>
        </w:tc>
        <w:tc>
          <w:tcPr/>
          <w:p>
            <w:pPr>
              <w:pStyle w:val="Compact"/>
              <w:jc w:val="left"/>
            </w:pPr>
            <w:r>
              <w:t xml:space="preserve">Optional plain-words summary</w:t>
            </w:r>
          </w:p>
        </w:tc>
        <w:tc>
          <w:tcPr/>
          <w:p>
            <w:pPr>
              <w:pStyle w:val="Compact"/>
              <w:jc w:val="left"/>
            </w:pPr>
            <w:r>
              <w:t xml:space="preserve">any identity</w:t>
            </w:r>
          </w:p>
        </w:tc>
        <w:tc>
          <w:tcPr/>
          <w:p>
            <w:pPr>
              <w:pStyle w:val="Compact"/>
              <w:jc w:val="left"/>
            </w:pPr>
            <w:r>
              <w:t xml:space="preserve">GENAI_PROSE</w:t>
            </w:r>
          </w:p>
        </w:tc>
      </w:tr>
      <w:tr>
        <w:tc>
          <w:tcPr/>
          <w:p>
            <w:pPr>
              <w:pStyle w:val="Compact"/>
              <w:jc w:val="left"/>
            </w:pPr>
            <w:r>
              <w:t xml:space="preserve">GET</w:t>
            </w:r>
            <w:r>
              <w:t xml:space="preserve"> </w:t>
            </w:r>
            <w:r>
              <w:rPr>
                <w:rStyle w:val="VerbatimChar"/>
              </w:rPr>
              <w:t xml:space="preserve">/runs/{run_id}/batch</w:t>
            </w:r>
          </w:p>
        </w:tc>
        <w:tc>
          <w:tcPr/>
          <w:p>
            <w:pPr>
              <w:pStyle w:val="Compact"/>
              <w:jc w:val="left"/>
            </w:pPr>
            <w:r>
              <w:t xml:space="preserve">Exact-match batch (W4)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POST</w:t>
            </w:r>
            <w:r>
              <w:t xml:space="preserve"> </w:t>
            </w:r>
            <w:r>
              <w:rPr>
                <w:rStyle w:val="VerbatimChar"/>
              </w:rPr>
              <w:t xml:space="preserve">/runs/{run_id}/batch</w:t>
            </w:r>
          </w:p>
        </w:tc>
        <w:tc>
          <w:tcPr/>
          <w:p>
            <w:pPr>
              <w:pStyle w:val="Compact"/>
              <w:jc w:val="left"/>
            </w:pPr>
            <w:r>
              <w:t xml:space="preserve">Batch approve or reject</w:t>
            </w:r>
          </w:p>
        </w:tc>
        <w:tc>
          <w:tcPr/>
          <w:p>
            <w:pPr>
              <w:pStyle w:val="Compact"/>
              <w:jc w:val="left"/>
            </w:pPr>
            <w:r>
              <w:t xml:space="preserve">ROL-01, ROL-02</w:t>
            </w:r>
          </w:p>
        </w:tc>
        <w:tc>
          <w:tcPr/>
          <w:p>
            <w:pPr>
              <w:pStyle w:val="Compact"/>
              <w:jc w:val="left"/>
            </w:pPr>
            <w:r>
              <w:t xml:space="preserve">DECISION per item</w:t>
            </w:r>
          </w:p>
        </w:tc>
      </w:tr>
      <w:tr>
        <w:tc>
          <w:tcPr/>
          <w:p>
            <w:pPr>
              <w:pStyle w:val="Compact"/>
              <w:jc w:val="left"/>
            </w:pPr>
            <w:r>
              <w:t xml:space="preserve">POST</w:t>
            </w:r>
            <w:r>
              <w:t xml:space="preserve"> </w:t>
            </w:r>
            <w:r>
              <w:rPr>
                <w:rStyle w:val="VerbatimChar"/>
              </w:rPr>
              <w:t xml:space="preserve">/items/{recommendation_id}/adjustment</w:t>
            </w:r>
          </w:p>
        </w:tc>
        <w:tc>
          <w:tcPr/>
          <w:p>
            <w:pPr>
              <w:pStyle w:val="Compact"/>
              <w:jc w:val="left"/>
            </w:pPr>
            <w:r>
              <w:t xml:space="preserve">Propose an adjustment</w:t>
            </w:r>
          </w:p>
        </w:tc>
        <w:tc>
          <w:tcPr/>
          <w:p>
            <w:pPr>
              <w:pStyle w:val="Compact"/>
              <w:jc w:val="left"/>
            </w:pPr>
            <w:r>
              <w:t xml:space="preserve">ROL-01, ROL-02</w:t>
            </w:r>
          </w:p>
        </w:tc>
        <w:tc>
          <w:tcPr/>
          <w:p>
            <w:pPr>
              <w:pStyle w:val="Compact"/>
              <w:jc w:val="left"/>
            </w:pPr>
            <w:r>
              <w:t xml:space="preserve">ADJUSTMENT_PROPOSED</w:t>
            </w:r>
          </w:p>
        </w:tc>
      </w:tr>
      <w:tr>
        <w:tc>
          <w:tcPr/>
          <w:p>
            <w:pPr>
              <w:pStyle w:val="Compact"/>
              <w:jc w:val="left"/>
            </w:pPr>
            <w:r>
              <w:t xml:space="preserve">GET</w:t>
            </w:r>
            <w:r>
              <w:t xml:space="preserve"> </w:t>
            </w:r>
            <w:r>
              <w:rPr>
                <w:rStyle w:val="VerbatimChar"/>
              </w:rPr>
              <w:t xml:space="preserve">/runs/{run_id}/adjustments</w:t>
            </w:r>
          </w:p>
        </w:tc>
        <w:tc>
          <w:tcPr/>
          <w:p>
            <w:pPr>
              <w:pStyle w:val="Compact"/>
              <w:jc w:val="left"/>
            </w:pPr>
            <w:r>
              <w:t xml:space="preserve">Adjustment approvals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POST</w:t>
            </w:r>
            <w:r>
              <w:t xml:space="preserve"> </w:t>
            </w:r>
            <w:r>
              <w:rPr>
                <w:rStyle w:val="VerbatimChar"/>
              </w:rPr>
              <w:t xml:space="preserve">/adjustments/{adjustment_id}/decision</w:t>
            </w:r>
          </w:p>
        </w:tc>
        <w:tc>
          <w:tcPr/>
          <w:p>
            <w:pPr>
              <w:pStyle w:val="Compact"/>
              <w:jc w:val="left"/>
            </w:pPr>
            <w:r>
              <w:t xml:space="preserve">Approve or reject an adjustment</w:t>
            </w:r>
          </w:p>
        </w:tc>
        <w:tc>
          <w:tcPr/>
          <w:p>
            <w:pPr>
              <w:pStyle w:val="Compact"/>
              <w:jc w:val="left"/>
            </w:pPr>
            <w:r>
              <w:t xml:space="preserve">ROL-02, ROL-03</w:t>
            </w:r>
          </w:p>
        </w:tc>
        <w:tc>
          <w:tcPr/>
          <w:p>
            <w:pPr>
              <w:pStyle w:val="Compact"/>
              <w:jc w:val="left"/>
            </w:pPr>
            <w:r>
              <w:t xml:space="preserve">ADJUSTMENT_DECIDED or BLOCKED_ATTEMPT</w:t>
            </w:r>
          </w:p>
        </w:tc>
      </w:tr>
      <w:tr>
        <w:tc>
          <w:tcPr/>
          <w:p>
            <w:pPr>
              <w:pStyle w:val="Compact"/>
              <w:jc w:val="left"/>
            </w:pPr>
            <w:r>
              <w:t xml:space="preserve">GET</w:t>
            </w:r>
            <w:r>
              <w:t xml:space="preserve"> </w:t>
            </w:r>
            <w:r>
              <w:rPr>
                <w:rStyle w:val="VerbatimChar"/>
              </w:rPr>
              <w:t xml:space="preserve">/runs/{run_id}/close</w:t>
            </w:r>
          </w:p>
        </w:tc>
        <w:tc>
          <w:tcPr/>
          <w:p>
            <w:pPr>
              <w:pStyle w:val="Compact"/>
              <w:jc w:val="left"/>
            </w:pPr>
            <w:r>
              <w:t xml:space="preserve">Statement, conditions, sign-off, reopening (W7)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POST</w:t>
            </w:r>
            <w:r>
              <w:t xml:space="preserve"> </w:t>
            </w:r>
            <w:r>
              <w:rPr>
                <w:rStyle w:val="VerbatimChar"/>
              </w:rPr>
              <w:t xml:space="preserve">/runs/{run_id}/close</w:t>
            </w:r>
          </w:p>
        </w:tc>
        <w:tc>
          <w:tcPr/>
          <w:p>
            <w:pPr>
              <w:pStyle w:val="Compact"/>
              <w:jc w:val="left"/>
            </w:pPr>
            <w:r>
              <w:t xml:space="preserve">Sign off and lock</w:t>
            </w:r>
          </w:p>
        </w:tc>
        <w:tc>
          <w:tcPr/>
          <w:p>
            <w:pPr>
              <w:pStyle w:val="Compact"/>
              <w:jc w:val="left"/>
            </w:pPr>
            <w:r>
              <w:t xml:space="preserve">ROL-03</w:t>
            </w:r>
          </w:p>
        </w:tc>
        <w:tc>
          <w:tcPr/>
          <w:p>
            <w:pPr>
              <w:pStyle w:val="Compact"/>
              <w:jc w:val="left"/>
            </w:pPr>
            <w:r>
              <w:t xml:space="preserve">SIGNOFF, PERIOD_LOCKED</w:t>
            </w:r>
          </w:p>
        </w:tc>
      </w:tr>
      <w:tr>
        <w:tc>
          <w:tcPr/>
          <w:p>
            <w:pPr>
              <w:pStyle w:val="Compact"/>
              <w:jc w:val="left"/>
            </w:pPr>
            <w:r>
              <w:t xml:space="preserve">POST</w:t>
            </w:r>
            <w:r>
              <w:t xml:space="preserve"> </w:t>
            </w:r>
            <w:r>
              <w:rPr>
                <w:rStyle w:val="VerbatimChar"/>
              </w:rPr>
              <w:t xml:space="preserve">/runs/{run_id}/reopen-request</w:t>
            </w:r>
          </w:p>
        </w:tc>
        <w:tc>
          <w:tcPr/>
          <w:p>
            <w:pPr>
              <w:pStyle w:val="Compact"/>
              <w:jc w:val="left"/>
            </w:pPr>
            <w:r>
              <w:t xml:space="preserve">Request reopening</w:t>
            </w:r>
          </w:p>
        </w:tc>
        <w:tc>
          <w:tcPr/>
          <w:p>
            <w:pPr>
              <w:pStyle w:val="Compact"/>
              <w:jc w:val="left"/>
            </w:pPr>
            <w:r>
              <w:t xml:space="preserve">ROL-01, ROL-02</w:t>
            </w:r>
          </w:p>
        </w:tc>
        <w:tc>
          <w:tcPr/>
          <w:p>
            <w:pPr>
              <w:pStyle w:val="Compact"/>
              <w:jc w:val="left"/>
            </w:pPr>
            <w:r>
              <w:t xml:space="preserve">REOPEN_REQUESTED</w:t>
            </w:r>
          </w:p>
        </w:tc>
      </w:tr>
      <w:tr>
        <w:tc>
          <w:tcPr/>
          <w:p>
            <w:pPr>
              <w:pStyle w:val="Compact"/>
              <w:jc w:val="left"/>
            </w:pPr>
            <w:r>
              <w:t xml:space="preserve">POST</w:t>
            </w:r>
            <w:r>
              <w:t xml:space="preserve"> </w:t>
            </w:r>
            <w:r>
              <w:rPr>
                <w:rStyle w:val="VerbatimChar"/>
              </w:rPr>
              <w:t xml:space="preserve">/reopen-requests/{id}/decision</w:t>
            </w:r>
          </w:p>
        </w:tc>
        <w:tc>
          <w:tcPr/>
          <w:p>
            <w:pPr>
              <w:pStyle w:val="Compact"/>
              <w:jc w:val="left"/>
            </w:pPr>
            <w:r>
              <w:t xml:space="preserve">Approve or reject reopening</w:t>
            </w:r>
          </w:p>
        </w:tc>
        <w:tc>
          <w:tcPr/>
          <w:p>
            <w:pPr>
              <w:pStyle w:val="Compact"/>
              <w:jc w:val="left"/>
            </w:pPr>
            <w:r>
              <w:t xml:space="preserve">ROL-03</w:t>
            </w:r>
          </w:p>
        </w:tc>
        <w:tc>
          <w:tcPr/>
          <w:p>
            <w:pPr>
              <w:pStyle w:val="Compact"/>
              <w:jc w:val="left"/>
            </w:pPr>
            <w:r>
              <w:t xml:space="preserve">REOPEN_DECIDED or BLOCKED_ATTEMPT</w:t>
            </w:r>
          </w:p>
        </w:tc>
      </w:tr>
      <w:tr>
        <w:tc>
          <w:tcPr/>
          <w:p>
            <w:pPr>
              <w:pStyle w:val="Compact"/>
              <w:jc w:val="left"/>
            </w:pPr>
            <w:r>
              <w:t xml:space="preserve">GET, POST</w:t>
            </w:r>
            <w:r>
              <w:t xml:space="preserve"> </w:t>
            </w:r>
            <w:r>
              <w:rPr>
                <w:rStyle w:val="VerbatimChar"/>
              </w:rPr>
              <w:t xml:space="preserve">/runs/{run_id}/reports</w:t>
            </w:r>
          </w:p>
        </w:tc>
        <w:tc>
          <w:tcPr/>
          <w:p>
            <w:pPr>
              <w:pStyle w:val="Compact"/>
              <w:jc w:val="left"/>
            </w:pPr>
            <w:r>
              <w:t xml:space="preserve">Package index; generate the package</w:t>
            </w:r>
          </w:p>
        </w:tc>
        <w:tc>
          <w:tcPr/>
          <w:p>
            <w:pPr>
              <w:pStyle w:val="Compact"/>
              <w:jc w:val="left"/>
            </w:pPr>
            <w:r>
              <w:t xml:space="preserve">any identity</w:t>
            </w:r>
          </w:p>
        </w:tc>
        <w:tc>
          <w:tcPr/>
          <w:p>
            <w:pPr>
              <w:pStyle w:val="Compact"/>
              <w:jc w:val="left"/>
            </w:pPr>
            <w:r>
              <w:t xml:space="preserve">REPORT_GENERATED, REPORT_VERIFIED</w:t>
            </w:r>
          </w:p>
        </w:tc>
      </w:tr>
      <w:tr>
        <w:tc>
          <w:tcPr/>
          <w:p>
            <w:pPr>
              <w:pStyle w:val="Compact"/>
              <w:jc w:val="left"/>
            </w:pPr>
            <w:r>
              <w:t xml:space="preserve">GET</w:t>
            </w:r>
            <w:r>
              <w:t xml:space="preserve"> </w:t>
            </w:r>
            <w:r>
              <w:rPr>
                <w:rStyle w:val="VerbatimChar"/>
              </w:rPr>
              <w:t xml:space="preserve">/runs/{run_id}/reports/{report_code}</w:t>
            </w:r>
          </w:p>
        </w:tc>
        <w:tc>
          <w:tcPr/>
          <w:p>
            <w:pPr>
              <w:pStyle w:val="Compact"/>
              <w:jc w:val="left"/>
            </w:pPr>
            <w:r>
              <w:t xml:space="preserve">View a report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GET</w:t>
            </w:r>
            <w:r>
              <w:t xml:space="preserve"> </w:t>
            </w:r>
            <w:r>
              <w:rPr>
                <w:rStyle w:val="VerbatimChar"/>
              </w:rPr>
              <w:t xml:space="preserve">/runs/{run_id}/reports/{report_code}.csv</w:t>
            </w:r>
          </w:p>
        </w:tc>
        <w:tc>
          <w:tcPr/>
          <w:p>
            <w:pPr>
              <w:pStyle w:val="Compact"/>
              <w:jc w:val="left"/>
            </w:pPr>
            <w:r>
              <w:t xml:space="preserve">Export a report</w:t>
            </w:r>
          </w:p>
        </w:tc>
        <w:tc>
          <w:tcPr/>
          <w:p>
            <w:pPr>
              <w:pStyle w:val="Compact"/>
              <w:jc w:val="left"/>
            </w:pPr>
            <w:r>
              <w:t xml:space="preserve">—</w:t>
            </w:r>
          </w:p>
        </w:tc>
        <w:tc>
          <w:tcPr/>
          <w:p>
            <w:pPr>
              <w:pStyle w:val="Compact"/>
              <w:jc w:val="left"/>
            </w:pPr>
            <w:r>
              <w:t xml:space="preserve">REPORT_EXPORTED</w:t>
            </w:r>
          </w:p>
        </w:tc>
      </w:tr>
      <w:tr>
        <w:tc>
          <w:tcPr/>
          <w:p>
            <w:pPr>
              <w:pStyle w:val="Compact"/>
              <w:jc w:val="left"/>
            </w:pPr>
            <w:r>
              <w:t xml:space="preserve">GET</w:t>
            </w:r>
            <w:r>
              <w:t xml:space="preserve"> </w:t>
            </w:r>
            <w:r>
              <w:rPr>
                <w:rStyle w:val="VerbatimChar"/>
              </w:rPr>
              <w:t xml:space="preserve">/runs/{run_id}/audit</w:t>
            </w:r>
          </w:p>
        </w:tc>
        <w:tc>
          <w:tcPr/>
          <w:p>
            <w:pPr>
              <w:pStyle w:val="Compact"/>
              <w:jc w:val="left"/>
            </w:pPr>
            <w:r>
              <w:t xml:space="preserve">Audit log and verification (W8)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GET</w:t>
            </w:r>
            <w:r>
              <w:t xml:space="preserve"> </w:t>
            </w:r>
            <w:r>
              <w:rPr>
                <w:rStyle w:val="VerbatimChar"/>
              </w:rPr>
              <w:t xml:space="preserve">/api/runs/{run_id}/audit/verify</w:t>
            </w:r>
          </w:p>
        </w:tc>
        <w:tc>
          <w:tcPr/>
          <w:p>
            <w:pPr>
              <w:pStyle w:val="Compact"/>
              <w:jc w:val="left"/>
            </w:pPr>
            <w:r>
              <w:t xml:space="preserve">Chain verification as JSON</w:t>
            </w:r>
          </w:p>
        </w:tc>
        <w:tc>
          <w:tcPr/>
          <w:p>
            <w:pPr>
              <w:pStyle w:val="Compact"/>
              <w:jc w:val="left"/>
            </w:pPr>
            <w:r>
              <w:t xml:space="preserve">—</w:t>
            </w:r>
          </w:p>
        </w:tc>
        <w:tc>
          <w:tcPr/>
          <w:p>
            <w:pPr>
              <w:pStyle w:val="Compact"/>
              <w:jc w:val="left"/>
            </w:pPr>
            <w:r>
              <w:t xml:space="preserve">CHAIN_VERIFIED</w:t>
            </w:r>
          </w:p>
        </w:tc>
      </w:tr>
      <w:tr>
        <w:tc>
          <w:tcPr/>
          <w:p>
            <w:pPr>
              <w:pStyle w:val="Compact"/>
              <w:jc w:val="left"/>
            </w:pPr>
            <w:r>
              <w:t xml:space="preserve">GET</w:t>
            </w:r>
            <w:r>
              <w:t xml:space="preserve"> </w:t>
            </w:r>
            <w:r>
              <w:rPr>
                <w:rStyle w:val="VerbatimChar"/>
              </w:rPr>
              <w:t xml:space="preserve">/api/runs/{run_id}/status</w:t>
            </w:r>
          </w:p>
        </w:tc>
        <w:tc>
          <w:tcPr/>
          <w:p>
            <w:pPr>
              <w:pStyle w:val="Compact"/>
              <w:jc w:val="left"/>
            </w:pPr>
            <w:r>
              <w:t xml:space="preserve">Run status and queue counts as JSON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GET</w:t>
            </w:r>
            <w:r>
              <w:t xml:space="preserve"> </w:t>
            </w:r>
            <w:r>
              <w:rPr>
                <w:rStyle w:val="VerbatimChar"/>
              </w:rPr>
              <w:t xml:space="preserve">/help</w:t>
            </w:r>
          </w:p>
        </w:tc>
        <w:tc>
          <w:tcPr/>
          <w:p>
            <w:pPr>
              <w:pStyle w:val="Compact"/>
              <w:jc w:val="left"/>
            </w:pPr>
            <w:r>
              <w:t xml:space="preserve">Plain-language help: lists, choices, roles, statement terms</w:t>
            </w:r>
          </w:p>
        </w:tc>
        <w:tc>
          <w:tcPr/>
          <w:p>
            <w:pPr>
              <w:pStyle w:val="Compact"/>
              <w:jc w:val="left"/>
            </w:pPr>
            <w:r>
              <w:t xml:space="preserve">—</w:t>
            </w:r>
          </w:p>
        </w:tc>
        <w:tc>
          <w:tcPr/>
          <w:p>
            <w:pPr>
              <w:pStyle w:val="Compact"/>
              <w:jc w:val="left"/>
            </w:pPr>
            <w:r>
              <w:t xml:space="preserve">—</w:t>
            </w:r>
          </w:p>
        </w:tc>
      </w:tr>
    </w:tbl>
    <w:p>
      <w:pPr>
        <w:pStyle w:val="BodyText"/>
      </w:pPr>
      <w:r>
        <w:t xml:space="preserve">Reviewer decisions, adjustments, sign-off and reopening exist only in the interface, never on the command line, so there is one path to each and it goes through the same controls (ADR-31). Evaluation is a command line entry point (</w:t>
      </w:r>
      <w:r>
        <w:rPr>
          <w:rStyle w:val="VerbatimChar"/>
        </w:rPr>
        <w:t xml:space="preserve">evaluate</w:t>
      </w:r>
      <w:r>
        <w:t xml:space="preserve">), not a route, because it reads ground truth (ADR-11).</w:t>
      </w:r>
    </w:p>
    <w:bookmarkEnd w:id="39"/>
    <w:bookmarkStart w:id="40" w:name="validation-and-error-handling"/>
    <w:p>
      <w:pPr>
        <w:pStyle w:val="Heading2"/>
      </w:pPr>
      <w:r>
        <w:t xml:space="preserve">11. Validation and Error Handling</w:t>
      </w:r>
    </w:p>
    <w:tbl>
      <w:tblPr>
        <w:tblStyle w:val="Table"/>
        <w:tblW w:type="pct" w:w="5000"/>
        <w:tblLook w:firstRow="1" w:lastRow="0" w:firstColumn="0" w:lastColumn="0" w:noHBand="0" w:noVBand="0" w:val="0020"/>
        <w:jc w:val="start"/>
      </w:tblPr>
      <w:tblGrid>
        <w:gridCol w:w="1156"/>
        <w:gridCol w:w="1512"/>
        <w:gridCol w:w="5250"/>
      </w:tblGrid>
      <w:tr>
        <w:trPr>
          <w:tblHeader w:val="true"/>
        </w:trPr>
        <w:tc>
          <w:tcPr/>
          <w:p>
            <w:pPr>
              <w:pStyle w:val="Compact"/>
              <w:jc w:val="left"/>
            </w:pPr>
            <w:r>
              <w:t xml:space="preserve">Class</w:t>
            </w:r>
          </w:p>
        </w:tc>
        <w:tc>
          <w:tcPr/>
          <w:p>
            <w:pPr>
              <w:pStyle w:val="Compact"/>
              <w:jc w:val="left"/>
            </w:pPr>
            <w:r>
              <w:t xml:space="preserve">Raised as</w:t>
            </w:r>
          </w:p>
        </w:tc>
        <w:tc>
          <w:tcPr/>
          <w:p>
            <w:pPr>
              <w:pStyle w:val="Compact"/>
              <w:jc w:val="left"/>
            </w:pPr>
            <w:r>
              <w:t xml:space="preserve">Behaviour</w:t>
            </w:r>
          </w:p>
        </w:tc>
      </w:tr>
      <w:tr>
        <w:tc>
          <w:tcPr/>
          <w:p>
            <w:pPr>
              <w:pStyle w:val="Compact"/>
              <w:jc w:val="left"/>
            </w:pPr>
            <w:r>
              <w:t xml:space="preserve">File validation</w:t>
            </w:r>
          </w:p>
        </w:tc>
        <w:tc>
          <w:tcPr/>
          <w:p>
            <w:pPr>
              <w:pStyle w:val="Compact"/>
              <w:jc w:val="left"/>
            </w:pPr>
            <w:r>
              <w:t xml:space="preserve">VAL-nn results</w:t>
            </w:r>
          </w:p>
        </w:tc>
        <w:tc>
          <w:tcPr/>
          <w:p>
            <w:pPr>
              <w:pStyle w:val="Compact"/>
              <w:jc w:val="left"/>
            </w:pPr>
            <w:r>
              <w:t xml:space="preserve">File-level failures leave the run in</w:t>
            </w:r>
            <w:r>
              <w:t xml:space="preserve"> </w:t>
            </w:r>
            <w:r>
              <w:rPr>
                <w:rStyle w:val="VerbatimChar"/>
              </w:rPr>
              <w:t xml:space="preserve">validation_failed</w:t>
            </w:r>
            <w:r>
              <w:t xml:space="preserve"> </w:t>
            </w:r>
            <w:r>
              <w:t xml:space="preserve">and block matching (CR-17); row-level failures exclude the row; warnings are kept for review. The correction is a new run (ADR-28)</w:t>
            </w:r>
          </w:p>
        </w:tc>
      </w:tr>
      <w:tr>
        <w:tc>
          <w:tcPr/>
          <w:p>
            <w:pPr>
              <w:pStyle w:val="Compact"/>
              <w:jc w:val="left"/>
            </w:pPr>
            <w:r>
              <w:t xml:space="preserve">Input problems</w:t>
            </w:r>
          </w:p>
        </w:tc>
        <w:tc>
          <w:tcPr/>
          <w:p>
            <w:pPr>
              <w:pStyle w:val="Compact"/>
              <w:jc w:val="left"/>
            </w:pPr>
            <w:r>
              <w:rPr>
                <w:rStyle w:val="VerbatimChar"/>
              </w:rPr>
              <w:t xml:space="preserve">AdjustmentInputError</w:t>
            </w:r>
            <w:r>
              <w:t xml:space="preserve">,</w:t>
            </w:r>
            <w:r>
              <w:t xml:space="preserve"> </w:t>
            </w:r>
            <w:r>
              <w:rPr>
                <w:rStyle w:val="VerbatimChar"/>
              </w:rPr>
              <w:t xml:space="preserve">ManualMatchError</w:t>
            </w:r>
            <w:r>
              <w:t xml:space="preserve">,</w:t>
            </w:r>
            <w:r>
              <w:t xml:space="preserve"> </w:t>
            </w:r>
            <w:r>
              <w:rPr>
                <w:rStyle w:val="VerbatimChar"/>
              </w:rPr>
              <w:t xml:space="preserve">PeriodInputError</w:t>
            </w:r>
            <w:r>
              <w:t xml:space="preserve">,</w:t>
            </w:r>
            <w:r>
              <w:t xml:space="preserve"> </w:t>
            </w:r>
            <w:r>
              <w:rPr>
                <w:rStyle w:val="VerbatimChar"/>
              </w:rPr>
              <w:t xml:space="preserve">RunInputError</w:t>
            </w:r>
            <w:r>
              <w:t xml:space="preserve">,</w:t>
            </w:r>
            <w:r>
              <w:t xml:space="preserve"> </w:t>
            </w:r>
            <w:r>
              <w:rPr>
                <w:rStyle w:val="VerbatimChar"/>
              </w:rPr>
              <w:t xml:space="preserve">ImportError_</w:t>
            </w:r>
          </w:p>
        </w:tc>
        <w:tc>
          <w:tcPr/>
          <w:p>
            <w:pPr>
              <w:pStyle w:val="Compact"/>
              <w:jc w:val="left"/>
            </w:pPr>
            <w:r>
              <w:t xml:space="preserve">Every problem listed at once, nothing written, the form is shown again. Not a control, so no BLOCKED_ATTEMPT event</w:t>
            </w:r>
          </w:p>
        </w:tc>
      </w:tr>
      <w:tr>
        <w:tc>
          <w:tcPr/>
          <w:p>
            <w:pPr>
              <w:pStyle w:val="Compact"/>
              <w:jc w:val="left"/>
            </w:pPr>
            <w:r>
              <w:t xml:space="preserve">Control refusal</w:t>
            </w:r>
          </w:p>
        </w:tc>
        <w:tc>
          <w:tcPr/>
          <w:p>
            <w:pPr>
              <w:pStyle w:val="Compact"/>
              <w:jc w:val="left"/>
            </w:pPr>
            <w:r>
              <w:rPr>
                <w:rStyle w:val="VerbatimChar"/>
              </w:rPr>
              <w:t xml:space="preserve">ControlViolation</w:t>
            </w:r>
            <w:r>
              <w:t xml:space="preserve">, E-CTL-001..030</w:t>
            </w:r>
          </w:p>
        </w:tc>
        <w:tc>
          <w:tcPr/>
          <w:p>
            <w:pPr>
              <w:pStyle w:val="Compact"/>
              <w:jc w:val="left"/>
            </w:pPr>
            <w:r>
              <w:t xml:space="preserve">Permission, level, offered action, comment, detail view, separation of duties, batch contents, lock, stage, state transition. Rolled back; a BLOCKED_ATTEMPT event names the rule; the screen shows rule and code</w:t>
            </w:r>
          </w:p>
        </w:tc>
      </w:tr>
      <w:tr>
        <w:tc>
          <w:tcPr/>
          <w:p>
            <w:pPr>
              <w:pStyle w:val="Compact"/>
              <w:jc w:val="left"/>
            </w:pPr>
            <w:r>
              <w:t xml:space="preserve">Conflict</w:t>
            </w:r>
          </w:p>
        </w:tc>
        <w:tc>
          <w:tcPr/>
          <w:p>
            <w:pPr>
              <w:pStyle w:val="Compact"/>
              <w:jc w:val="left"/>
            </w:pPr>
            <w:r>
              <w:t xml:space="preserve">E-CTL-030 (STATE)</w:t>
            </w:r>
          </w:p>
        </w:tc>
        <w:tc>
          <w:tcPr/>
          <w:p>
            <w:pPr>
              <w:pStyle w:val="Compact"/>
              <w:jc w:val="left"/>
            </w:pPr>
            <w:r>
              <w:t xml:space="preserve">Already decided, already closed, a record another match proposes, a run at the wrong stage. Handled as a control refusal, so it is also evidenced (one class rather than a separate E-CON range)</w:t>
            </w:r>
          </w:p>
        </w:tc>
      </w:tr>
      <w:tr>
        <w:tc>
          <w:tcPr/>
          <w:p>
            <w:pPr>
              <w:pStyle w:val="Compact"/>
              <w:jc w:val="left"/>
            </w:pPr>
            <w:r>
              <w:t xml:space="preserve">Not found</w:t>
            </w:r>
          </w:p>
        </w:tc>
        <w:tc>
          <w:tcPr/>
          <w:p>
            <w:pPr>
              <w:pStyle w:val="Compact"/>
              <w:jc w:val="left"/>
            </w:pPr>
            <w:r>
              <w:t xml:space="preserve">404 page</w:t>
            </w:r>
          </w:p>
        </w:tc>
        <w:tc>
          <w:tcPr/>
          <w:p>
            <w:pPr>
              <w:pStyle w:val="Compact"/>
              <w:jc w:val="left"/>
            </w:pPr>
            <w:r>
              <w:t xml:space="preserve">Unknown run, recommendation, report or queue</w:t>
            </w:r>
          </w:p>
        </w:tc>
      </w:tr>
      <w:tr>
        <w:tc>
          <w:tcPr/>
          <w:p>
            <w:pPr>
              <w:pStyle w:val="Compact"/>
              <w:jc w:val="left"/>
            </w:pPr>
            <w:r>
              <w:t xml:space="preserve">System</w:t>
            </w:r>
          </w:p>
        </w:tc>
        <w:tc>
          <w:tcPr/>
          <w:p>
            <w:pPr>
              <w:pStyle w:val="Compact"/>
              <w:jc w:val="left"/>
            </w:pPr>
            <w:r>
              <w:t xml:space="preserve">Server error</w:t>
            </w:r>
          </w:p>
        </w:tc>
        <w:tc>
          <w:tcPr/>
          <w:p>
            <w:pPr>
              <w:pStyle w:val="Compact"/>
              <w:jc w:val="left"/>
            </w:pPr>
            <w:r>
              <w:t xml:space="preserve">The transaction rolls back and nothing is saved; the stack trace stays in the server console</w:t>
            </w:r>
          </w:p>
        </w:tc>
      </w:tr>
    </w:tbl>
    <w:p>
      <w:pPr>
        <w:pStyle w:val="BodyText"/>
      </w:pPr>
      <w:r>
        <w:t xml:space="preserve">Rules that apply everywhere:</w:t>
      </w:r>
    </w:p>
    <w:p>
      <w:pPr>
        <w:numPr>
          <w:ilvl w:val="0"/>
          <w:numId w:val="1002"/>
        </w:numPr>
        <w:pStyle w:val="Compact"/>
      </w:pPr>
      <w:r>
        <w:t xml:space="preserve">No partial writes. Every handler wraps its work in one transaction.</w:t>
      </w:r>
    </w:p>
    <w:p>
      <w:pPr>
        <w:numPr>
          <w:ilvl w:val="0"/>
          <w:numId w:val="1002"/>
        </w:numPr>
        <w:pStyle w:val="Compact"/>
      </w:pPr>
      <w:r>
        <w:t xml:space="preserve">An audit write failure rolls back the action that caused it (CR-08).</w:t>
      </w:r>
    </w:p>
    <w:p>
      <w:pPr>
        <w:numPr>
          <w:ilvl w:val="0"/>
          <w:numId w:val="1002"/>
        </w:numPr>
        <w:pStyle w:val="Compact"/>
      </w:pPr>
      <w:r>
        <w:t xml:space="preserve">Messages name the rule or test that failed and never blame the user.</w:t>
      </w:r>
    </w:p>
    <w:p>
      <w:pPr>
        <w:numPr>
          <w:ilvl w:val="0"/>
          <w:numId w:val="1002"/>
        </w:numPr>
        <w:pStyle w:val="Compact"/>
      </w:pPr>
      <w:r>
        <w:t xml:space="preserve">Stack traces never reach the screen.</w:t>
      </w:r>
    </w:p>
    <w:bookmarkEnd w:id="40"/>
    <w:bookmarkStart w:id="41" w:name="security"/>
    <w:p>
      <w:pPr>
        <w:pStyle w:val="Heading2"/>
      </w:pPr>
      <w:r>
        <w:t xml:space="preserve">12. Security</w:t>
      </w:r>
    </w:p>
    <w:p>
      <w:pPr>
        <w:pStyle w:val="FirstParagraph"/>
      </w:pPr>
      <w:r>
        <w:t xml:space="preserve">The prototype runs locally on synthetic data with no authentication (DD-05). Within that scope:</w:t>
      </w:r>
    </w:p>
    <w:tbl>
      <w:tblPr>
        <w:tblStyle w:val="Table"/>
        <w:tblW w:type="pct" w:w="5000"/>
        <w:tblLook w:firstRow="1" w:lastRow="0" w:firstColumn="0" w:lastColumn="0" w:noHBand="0" w:noVBand="0" w:val="0020"/>
        <w:jc w:val="start"/>
      </w:tblPr>
      <w:tblGrid>
        <w:gridCol w:w="1564"/>
        <w:gridCol w:w="6355"/>
      </w:tblGrid>
      <w:tr>
        <w:trPr>
          <w:tblHeader w:val="true"/>
        </w:trPr>
        <w:tc>
          <w:tcPr/>
          <w:p>
            <w:pPr>
              <w:pStyle w:val="Compact"/>
              <w:jc w:val="left"/>
            </w:pPr>
            <w:r>
              <w:t xml:space="preserve">Concern</w:t>
            </w:r>
          </w:p>
        </w:tc>
        <w:tc>
          <w:tcPr/>
          <w:p>
            <w:pPr>
              <w:pStyle w:val="Compact"/>
              <w:jc w:val="left"/>
            </w:pPr>
            <w:r>
              <w:t xml:space="preserve">Design</w:t>
            </w:r>
          </w:p>
        </w:tc>
      </w:tr>
      <w:tr>
        <w:tc>
          <w:tcPr/>
          <w:p>
            <w:pPr>
              <w:pStyle w:val="Compact"/>
              <w:jc w:val="left"/>
            </w:pPr>
            <w:r>
              <w:t xml:space="preserve">Identity</w:t>
            </w:r>
          </w:p>
        </w:tc>
        <w:tc>
          <w:tcPr/>
          <w:p>
            <w:pPr>
              <w:pStyle w:val="Compact"/>
              <w:jc w:val="left"/>
            </w:pPr>
            <w:r>
              <w:t xml:space="preserve">Selected from a list, stored in a signed session cookie, recorded on every decision and as IDENTITY_SELECTED. Not authentication, and documented as such. The signing key comes from</w:t>
            </w:r>
            <w:r>
              <w:t xml:space="preserve"> </w:t>
            </w:r>
            <w:r>
              <w:rPr>
                <w:rStyle w:val="VerbatimChar"/>
              </w:rPr>
              <w:t xml:space="preserve">BANKREC_SESSION_KEY</w:t>
            </w:r>
            <w:r>
              <w:t xml:space="preserve">, or is generated per start</w:t>
            </w:r>
          </w:p>
        </w:tc>
      </w:tr>
      <w:tr>
        <w:tc>
          <w:tcPr/>
          <w:p>
            <w:pPr>
              <w:pStyle w:val="Compact"/>
              <w:jc w:val="left"/>
            </w:pPr>
            <w:r>
              <w:t xml:space="preserve">Authorization</w:t>
            </w:r>
          </w:p>
        </w:tc>
        <w:tc>
          <w:tcPr/>
          <w:p>
            <w:pPr>
              <w:pStyle w:val="Compact"/>
              <w:jc w:val="left"/>
            </w:pPr>
            <w:r>
              <w:t xml:space="preserve">Every state-changing route calls a service, which checks role and control rules. The interface shows unavailable actions disabled with the blocking rule; the screen is guidance, never the control</w:t>
            </w:r>
          </w:p>
        </w:tc>
      </w:tr>
      <w:tr>
        <w:tc>
          <w:tcPr/>
          <w:p>
            <w:pPr>
              <w:pStyle w:val="Compact"/>
              <w:jc w:val="left"/>
            </w:pPr>
            <w:r>
              <w:t xml:space="preserve">Injection</w:t>
            </w:r>
          </w:p>
        </w:tc>
        <w:tc>
          <w:tcPr/>
          <w:p>
            <w:pPr>
              <w:pStyle w:val="Compact"/>
              <w:jc w:val="left"/>
            </w:pPr>
            <w:r>
              <w:t xml:space="preserve">Parameterized statements only; no string-built SQL</w:t>
            </w:r>
          </w:p>
        </w:tc>
      </w:tr>
      <w:tr>
        <w:tc>
          <w:tcPr/>
          <w:p>
            <w:pPr>
              <w:pStyle w:val="Compact"/>
              <w:jc w:val="left"/>
            </w:pPr>
            <w:r>
              <w:t xml:space="preserve">Cross-site scripting</w:t>
            </w:r>
          </w:p>
        </w:tc>
        <w:tc>
          <w:tcPr/>
          <w:p>
            <w:pPr>
              <w:pStyle w:val="Compact"/>
              <w:jc w:val="left"/>
            </w:pPr>
            <w:r>
              <w:t xml:space="preserve">Jinja2 autoescaping on; bank descriptions are treated as untrusted text</w:t>
            </w:r>
          </w:p>
        </w:tc>
      </w:tr>
      <w:tr>
        <w:tc>
          <w:tcPr/>
          <w:p>
            <w:pPr>
              <w:pStyle w:val="Compact"/>
              <w:jc w:val="left"/>
            </w:pPr>
            <w:r>
              <w:t xml:space="preserve">Cross-site request forgery</w:t>
            </w:r>
          </w:p>
        </w:tc>
        <w:tc>
          <w:tcPr/>
          <w:p>
            <w:pPr>
              <w:pStyle w:val="Compact"/>
              <w:jc w:val="left"/>
            </w:pPr>
            <w:r>
              <w:t xml:space="preserve">The session cookie is</w:t>
            </w:r>
            <w:r>
              <w:t xml:space="preserve"> </w:t>
            </w:r>
            <w:r>
              <w:rPr>
                <w:rStyle w:val="VerbatimChar"/>
              </w:rPr>
              <w:t xml:space="preserve">SameSite=Lax</w:t>
            </w:r>
            <w:r>
              <w:t xml:space="preserve">, so browsers do not send it with a form posted from another site; such a post arrives with no identity and is refused. No separate form token: the application listens on 127.0.0.1 only</w:t>
            </w:r>
          </w:p>
        </w:tc>
      </w:tr>
      <w:tr>
        <w:tc>
          <w:tcPr/>
          <w:p>
            <w:pPr>
              <w:pStyle w:val="Compact"/>
              <w:jc w:val="left"/>
            </w:pPr>
            <w:r>
              <w:t xml:space="preserve">File upload</w:t>
            </w:r>
          </w:p>
        </w:tc>
        <w:tc>
          <w:tcPr/>
          <w:p>
            <w:pPr>
              <w:pStyle w:val="Compact"/>
              <w:jc w:val="left"/>
            </w:pPr>
            <w:r>
              <w:t xml:space="preserve">Parsed with the standard CSV reader, never evaluated, and validated before anything is matched. Written to a temporary directory under fixed names, so the uploaded file name is never used as a path. No upload size limit: a stated limit of a local prototype</w:t>
            </w:r>
          </w:p>
        </w:tc>
      </w:tr>
      <w:tr>
        <w:tc>
          <w:tcPr/>
          <w:p>
            <w:pPr>
              <w:pStyle w:val="Compact"/>
              <w:jc w:val="left"/>
            </w:pPr>
            <w:r>
              <w:t xml:space="preserve">Secrets</w:t>
            </w:r>
          </w:p>
        </w:tc>
        <w:tc>
          <w:tcPr/>
          <w:p>
            <w:pPr>
              <w:pStyle w:val="Compact"/>
              <w:jc w:val="left"/>
            </w:pPr>
            <w:r>
              <w:t xml:space="preserve">The optional provider key is read from</w:t>
            </w:r>
            <w:r>
              <w:t xml:space="preserve"> </w:t>
            </w:r>
            <w:r>
              <w:rPr>
                <w:rStyle w:val="VerbatimChar"/>
              </w:rPr>
              <w:t xml:space="preserve">.env</w:t>
            </w:r>
            <w:r>
              <w:t xml:space="preserve">, which</w:t>
            </w:r>
            <w:r>
              <w:t xml:space="preserve"> </w:t>
            </w:r>
            <w:r>
              <w:rPr>
                <w:rStyle w:val="VerbatimChar"/>
              </w:rPr>
              <w:t xml:space="preserve">.gitignore</w:t>
            </w:r>
            <w:r>
              <w:t xml:space="preserve"> </w:t>
            </w:r>
            <w:r>
              <w:t xml:space="preserve">excludes. No key is required to run the system</w:t>
            </w:r>
          </w:p>
        </w:tc>
      </w:tr>
      <w:tr>
        <w:tc>
          <w:tcPr/>
          <w:p>
            <w:pPr>
              <w:pStyle w:val="Compact"/>
              <w:jc w:val="left"/>
            </w:pPr>
            <w:r>
              <w:t xml:space="preserve">External calls</w:t>
            </w:r>
          </w:p>
        </w:tc>
        <w:tc>
          <w:tcPr/>
          <w:p>
            <w:pPr>
              <w:pStyle w:val="Compact"/>
              <w:jc w:val="left"/>
            </w:pPr>
            <w:r>
              <w:t xml:space="preserve">Disabled by default. Enabling requires both a configuration flag and a</w:t>
            </w:r>
            <w:r>
              <w:t xml:space="preserve"> </w:t>
            </w:r>
            <w:r>
              <w:rPr>
                <w:rStyle w:val="VerbatimChar"/>
              </w:rPr>
              <w:t xml:space="preserve">data_classification = synthetic</w:t>
            </w:r>
            <w:r>
              <w:t xml:space="preserve"> </w:t>
            </w:r>
            <w:r>
              <w:t xml:space="preserve">assertion; the adapter refuses to send otherwise (NFR-05)</w:t>
            </w:r>
          </w:p>
        </w:tc>
      </w:tr>
      <w:tr>
        <w:tc>
          <w:tcPr/>
          <w:p>
            <w:pPr>
              <w:pStyle w:val="Compact"/>
              <w:jc w:val="left"/>
            </w:pPr>
            <w:r>
              <w:t xml:space="preserve">Logging</w:t>
            </w:r>
          </w:p>
        </w:tc>
        <w:tc>
          <w:tcPr/>
          <w:p>
            <w:pPr>
              <w:pStyle w:val="Compact"/>
              <w:jc w:val="left"/>
            </w:pPr>
            <w:r>
              <w:t xml:space="preserve">No file contents in logs; identifiers only</w:t>
            </w:r>
          </w:p>
        </w:tc>
      </w:tr>
      <w:tr>
        <w:tc>
          <w:tcPr/>
          <w:p>
            <w:pPr>
              <w:pStyle w:val="Compact"/>
              <w:jc w:val="left"/>
            </w:pPr>
            <w:r>
              <w:t xml:space="preserve">Database</w:t>
            </w:r>
          </w:p>
        </w:tc>
        <w:tc>
          <w:tcPr/>
          <w:p>
            <w:pPr>
              <w:pStyle w:val="Compact"/>
              <w:jc w:val="left"/>
            </w:pPr>
            <w:r>
              <w:t xml:space="preserve">Local file; the append-only triggers and hash chain are the integrity control, with limits stated in section 5.3</w:t>
            </w:r>
          </w:p>
        </w:tc>
      </w:tr>
    </w:tbl>
    <w:bookmarkEnd w:id="41"/>
    <w:bookmarkStart w:id="42" w:name="roles-and-permissions"/>
    <w:p>
      <w:pPr>
        <w:pStyle w:val="Heading2"/>
      </w:pPr>
      <w:r>
        <w:t xml:space="preserve">13. Roles and Permissions</w:t>
      </w:r>
    </w:p>
    <w:p>
      <w:pPr>
        <w:pStyle w:val="FirstParagraph"/>
      </w:pPr>
      <w:r>
        <w:t xml:space="preserve">Checks are implemented once, in</w:t>
      </w:r>
      <w:r>
        <w:t xml:space="preserve"> </w:t>
      </w:r>
      <w:r>
        <w:rPr>
          <w:rStyle w:val="VerbatimChar"/>
        </w:rPr>
        <w:t xml:space="preserve">app/control</w:t>
      </w:r>
      <w:r>
        <w:t xml:space="preserve">, and called by services rather than routers, so a new route cannot bypass them.</w:t>
      </w:r>
    </w:p>
    <w:tbl>
      <w:tblPr>
        <w:tblStyle w:val="Table"/>
        <w:tblW w:type="pct" w:w="5000"/>
        <w:tblLook w:firstRow="1" w:lastRow="0" w:firstColumn="0" w:lastColumn="0" w:noHBand="0" w:noVBand="0" w:val="0020"/>
        <w:jc w:val="start"/>
      </w:tblPr>
      <w:tblGrid>
        <w:gridCol w:w="3107"/>
        <w:gridCol w:w="1203"/>
        <w:gridCol w:w="1203"/>
        <w:gridCol w:w="1203"/>
        <w:gridCol w:w="1203"/>
      </w:tblGrid>
      <w:tr>
        <w:trPr>
          <w:tblHeader w:val="true"/>
        </w:trPr>
        <w:tc>
          <w:tcPr/>
          <w:p>
            <w:pPr>
              <w:pStyle w:val="Compact"/>
              <w:jc w:val="left"/>
            </w:pPr>
            <w:r>
              <w:t xml:space="preserve">Action</w:t>
            </w:r>
          </w:p>
        </w:tc>
        <w:tc>
          <w:tcPr/>
          <w:p>
            <w:pPr>
              <w:pStyle w:val="Compact"/>
              <w:jc w:val="left"/>
            </w:pPr>
            <w:r>
              <w:t xml:space="preserve">ROL-01</w:t>
            </w:r>
          </w:p>
        </w:tc>
        <w:tc>
          <w:tcPr/>
          <w:p>
            <w:pPr>
              <w:pStyle w:val="Compact"/>
              <w:jc w:val="left"/>
            </w:pPr>
            <w:r>
              <w:t xml:space="preserve">ROL-02</w:t>
            </w:r>
          </w:p>
        </w:tc>
        <w:tc>
          <w:tcPr/>
          <w:p>
            <w:pPr>
              <w:pStyle w:val="Compact"/>
              <w:jc w:val="left"/>
            </w:pPr>
            <w:r>
              <w:t xml:space="preserve">ROL-03</w:t>
            </w:r>
          </w:p>
        </w:tc>
        <w:tc>
          <w:tcPr/>
          <w:p>
            <w:pPr>
              <w:pStyle w:val="Compact"/>
              <w:jc w:val="left"/>
            </w:pPr>
            <w:r>
              <w:t xml:space="preserve">Rule</w:t>
            </w:r>
          </w:p>
        </w:tc>
      </w:tr>
      <w:tr>
        <w:tc>
          <w:tcPr/>
          <w:p>
            <w:pPr>
              <w:pStyle w:val="Compact"/>
              <w:jc w:val="left"/>
            </w:pPr>
            <w:r>
              <w:t xml:space="preserve">Import and start a run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CR-17</w:t>
            </w:r>
          </w:p>
        </w:tc>
      </w:tr>
      <w:tr>
        <w:tc>
          <w:tcPr/>
          <w:p>
            <w:pPr>
              <w:pStyle w:val="Compact"/>
              <w:jc w:val="left"/>
            </w:pPr>
            <w:r>
              <w:t xml:space="preserve">Decide CAT-01..04 items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CR-01</w:t>
            </w:r>
          </w:p>
        </w:tc>
      </w:tr>
      <w:tr>
        <w:tc>
          <w:tcPr/>
          <w:p>
            <w:pPr>
              <w:pStyle w:val="Compact"/>
              <w:jc w:val="left"/>
            </w:pPr>
            <w:r>
              <w:t xml:space="preserve">Batch approve CAT-01</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CR-11</w:t>
            </w:r>
          </w:p>
        </w:tc>
      </w:tr>
      <w:tr>
        <w:tc>
          <w:tcPr/>
          <w:p>
            <w:pPr>
              <w:pStyle w:val="Compact"/>
              <w:jc w:val="left"/>
            </w:pPr>
            <w:r>
              <w:t xml:space="preserve">Escalate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Decide CAT-05 or escalated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CR-02, CR-03</w:t>
            </w:r>
          </w:p>
        </w:tc>
      </w:tr>
      <w:tr>
        <w:tc>
          <w:tcPr/>
          <w:p>
            <w:pPr>
              <w:pStyle w:val="Compact"/>
              <w:jc w:val="left"/>
            </w:pPr>
            <w:r>
              <w:t xml:space="preserve">Pair an exception by hand</w:t>
            </w:r>
          </w:p>
        </w:tc>
        <w:tc>
          <w:tcPr/>
          <w:p>
            <w:pPr>
              <w:pStyle w:val="Compact"/>
              <w:jc w:val="left"/>
            </w:pPr>
            <w:r>
              <w:t xml:space="preserve">by level</w:t>
            </w:r>
          </w:p>
        </w:tc>
        <w:tc>
          <w:tcPr/>
          <w:p>
            <w:pPr>
              <w:pStyle w:val="Compact"/>
              <w:jc w:val="left"/>
            </w:pPr>
            <w:r>
              <w:t xml:space="preserve">by level</w:t>
            </w:r>
          </w:p>
        </w:tc>
        <w:tc>
          <w:tcPr/>
          <w:p>
            <w:pPr>
              <w:pStyle w:val="Compact"/>
              <w:jc w:val="left"/>
            </w:pPr>
            <w:r>
              <w:t xml:space="preserve">senior level only</w:t>
            </w:r>
          </w:p>
        </w:tc>
        <w:tc>
          <w:tcPr/>
          <w:p>
            <w:pPr>
              <w:pStyle w:val="Compact"/>
              <w:jc w:val="left"/>
            </w:pPr>
            <w:r>
              <w:t xml:space="preserve">CR-02, CR-03</w:t>
            </w:r>
          </w:p>
        </w:tc>
      </w:tr>
      <w:tr>
        <w:tc>
          <w:tcPr/>
          <w:p>
            <w:pPr>
              <w:pStyle w:val="Compact"/>
              <w:jc w:val="left"/>
            </w:pPr>
            <w:r>
              <w:t xml:space="preserve">Propose an adjustment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Approve an adjustment</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CR-04</w:t>
            </w:r>
          </w:p>
        </w:tc>
      </w:tr>
      <w:tr>
        <w:tc>
          <w:tcPr/>
          <w:p>
            <w:pPr>
              <w:pStyle w:val="Compact"/>
              <w:jc w:val="left"/>
            </w:pPr>
            <w:r>
              <w:t xml:space="preserve">Sign off and close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CR-05, CR-10</w:t>
            </w:r>
          </w:p>
        </w:tc>
      </w:tr>
      <w:tr>
        <w:tc>
          <w:tcPr/>
          <w:p>
            <w:pPr>
              <w:pStyle w:val="Compact"/>
              <w:jc w:val="left"/>
            </w:pPr>
            <w:r>
              <w:t xml:space="preserve">Request reopening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Approve reopening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CR-06</w:t>
            </w:r>
          </w:p>
        </w:tc>
      </w:tr>
      <w:tr>
        <w:tc>
          <w:tcPr/>
          <w:p>
            <w:pPr>
              <w:pStyle w:val="Compact"/>
              <w:jc w:val="left"/>
            </w:pPr>
            <w:r>
              <w:t xml:space="preserve">Reverse a decision</w:t>
            </w:r>
          </w:p>
        </w:tc>
        <w:tc>
          <w:tcPr/>
          <w:p>
            <w:pPr>
              <w:pStyle w:val="Compact"/>
              <w:jc w:val="left"/>
            </w:pPr>
            <w:r>
              <w:t xml:space="preserve">no</w:t>
            </w:r>
          </w:p>
        </w:tc>
        <w:tc>
          <w:tcPr/>
          <w:p>
            <w:pPr>
              <w:pStyle w:val="Compact"/>
              <w:jc w:val="left"/>
            </w:pPr>
            <w:r>
              <w:t xml:space="preserve">yes, not their own</w:t>
            </w:r>
          </w:p>
        </w:tc>
        <w:tc>
          <w:tcPr/>
          <w:p>
            <w:pPr>
              <w:pStyle w:val="Compact"/>
              <w:jc w:val="left"/>
            </w:pPr>
            <w:r>
              <w:t xml:space="preserve">yes, not their own</w:t>
            </w:r>
          </w:p>
        </w:tc>
        <w:tc>
          <w:tcPr/>
          <w:p>
            <w:pPr>
              <w:pStyle w:val="Compact"/>
              <w:jc w:val="left"/>
            </w:pPr>
            <w:r>
              <w:t xml:space="preserve">CR-19</w:t>
            </w:r>
          </w:p>
        </w:tc>
      </w:tr>
      <w:tr>
        <w:tc>
          <w:tcPr/>
          <w:p>
            <w:pPr>
              <w:pStyle w:val="Compact"/>
              <w:jc w:val="left"/>
            </w:pPr>
            <w:r>
              <w:t xml:space="preserve">View reports and audit log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bl>
    <w:p>
      <w:pPr>
        <w:pStyle w:val="BodyText"/>
      </w:pPr>
      <w:r>
        <w:t xml:space="preserve">Separation-of-duties checks compare user identifiers across records: the escalating user on the item, the preparer on the adjustment, the first-level reviewers in the run, and the requester on the reopen request.</w:t>
      </w:r>
    </w:p>
    <w:p>
      <w:pPr>
        <w:pStyle w:val="BodyText"/>
      </w:pPr>
      <w:r>
        <w:t xml:space="preserve">CR-05 and CR-06 cannot be reached through normal use, because the matrix already keeps the Controller out of first-level review and out of reopen requests. Both checks are still enforced and tested directly, as defence in depth.</w:t>
      </w:r>
    </w:p>
    <w:bookmarkEnd w:id="42"/>
    <w:bookmarkStart w:id="43" w:name="configuration"/>
    <w:p>
      <w:pPr>
        <w:pStyle w:val="Heading2"/>
      </w:pPr>
      <w:r>
        <w:t xml:space="preserve">14. Configuration</w:t>
      </w:r>
    </w:p>
    <w:tbl>
      <w:tblPr>
        <w:tblStyle w:val="Table"/>
        <w:tblW w:type="pct" w:w="5000"/>
        <w:tblLook w:firstRow="1" w:lastRow="0" w:firstColumn="0" w:lastColumn="0" w:noHBand="0" w:noVBand="0" w:val="0020"/>
        <w:jc w:val="start"/>
      </w:tblPr>
      <w:tblGrid>
        <w:gridCol w:w="2318"/>
        <w:gridCol w:w="5601"/>
      </w:tblGrid>
      <w:tr>
        <w:trPr>
          <w:tblHeader w:val="true"/>
        </w:trPr>
        <w:tc>
          <w:tcPr/>
          <w:p>
            <w:pPr>
              <w:pStyle w:val="Compact"/>
              <w:jc w:val="left"/>
            </w:pPr>
            <w:r>
              <w:t xml:space="preserve">Source</w:t>
            </w:r>
          </w:p>
        </w:tc>
        <w:tc>
          <w:tcPr/>
          <w:p>
            <w:pPr>
              <w:pStyle w:val="Compact"/>
              <w:jc w:val="left"/>
            </w:pPr>
            <w:r>
              <w:t xml:space="preserve">Holds</w:t>
            </w:r>
          </w:p>
        </w:tc>
      </w:tr>
      <w:tr>
        <w:tc>
          <w:tcPr/>
          <w:p>
            <w:pPr>
              <w:pStyle w:val="Compact"/>
              <w:jc w:val="left"/>
            </w:pPr>
            <w:r>
              <w:rPr>
                <w:rStyle w:val="VerbatimChar"/>
              </w:rPr>
              <w:t xml:space="preserve">config/default.toml</w:t>
            </w:r>
          </w:p>
        </w:tc>
        <w:tc>
          <w:tcPr/>
          <w:p>
            <w:pPr>
              <w:pStyle w:val="Compact"/>
              <w:jc w:val="left"/>
            </w:pPr>
            <w:r>
              <w:t xml:space="preserve">PRM-01..10, feature weights, model version label, report output directory</w:t>
            </w:r>
          </w:p>
        </w:tc>
      </w:tr>
      <w:tr>
        <w:tc>
          <w:tcPr/>
          <w:p>
            <w:pPr>
              <w:pStyle w:val="Compact"/>
              <w:jc w:val="left"/>
            </w:pPr>
            <w:r>
              <w:rPr>
                <w:rStyle w:val="VerbatimChar"/>
              </w:rPr>
              <w:t xml:space="preserve">config/local.toml</w:t>
            </w:r>
          </w:p>
        </w:tc>
        <w:tc>
          <w:tcPr/>
          <w:p>
            <w:pPr>
              <w:pStyle w:val="Compact"/>
              <w:jc w:val="left"/>
            </w:pPr>
            <w:r>
              <w:t xml:space="preserve">Optional overrides, ignored by Git</w:t>
            </w:r>
          </w:p>
        </w:tc>
      </w:tr>
      <w:tr>
        <w:tc>
          <w:tcPr/>
          <w:p>
            <w:pPr>
              <w:pStyle w:val="Compact"/>
              <w:jc w:val="left"/>
            </w:pPr>
            <w:r>
              <w:rPr>
                <w:rStyle w:val="VerbatimChar"/>
              </w:rPr>
              <w:t xml:space="preserve">.env</w:t>
            </w:r>
          </w:p>
        </w:tc>
        <w:tc>
          <w:tcPr/>
          <w:p>
            <w:pPr>
              <w:pStyle w:val="Compact"/>
              <w:jc w:val="left"/>
            </w:pPr>
            <w:r>
              <w:t xml:space="preserve">Optional GenAI provider key and the synthetic-data assertion flag</w:t>
            </w:r>
          </w:p>
        </w:tc>
      </w:tr>
    </w:tbl>
    <w:p>
      <w:pPr>
        <w:pStyle w:val="BodyText"/>
      </w:pPr>
      <w:r>
        <w:t xml:space="preserve">At run creation the effective values are copied into</w:t>
      </w:r>
      <w:r>
        <w:t xml:space="preserve"> </w:t>
      </w:r>
      <w:r>
        <w:rPr>
          <w:rStyle w:val="VerbatimChar"/>
        </w:rPr>
        <w:t xml:space="preserve">reconciliation_run.parameter_snapshot</w:t>
      </w:r>
      <w:r>
        <w:t xml:space="preserve">. Reports and the evaluation read the snapshot, not the current configuration, so a later change cannot silently alter what a closed period reported (NFR-01).</w:t>
      </w:r>
    </w:p>
    <w:bookmarkEnd w:id="43"/>
    <w:bookmarkStart w:id="44" w:name="performance"/>
    <w:p>
      <w:pPr>
        <w:pStyle w:val="Heading2"/>
      </w:pPr>
      <w:r>
        <w:t xml:space="preserve">15. Performance</w:t>
      </w:r>
    </w:p>
    <w:tbl>
      <w:tblPr>
        <w:tblStyle w:val="Table"/>
        <w:tblW w:type="pct" w:w="5000"/>
        <w:tblLook w:firstRow="1" w:lastRow="0" w:firstColumn="0" w:lastColumn="0" w:noHBand="0" w:noVBand="0" w:val="0020"/>
        <w:jc w:val="start"/>
      </w:tblPr>
      <w:tblGrid>
        <w:gridCol w:w="1335"/>
        <w:gridCol w:w="6584"/>
      </w:tblGrid>
      <w:tr>
        <w:trPr>
          <w:tblHeader w:val="true"/>
        </w:trPr>
        <w:tc>
          <w:tcPr/>
          <w:p>
            <w:pPr>
              <w:pStyle w:val="Compact"/>
              <w:jc w:val="left"/>
            </w:pPr>
            <w:r>
              <w:t xml:space="preserve">Point</w:t>
            </w:r>
          </w:p>
        </w:tc>
        <w:tc>
          <w:tcPr/>
          <w:p>
            <w:pPr>
              <w:pStyle w:val="Compact"/>
              <w:jc w:val="left"/>
            </w:pPr>
            <w:r>
              <w:t xml:space="preserve">Design</w:t>
            </w:r>
          </w:p>
        </w:tc>
      </w:tr>
      <w:tr>
        <w:tc>
          <w:tcPr/>
          <w:p>
            <w:pPr>
              <w:pStyle w:val="Compact"/>
              <w:jc w:val="left"/>
            </w:pPr>
            <w:r>
              <w:t xml:space="preserve">Target</w:t>
            </w:r>
          </w:p>
        </w:tc>
        <w:tc>
          <w:tcPr/>
          <w:p>
            <w:pPr>
              <w:pStyle w:val="Compact"/>
              <w:jc w:val="left"/>
            </w:pPr>
            <w:r>
              <w:t xml:space="preserve">A full run from import to report package in under two minutes on a laptop (NFR-07)</w:t>
            </w:r>
          </w:p>
        </w:tc>
      </w:tr>
      <w:tr>
        <w:tc>
          <w:tcPr/>
          <w:p>
            <w:pPr>
              <w:pStyle w:val="Compact"/>
              <w:jc w:val="left"/>
            </w:pPr>
            <w:r>
              <w:t xml:space="preserve">Candidate generation</w:t>
            </w:r>
          </w:p>
        </w:tc>
        <w:tc>
          <w:tcPr/>
          <w:p>
            <w:pPr>
              <w:pStyle w:val="Compact"/>
              <w:jc w:val="left"/>
            </w:pPr>
            <w:r>
              <w:t xml:space="preserve">Blocked by signed effect, date window and amount, using the indexes in</w:t>
            </w:r>
            <w:r>
              <w:t xml:space="preserve"> </w:t>
            </w:r>
            <w:r>
              <w:rPr>
                <w:rStyle w:val="VerbatimChar"/>
              </w:rPr>
              <w:t xml:space="preserve">schema.sql</w:t>
            </w:r>
            <w:r>
              <w:t xml:space="preserve">, so each item compares against tens of rows rather than the whole period</w:t>
            </w:r>
          </w:p>
        </w:tc>
      </w:tr>
      <w:tr>
        <w:tc>
          <w:tcPr/>
          <w:p>
            <w:pPr>
              <w:pStyle w:val="Compact"/>
              <w:jc w:val="left"/>
            </w:pPr>
            <w:r>
              <w:t xml:space="preserve">Group search</w:t>
            </w:r>
          </w:p>
        </w:tc>
        <w:tc>
          <w:tcPr/>
          <w:p>
            <w:pPr>
              <w:pStyle w:val="Compact"/>
              <w:jc w:val="left"/>
            </w:pPr>
            <w:r>
              <w:t xml:space="preserve">Depth-limited and pruned, capped by PRM-04 and PRM-05, with early exit after five solutions</w:t>
            </w:r>
          </w:p>
        </w:tc>
      </w:tr>
      <w:tr>
        <w:tc>
          <w:tcPr/>
          <w:p>
            <w:pPr>
              <w:pStyle w:val="Compact"/>
              <w:jc w:val="left"/>
            </w:pPr>
            <w:r>
              <w:t xml:space="preserve">Text similarity</w:t>
            </w:r>
          </w:p>
        </w:tc>
        <w:tc>
          <w:tcPr/>
          <w:p>
            <w:pPr>
              <w:pStyle w:val="Compact"/>
              <w:jc w:val="left"/>
            </w:pPr>
            <w:r>
              <w:t xml:space="preserve">Computed only for candidates that survive blocking</w:t>
            </w:r>
          </w:p>
        </w:tc>
      </w:tr>
      <w:tr>
        <w:tc>
          <w:tcPr/>
          <w:p>
            <w:pPr>
              <w:pStyle w:val="Compact"/>
              <w:jc w:val="left"/>
            </w:pPr>
            <w:r>
              <w:t xml:space="preserve">Reports</w:t>
            </w:r>
          </w:p>
        </w:tc>
        <w:tc>
          <w:tcPr/>
          <w:p>
            <w:pPr>
              <w:pStyle w:val="Compact"/>
              <w:jc w:val="left"/>
            </w:pPr>
            <w:r>
              <w:t xml:space="preserve">Single pass per report with indexed queries</w:t>
            </w:r>
          </w:p>
        </w:tc>
      </w:tr>
      <w:tr>
        <w:tc>
          <w:tcPr/>
          <w:p>
            <w:pPr>
              <w:pStyle w:val="Compact"/>
              <w:jc w:val="left"/>
            </w:pPr>
            <w:r>
              <w:t xml:space="preserve">Measurement</w:t>
            </w:r>
          </w:p>
        </w:tc>
        <w:tc>
          <w:tcPr/>
          <w:p>
            <w:pPr>
              <w:pStyle w:val="Compact"/>
              <w:jc w:val="left"/>
            </w:pPr>
            <w:r>
              <w:t xml:space="preserve">The run records elapsed time per stage in the audit log, so the evaluation reports real figures rather than estimates</w:t>
            </w:r>
          </w:p>
        </w:tc>
      </w:tr>
      <w:tr>
        <w:tc>
          <w:tcPr/>
          <w:p>
            <w:pPr>
              <w:pStyle w:val="Compact"/>
              <w:jc w:val="left"/>
            </w:pPr>
            <w:r>
              <w:t xml:space="preserve">Measured</w:t>
            </w:r>
          </w:p>
        </w:tc>
        <w:tc>
          <w:tcPr/>
          <w:p>
            <w:pPr>
              <w:pStyle w:val="Compact"/>
              <w:jc w:val="left"/>
            </w:pPr>
            <w:r>
              <w:t xml:space="preserve">Import to routed queues for the August data: about half a second. A 13-report package: about a third of a second. Both on a laptop, well inside NFR-07</w:t>
            </w:r>
          </w:p>
        </w:tc>
      </w:tr>
    </w:tbl>
    <w:bookmarkEnd w:id="44"/>
    <w:bookmarkStart w:id="45" w:name="testing-approach"/>
    <w:p>
      <w:pPr>
        <w:pStyle w:val="Heading2"/>
      </w:pPr>
      <w:r>
        <w:t xml:space="preserve">16. Testing Approach</w:t>
      </w:r>
    </w:p>
    <w:tbl>
      <w:tblPr>
        <w:tblStyle w:val="Table"/>
        <w:tblW w:type="pct" w:w="5000"/>
        <w:tblLook w:firstRow="1" w:lastRow="0" w:firstColumn="0" w:lastColumn="0" w:noHBand="0" w:noVBand="0" w:val="0020"/>
        <w:jc w:val="start"/>
      </w:tblPr>
      <w:tblGrid>
        <w:gridCol w:w="1566"/>
        <w:gridCol w:w="5134"/>
        <w:gridCol w:w="1218"/>
      </w:tblGrid>
      <w:tr>
        <w:trPr>
          <w:tblHeader w:val="true"/>
        </w:trPr>
        <w:tc>
          <w:tcPr/>
          <w:p>
            <w:pPr>
              <w:pStyle w:val="Compact"/>
              <w:jc w:val="left"/>
            </w:pPr>
            <w:r>
              <w:t xml:space="preserve">Level</w:t>
            </w:r>
          </w:p>
        </w:tc>
        <w:tc>
          <w:tcPr/>
          <w:p>
            <w:pPr>
              <w:pStyle w:val="Compact"/>
              <w:jc w:val="left"/>
            </w:pPr>
            <w:r>
              <w:t xml:space="preserve">Scope</w:t>
            </w:r>
          </w:p>
        </w:tc>
        <w:tc>
          <w:tcPr/>
          <w:p>
            <w:pPr>
              <w:pStyle w:val="Compact"/>
              <w:jc w:val="left"/>
            </w:pPr>
            <w:r>
              <w:t xml:space="preserve">Identifiers</w:t>
            </w:r>
          </w:p>
        </w:tc>
      </w:tr>
      <w:tr>
        <w:tc>
          <w:tcPr/>
          <w:p>
            <w:pPr>
              <w:pStyle w:val="Compact"/>
              <w:jc w:val="left"/>
            </w:pPr>
            <w:r>
              <w:t xml:space="preserve">Unit</w:t>
            </w:r>
          </w:p>
        </w:tc>
        <w:tc>
          <w:tcPr/>
          <w:p>
            <w:pPr>
              <w:pStyle w:val="Compact"/>
              <w:jc w:val="left"/>
            </w:pPr>
            <w:r>
              <w:t xml:space="preserve">Domain and control functions with fixed inputs</w:t>
            </w:r>
          </w:p>
        </w:tc>
        <w:tc>
          <w:tcPr/>
          <w:p>
            <w:pPr>
              <w:pStyle w:val="Compact"/>
              <w:jc w:val="left"/>
            </w:pPr>
            <w:r>
              <w:t xml:space="preserve">TC-U-nnn</w:t>
            </w:r>
          </w:p>
        </w:tc>
      </w:tr>
      <w:tr>
        <w:tc>
          <w:tcPr/>
          <w:p>
            <w:pPr>
              <w:pStyle w:val="Compact"/>
              <w:jc w:val="left"/>
            </w:pPr>
            <w:r>
              <w:t xml:space="preserve">Integration</w:t>
            </w:r>
          </w:p>
        </w:tc>
        <w:tc>
          <w:tcPr/>
          <w:p>
            <w:pPr>
              <w:pStyle w:val="Compact"/>
              <w:jc w:val="left"/>
            </w:pPr>
            <w:r>
              <w:t xml:space="preserve">Service plus database, and the web layer through view functions and HTTP routes</w:t>
            </w:r>
          </w:p>
        </w:tc>
        <w:tc>
          <w:tcPr/>
          <w:p>
            <w:pPr>
              <w:pStyle w:val="Compact"/>
              <w:jc w:val="left"/>
            </w:pPr>
            <w:r>
              <w:t xml:space="preserve">TC-I-nnn</w:t>
            </w:r>
          </w:p>
        </w:tc>
      </w:tr>
      <w:tr>
        <w:tc>
          <w:tcPr/>
          <w:p>
            <w:pPr>
              <w:pStyle w:val="Compact"/>
              <w:jc w:val="left"/>
            </w:pPr>
            <w:r>
              <w:t xml:space="preserve">Control</w:t>
            </w:r>
          </w:p>
        </w:tc>
        <w:tc>
          <w:tcPr/>
          <w:p>
            <w:pPr>
              <w:pStyle w:val="Compact"/>
              <w:jc w:val="left"/>
            </w:pPr>
            <w:r>
              <w:t xml:space="preserve">One test per control rule, asserting the refusal, the rule named, and the BLOCKED_ATTEMPT event where one applies</w:t>
            </w:r>
          </w:p>
        </w:tc>
        <w:tc>
          <w:tcPr/>
          <w:p>
            <w:pPr>
              <w:pStyle w:val="Compact"/>
              <w:jc w:val="left"/>
            </w:pPr>
            <w:r>
              <w:t xml:space="preserve">TC-C-nnn</w:t>
            </w:r>
          </w:p>
        </w:tc>
      </w:tr>
      <w:tr>
        <w:tc>
          <w:tcPr/>
          <w:p>
            <w:pPr>
              <w:pStyle w:val="Compact"/>
              <w:jc w:val="left"/>
            </w:pPr>
            <w:r>
              <w:t xml:space="preserve">Scenario</w:t>
            </w:r>
          </w:p>
        </w:tc>
        <w:tc>
          <w:tcPr/>
          <w:p>
            <w:pPr>
              <w:pStyle w:val="Compact"/>
              <w:jc w:val="left"/>
            </w:pPr>
            <w:r>
              <w:t xml:space="preserve">SCN-01..08 against the labelled dataset, and the complete August reconciliation</w:t>
            </w:r>
          </w:p>
        </w:tc>
        <w:tc>
          <w:tcPr/>
          <w:p>
            <w:pPr>
              <w:pStyle w:val="Compact"/>
              <w:jc w:val="left"/>
            </w:pPr>
            <w:r>
              <w:t xml:space="preserve">TC-S-nnn</w:t>
            </w:r>
          </w:p>
        </w:tc>
      </w:tr>
      <w:tr>
        <w:tc>
          <w:tcPr/>
          <w:p>
            <w:pPr>
              <w:pStyle w:val="Compact"/>
              <w:jc w:val="left"/>
            </w:pPr>
            <w:r>
              <w:t xml:space="preserve">Reproducibility</w:t>
            </w:r>
          </w:p>
        </w:tc>
        <w:tc>
          <w:tcPr/>
          <w:p>
            <w:pPr>
              <w:pStyle w:val="Compact"/>
              <w:jc w:val="left"/>
            </w:pPr>
            <w:r>
              <w:t xml:space="preserve">Same seed yields identical data, recommendations and report hashes</w:t>
            </w:r>
          </w:p>
        </w:tc>
        <w:tc>
          <w:tcPr/>
          <w:p>
            <w:pPr>
              <w:pStyle w:val="Compact"/>
              <w:jc w:val="left"/>
            </w:pPr>
            <w:r>
              <w:t xml:space="preserve">TC-R-nnn</w:t>
            </w:r>
          </w:p>
        </w:tc>
      </w:tr>
    </w:tbl>
    <w:p>
      <w:pPr>
        <w:pStyle w:val="BodyText"/>
      </w:pPr>
      <w:r>
        <w:t xml:space="preserve">The test plan, the coverage of every control rule, and the results are in DOC-06.</w:t>
      </w:r>
    </w:p>
    <w:bookmarkEnd w:id="45"/>
    <w:bookmarkStart w:id="46" w:name="design-decisions"/>
    <w:p>
      <w:pPr>
        <w:pStyle w:val="Heading2"/>
      </w:pPr>
      <w:r>
        <w:t xml:space="preserve">17. Design Decisions</w:t>
      </w:r>
    </w:p>
    <w:p>
      <w:pPr>
        <w:pStyle w:val="FirstParagraph"/>
      </w:pPr>
      <w:r>
        <w:t xml:space="preserve">Decisions DD-01..DD-12 are recorded in DOC-01 and are all settled as the working design. DD-01 (the false automatic match rate reported as a hypothetical) and DD-02 (one batch action, one record per item) are implemented as described there; both remain isolated, in the evaluation and in</w:t>
      </w:r>
      <w:r>
        <w:t xml:space="preserve"> </w:t>
      </w:r>
      <w:r>
        <w:rPr>
          <w:rStyle w:val="VerbatimChar"/>
        </w:rPr>
        <w:t xml:space="preserve">approve_batch</w:t>
      </w:r>
      <w:r>
        <w:t xml:space="preserve"> </w:t>
      </w:r>
      <w:r>
        <w:t xml:space="preserve">and the W4 screen respectively.</w:t>
      </w:r>
    </w:p>
    <w:tbl>
      <w:tblPr>
        <w:tblStyle w:val="Table"/>
        <w:tblW w:type="pct" w:w="5000"/>
        <w:tblLook w:firstRow="1" w:lastRow="0" w:firstColumn="0" w:lastColumn="0" w:noHBand="0" w:noVBand="0" w:val="0020"/>
        <w:jc w:val="start"/>
      </w:tblPr>
      <w:tblGrid>
        <w:gridCol w:w="838"/>
        <w:gridCol w:w="1677"/>
        <w:gridCol w:w="2981"/>
        <w:gridCol w:w="2422"/>
      </w:tblGrid>
      <w:tr>
        <w:trPr>
          <w:tblHeader w:val="true"/>
        </w:trPr>
        <w:tc>
          <w:tcPr/>
          <w:p>
            <w:pPr>
              <w:pStyle w:val="Compact"/>
              <w:jc w:val="left"/>
            </w:pPr>
            <w:r>
              <w:t xml:space="preserve">ID</w:t>
            </w:r>
          </w:p>
        </w:tc>
        <w:tc>
          <w:tcPr/>
          <w:p>
            <w:pPr>
              <w:pStyle w:val="Compact"/>
              <w:jc w:val="left"/>
            </w:pPr>
            <w:r>
              <w:t xml:space="preserve">Decision</w:t>
            </w:r>
          </w:p>
        </w:tc>
        <w:tc>
          <w:tcPr/>
          <w:p>
            <w:pPr>
              <w:pStyle w:val="Compact"/>
              <w:jc w:val="left"/>
            </w:pPr>
            <w:r>
              <w:t xml:space="preserve">Reason</w:t>
            </w:r>
          </w:p>
        </w:tc>
        <w:tc>
          <w:tcPr/>
          <w:p>
            <w:pPr>
              <w:pStyle w:val="Compact"/>
              <w:jc w:val="left"/>
            </w:pPr>
            <w:r>
              <w:t xml:space="preserve">Consequence</w:t>
            </w:r>
          </w:p>
        </w:tc>
      </w:tr>
      <w:tr>
        <w:tc>
          <w:tcPr/>
          <w:p>
            <w:pPr>
              <w:pStyle w:val="Compact"/>
              <w:jc w:val="left"/>
            </w:pPr>
            <w:r>
              <w:t xml:space="preserve">ADR-01</w:t>
            </w:r>
          </w:p>
        </w:tc>
        <w:tc>
          <w:tcPr/>
          <w:p>
            <w:pPr>
              <w:pStyle w:val="Compact"/>
              <w:jc w:val="left"/>
            </w:pPr>
            <w:r>
              <w:t xml:space="preserve">Schema in SQL, accessed through the standard library</w:t>
            </w:r>
          </w:p>
        </w:tc>
        <w:tc>
          <w:tcPr/>
          <w:p>
            <w:pPr>
              <w:pStyle w:val="Compact"/>
              <w:jc w:val="left"/>
            </w:pPr>
            <w:r>
              <w:t xml:space="preserve">Constraints and triggers are the control layer; restating them in Python would create two sources of truth. With no ORM and no migrations, SQLAlchemy would wrap</w:t>
            </w:r>
            <w:r>
              <w:t xml:space="preserve"> </w:t>
            </w:r>
            <w:r>
              <w:rPr>
                <w:rStyle w:val="VerbatimChar"/>
              </w:rPr>
              <w:t xml:space="preserve">sqlite3</w:t>
            </w:r>
            <w:r>
              <w:t xml:space="preserve"> </w:t>
            </w:r>
            <w:r>
              <w:t xml:space="preserve">rather than replace it</w:t>
            </w:r>
          </w:p>
        </w:tc>
        <w:tc>
          <w:tcPr/>
          <w:p>
            <w:pPr>
              <w:pStyle w:val="Compact"/>
              <w:jc w:val="left"/>
            </w:pPr>
            <w:r>
              <w:rPr>
                <w:rStyle w:val="VerbatimChar"/>
              </w:rPr>
              <w:t xml:space="preserve">sqlite3</w:t>
            </w:r>
            <w:r>
              <w:t xml:space="preserve"> </w:t>
            </w:r>
            <w:r>
              <w:t xml:space="preserve">with explicit SQL in repositories; no migrations framework</w:t>
            </w:r>
          </w:p>
        </w:tc>
      </w:tr>
      <w:tr>
        <w:tc>
          <w:tcPr/>
          <w:p>
            <w:pPr>
              <w:pStyle w:val="Compact"/>
              <w:jc w:val="left"/>
            </w:pPr>
            <w:r>
              <w:t xml:space="preserve">ADR-02</w:t>
            </w:r>
          </w:p>
        </w:tc>
        <w:tc>
          <w:tcPr/>
          <w:p>
            <w:pPr>
              <w:pStyle w:val="Compact"/>
              <w:jc w:val="left"/>
            </w:pPr>
            <w:r>
              <w:t xml:space="preserve">Separate control layer</w:t>
            </w:r>
          </w:p>
        </w:tc>
        <w:tc>
          <w:tcPr/>
          <w:p>
            <w:pPr>
              <w:pStyle w:val="Compact"/>
              <w:jc w:val="left"/>
            </w:pPr>
            <w:r>
              <w:t xml:space="preserve">One implementation and one test per control rule</w:t>
            </w:r>
          </w:p>
        </w:tc>
        <w:tc>
          <w:tcPr/>
          <w:p>
            <w:pPr>
              <w:pStyle w:val="Compact"/>
              <w:jc w:val="left"/>
            </w:pPr>
            <w:r>
              <w:t xml:space="preserve">Services must call control functions; routers never check rules themselves</w:t>
            </w:r>
          </w:p>
        </w:tc>
      </w:tr>
      <w:tr>
        <w:tc>
          <w:tcPr/>
          <w:p>
            <w:pPr>
              <w:pStyle w:val="Compact"/>
              <w:jc w:val="left"/>
            </w:pPr>
            <w:r>
              <w:t xml:space="preserve">ADR-03</w:t>
            </w:r>
          </w:p>
        </w:tc>
        <w:tc>
          <w:tcPr/>
          <w:p>
            <w:pPr>
              <w:pStyle w:val="Compact"/>
              <w:jc w:val="left"/>
            </w:pPr>
            <w:r>
              <w:t xml:space="preserve">Server-rendered HTML</w:t>
            </w:r>
          </w:p>
        </w:tc>
        <w:tc>
          <w:tcPr/>
          <w:p>
            <w:pPr>
              <w:pStyle w:val="Compact"/>
              <w:jc w:val="left"/>
            </w:pPr>
            <w:r>
              <w:t xml:space="preserve">Keeps the request path inspectable and matches the wireframes</w:t>
            </w:r>
          </w:p>
        </w:tc>
        <w:tc>
          <w:tcPr/>
          <w:p>
            <w:pPr>
              <w:pStyle w:val="Compact"/>
              <w:jc w:val="left"/>
            </w:pPr>
            <w:r>
              <w:t xml:space="preserve">No client-side state; full page loads</w:t>
            </w:r>
          </w:p>
        </w:tc>
      </w:tr>
      <w:tr>
        <w:tc>
          <w:tcPr/>
          <w:p>
            <w:pPr>
              <w:pStyle w:val="Compact"/>
              <w:jc w:val="left"/>
            </w:pPr>
            <w:r>
              <w:t xml:space="preserve">ADR-04</w:t>
            </w:r>
          </w:p>
        </w:tc>
        <w:tc>
          <w:tcPr/>
          <w:p>
            <w:pPr>
              <w:pStyle w:val="Compact"/>
              <w:jc w:val="left"/>
            </w:pPr>
            <w:r>
              <w:t xml:space="preserve">Domain layer performs no input or output</w:t>
            </w:r>
          </w:p>
        </w:tc>
        <w:tc>
          <w:tcPr/>
          <w:p>
            <w:pPr>
              <w:pStyle w:val="Compact"/>
              <w:jc w:val="left"/>
            </w:pPr>
            <w:r>
              <w:t xml:space="preserve">Reproducible, testable rules and scoring</w:t>
            </w:r>
          </w:p>
        </w:tc>
        <w:tc>
          <w:tcPr/>
          <w:p>
            <w:pPr>
              <w:pStyle w:val="Compact"/>
              <w:jc w:val="left"/>
            </w:pPr>
            <w:r>
              <w:t xml:space="preserve">Services assemble data and persist results</w:t>
            </w:r>
          </w:p>
        </w:tc>
      </w:tr>
      <w:tr>
        <w:tc>
          <w:tcPr/>
          <w:p>
            <w:pPr>
              <w:pStyle w:val="Compact"/>
              <w:jc w:val="left"/>
            </w:pPr>
            <w:r>
              <w:t xml:space="preserve">ADR-05</w:t>
            </w:r>
          </w:p>
        </w:tc>
        <w:tc>
          <w:tcPr/>
          <w:p>
            <w:pPr>
              <w:pStyle w:val="Compact"/>
              <w:jc w:val="left"/>
            </w:pPr>
            <w:r>
              <w:t xml:space="preserve">Rules before scoring</w:t>
            </w:r>
          </w:p>
        </w:tc>
        <w:tc>
          <w:tcPr/>
          <w:p>
            <w:pPr>
              <w:pStyle w:val="Compact"/>
              <w:jc w:val="left"/>
            </w:pPr>
            <w:r>
              <w:t xml:space="preserve">Scoring never re-opens what a deterministic rule settled</w:t>
            </w:r>
          </w:p>
        </w:tc>
        <w:tc>
          <w:tcPr/>
          <w:p>
            <w:pPr>
              <w:pStyle w:val="Compact"/>
              <w:jc w:val="left"/>
            </w:pPr>
            <w:r>
              <w:t xml:space="preserve">Exact matches carry no confidence value</w:t>
            </w:r>
          </w:p>
        </w:tc>
      </w:tr>
      <w:tr>
        <w:tc>
          <w:tcPr/>
          <w:p>
            <w:pPr>
              <w:pStyle w:val="Compact"/>
              <w:jc w:val="left"/>
            </w:pPr>
            <w:r>
              <w:t xml:space="preserve">ADR-06</w:t>
            </w:r>
          </w:p>
        </w:tc>
        <w:tc>
          <w:tcPr/>
          <w:p>
            <w:pPr>
              <w:pStyle w:val="Compact"/>
              <w:jc w:val="left"/>
            </w:pPr>
            <w:r>
              <w:t xml:space="preserve">Calibration fitted on a separate dataset</w:t>
            </w:r>
          </w:p>
        </w:tc>
        <w:tc>
          <w:tcPr/>
          <w:p>
            <w:pPr>
              <w:pStyle w:val="Compact"/>
              <w:jc w:val="left"/>
            </w:pPr>
            <w:r>
              <w:t xml:space="preserve">Fitting and evaluating on the same data overstates accuracy</w:t>
            </w:r>
          </w:p>
        </w:tc>
        <w:tc>
          <w:tcPr/>
          <w:p>
            <w:pPr>
              <w:pStyle w:val="Compact"/>
              <w:jc w:val="left"/>
            </w:pPr>
            <w:r>
              <w:t xml:space="preserve">A second dataset must be generated and maintained</w:t>
            </w:r>
          </w:p>
        </w:tc>
      </w:tr>
      <w:tr>
        <w:tc>
          <w:tcPr/>
          <w:p>
            <w:pPr>
              <w:pStyle w:val="Compact"/>
              <w:jc w:val="left"/>
            </w:pPr>
            <w:r>
              <w:t xml:space="preserve">ADR-07</w:t>
            </w:r>
          </w:p>
        </w:tc>
        <w:tc>
          <w:tcPr/>
          <w:p>
            <w:pPr>
              <w:pStyle w:val="Compact"/>
              <w:jc w:val="left"/>
            </w:pPr>
            <w:r>
              <w:t xml:space="preserve">Risk rules stay deterministic</w:t>
            </w:r>
          </w:p>
        </w:tc>
        <w:tc>
          <w:tcPr/>
          <w:p>
            <w:pPr>
              <w:pStyle w:val="Compact"/>
              <w:jc w:val="left"/>
            </w:pPr>
            <w:r>
              <w:t xml:space="preserve">Risk is control policy and must be inspectable and changeable without retraining</w:t>
            </w:r>
          </w:p>
        </w:tc>
        <w:tc>
          <w:tcPr/>
          <w:p>
            <w:pPr>
              <w:pStyle w:val="Compact"/>
              <w:jc w:val="left"/>
            </w:pPr>
            <w:r>
              <w:t xml:space="preserve">Risk levels cannot adapt to data; that is the intent</w:t>
            </w:r>
          </w:p>
        </w:tc>
      </w:tr>
      <w:tr>
        <w:tc>
          <w:tcPr/>
          <w:p>
            <w:pPr>
              <w:pStyle w:val="Compact"/>
              <w:jc w:val="left"/>
            </w:pPr>
            <w:r>
              <w:t xml:space="preserve">ADR-08</w:t>
            </w:r>
          </w:p>
        </w:tc>
        <w:tc>
          <w:tcPr/>
          <w:p>
            <w:pPr>
              <w:pStyle w:val="Compact"/>
              <w:jc w:val="left"/>
            </w:pPr>
            <w:r>
              <w:t xml:space="preserve">Canonical JSON for hashing</w:t>
            </w:r>
          </w:p>
        </w:tc>
        <w:tc>
          <w:tcPr/>
          <w:p>
            <w:pPr>
              <w:pStyle w:val="Compact"/>
              <w:jc w:val="left"/>
            </w:pPr>
            <w:r>
              <w:t xml:space="preserve">Byte-stable serialization makes verification reproducible</w:t>
            </w:r>
          </w:p>
        </w:tc>
        <w:tc>
          <w:tcPr/>
          <w:p>
            <w:pPr>
              <w:pStyle w:val="Compact"/>
              <w:jc w:val="left"/>
            </w:pPr>
            <w:r>
              <w:t xml:space="preserve">Event content must avoid unordered structures</w:t>
            </w:r>
          </w:p>
        </w:tc>
      </w:tr>
      <w:tr>
        <w:tc>
          <w:tcPr/>
          <w:p>
            <w:pPr>
              <w:pStyle w:val="Compact"/>
              <w:jc w:val="left"/>
            </w:pPr>
            <w:r>
              <w:t xml:space="preserve">ADR-09</w:t>
            </w:r>
          </w:p>
        </w:tc>
        <w:tc>
          <w:tcPr/>
          <w:p>
            <w:pPr>
              <w:pStyle w:val="Compact"/>
              <w:jc w:val="left"/>
            </w:pPr>
            <w:r>
              <w:rPr>
                <w:rStyle w:val="VerbatimChar"/>
              </w:rPr>
              <w:t xml:space="preserve">BEGIN IMMEDIATE</w:t>
            </w:r>
            <w:r>
              <w:t xml:space="preserve"> </w:t>
            </w:r>
            <w:r>
              <w:t xml:space="preserve">for writes</w:t>
            </w:r>
          </w:p>
        </w:tc>
        <w:tc>
          <w:tcPr/>
          <w:p>
            <w:pPr>
              <w:pStyle w:val="Compact"/>
              <w:jc w:val="left"/>
            </w:pPr>
            <w:r>
              <w:t xml:space="preserve">Prevents two events claiming the same sequence number</w:t>
            </w:r>
          </w:p>
        </w:tc>
        <w:tc>
          <w:tcPr/>
          <w:p>
            <w:pPr>
              <w:pStyle w:val="Compact"/>
              <w:jc w:val="left"/>
            </w:pPr>
            <w:r>
              <w:t xml:space="preserve">Writes serialize; acceptable for single-account use</w:t>
            </w:r>
          </w:p>
        </w:tc>
      </w:tr>
      <w:tr>
        <w:tc>
          <w:tcPr/>
          <w:p>
            <w:pPr>
              <w:pStyle w:val="Compact"/>
              <w:jc w:val="left"/>
            </w:pPr>
            <w:r>
              <w:t xml:space="preserve">ADR-10</w:t>
            </w:r>
          </w:p>
        </w:tc>
        <w:tc>
          <w:tcPr/>
          <w:p>
            <w:pPr>
              <w:pStyle w:val="Compact"/>
              <w:jc w:val="left"/>
            </w:pPr>
            <w:r>
              <w:t xml:space="preserve">Parameter snapshot per run</w:t>
            </w:r>
          </w:p>
        </w:tc>
        <w:tc>
          <w:tcPr/>
          <w:p>
            <w:pPr>
              <w:pStyle w:val="Compact"/>
              <w:jc w:val="left"/>
            </w:pPr>
            <w:r>
              <w:t xml:space="preserve">A configuration change must not alter what a closed period reported</w:t>
            </w:r>
          </w:p>
        </w:tc>
        <w:tc>
          <w:tcPr/>
          <w:p>
            <w:pPr>
              <w:pStyle w:val="Compact"/>
              <w:jc w:val="left"/>
            </w:pPr>
            <w:r>
              <w:t xml:space="preserve">Reports read the snapshot, not the live configuration</w:t>
            </w:r>
          </w:p>
        </w:tc>
      </w:tr>
      <w:tr>
        <w:tc>
          <w:tcPr/>
          <w:p>
            <w:pPr>
              <w:pStyle w:val="Compact"/>
              <w:jc w:val="left"/>
            </w:pPr>
            <w:r>
              <w:t xml:space="preserve">ADR-11</w:t>
            </w:r>
          </w:p>
        </w:tc>
        <w:tc>
          <w:tcPr/>
          <w:p>
            <w:pPr>
              <w:pStyle w:val="Compact"/>
              <w:jc w:val="left"/>
            </w:pPr>
            <w:r>
              <w:t xml:space="preserve">Evaluation as a command, not a route</w:t>
            </w:r>
          </w:p>
        </w:tc>
        <w:tc>
          <w:tcPr/>
          <w:p>
            <w:pPr>
              <w:pStyle w:val="Compact"/>
              <w:jc w:val="left"/>
            </w:pPr>
            <w:r>
              <w:t xml:space="preserve">Ground truth must stay out of the application surface</w:t>
            </w:r>
          </w:p>
        </w:tc>
        <w:tc>
          <w:tcPr/>
          <w:p>
            <w:pPr>
              <w:pStyle w:val="Compact"/>
              <w:jc w:val="left"/>
            </w:pPr>
            <w:r>
              <w:t xml:space="preserve">Evaluation runs offline and is tested separately</w:t>
            </w:r>
          </w:p>
        </w:tc>
      </w:tr>
      <w:tr>
        <w:tc>
          <w:tcPr/>
          <w:p>
            <w:pPr>
              <w:pStyle w:val="Compact"/>
              <w:jc w:val="left"/>
            </w:pPr>
            <w:r>
              <w:t xml:space="preserve">ADR-12</w:t>
            </w:r>
          </w:p>
        </w:tc>
        <w:tc>
          <w:tcPr/>
          <w:p>
            <w:pPr>
              <w:pStyle w:val="Compact"/>
              <w:jc w:val="left"/>
            </w:pPr>
            <w:r>
              <w:t xml:space="preserve">Blocked attempts are audited</w:t>
            </w:r>
          </w:p>
        </w:tc>
        <w:tc>
          <w:tcPr/>
          <w:p>
            <w:pPr>
              <w:pStyle w:val="Compact"/>
              <w:jc w:val="left"/>
            </w:pPr>
            <w:r>
              <w:t xml:space="preserve">Refused actions are evidence that controls work</w:t>
            </w:r>
          </w:p>
        </w:tc>
        <w:tc>
          <w:tcPr/>
          <w:p>
            <w:pPr>
              <w:pStyle w:val="Compact"/>
              <w:jc w:val="left"/>
            </w:pPr>
            <w:r>
              <w:t xml:space="preserve">Extra events in the log, labelled BLOCKED_ATTEMPT</w:t>
            </w:r>
          </w:p>
        </w:tc>
      </w:tr>
      <w:tr>
        <w:tc>
          <w:tcPr/>
          <w:p>
            <w:pPr>
              <w:pStyle w:val="Compact"/>
              <w:jc w:val="left"/>
            </w:pPr>
            <w:r>
              <w:t xml:space="preserve">ADR-13</w:t>
            </w:r>
          </w:p>
        </w:tc>
        <w:tc>
          <w:tcPr/>
          <w:p>
            <w:pPr>
              <w:pStyle w:val="Compact"/>
              <w:jc w:val="left"/>
            </w:pPr>
            <w:r>
              <w:t xml:space="preserve">GenAI adapter in infrastructure</w:t>
            </w:r>
          </w:p>
        </w:tc>
        <w:tc>
          <w:tcPr/>
          <w:p>
            <w:pPr>
              <w:pStyle w:val="Compact"/>
              <w:jc w:val="left"/>
            </w:pPr>
            <w:r>
              <w:t xml:space="preserve">Nothing in the domain layer can reach it</w:t>
            </w:r>
          </w:p>
        </w:tc>
        <w:tc>
          <w:tcPr/>
          <w:p>
            <w:pPr>
              <w:pStyle w:val="Compact"/>
              <w:jc w:val="left"/>
            </w:pPr>
            <w:r>
              <w:t xml:space="preserve">Prose is stored in a separate field and labelled</w:t>
            </w:r>
          </w:p>
        </w:tc>
      </w:tr>
      <w:tr>
        <w:tc>
          <w:tcPr/>
          <w:p>
            <w:pPr>
              <w:pStyle w:val="Compact"/>
              <w:jc w:val="left"/>
            </w:pPr>
            <w:r>
              <w:t xml:space="preserve">ADR-14</w:t>
            </w:r>
          </w:p>
        </w:tc>
        <w:tc>
          <w:tcPr/>
          <w:p>
            <w:pPr>
              <w:pStyle w:val="Compact"/>
              <w:jc w:val="left"/>
            </w:pPr>
            <w:r>
              <w:t xml:space="preserve">Reports hashed on content</w:t>
            </w:r>
          </w:p>
        </w:tc>
        <w:tc>
          <w:tcPr/>
          <w:p>
            <w:pPr>
              <w:pStyle w:val="Compact"/>
              <w:jc w:val="left"/>
            </w:pPr>
            <w:r>
              <w:t xml:space="preserve">Lets a report be shown unchanged since generation</w:t>
            </w:r>
          </w:p>
        </w:tc>
        <w:tc>
          <w:tcPr/>
          <w:p>
            <w:pPr>
              <w:pStyle w:val="Compact"/>
              <w:jc w:val="left"/>
            </w:pPr>
            <w:r>
              <w:t xml:space="preserve">The generation timestamp is excluded from the hash</w:t>
            </w:r>
          </w:p>
        </w:tc>
      </w:tr>
      <w:tr>
        <w:tc>
          <w:tcPr/>
          <w:p>
            <w:pPr>
              <w:pStyle w:val="Compact"/>
              <w:jc w:val="left"/>
            </w:pPr>
            <w:r>
              <w:t xml:space="preserve">ADR-15</w:t>
            </w:r>
          </w:p>
        </w:tc>
        <w:tc>
          <w:tcPr/>
          <w:p>
            <w:pPr>
              <w:pStyle w:val="Compact"/>
              <w:jc w:val="left"/>
            </w:pPr>
            <w:r>
              <w:t xml:space="preserve">Elapsed time recorded per stage</w:t>
            </w:r>
          </w:p>
        </w:tc>
        <w:tc>
          <w:tcPr/>
          <w:p>
            <w:pPr>
              <w:pStyle w:val="Compact"/>
              <w:jc w:val="left"/>
            </w:pPr>
            <w:r>
              <w:t xml:space="preserve">Performance is reported from measurement, not estimated</w:t>
            </w:r>
          </w:p>
        </w:tc>
        <w:tc>
          <w:tcPr/>
          <w:p>
            <w:pPr>
              <w:pStyle w:val="Compact"/>
              <w:jc w:val="left"/>
            </w:pPr>
            <w:r>
              <w:t xml:space="preserve">Extra timing events in the audit log</w:t>
            </w:r>
          </w:p>
        </w:tc>
      </w:tr>
      <w:tr>
        <w:tc>
          <w:tcPr/>
          <w:p>
            <w:pPr>
              <w:pStyle w:val="Compact"/>
              <w:jc w:val="left"/>
            </w:pPr>
            <w:r>
              <w:t xml:space="preserve">ADR-16</w:t>
            </w:r>
          </w:p>
        </w:tc>
        <w:tc>
          <w:tcPr/>
          <w:p>
            <w:pPr>
              <w:pStyle w:val="Compact"/>
              <w:jc w:val="left"/>
            </w:pPr>
            <w:r>
              <w:t xml:space="preserve">Text similarity written in the project, not imported</w:t>
            </w:r>
          </w:p>
        </w:tc>
        <w:tc>
          <w:tcPr/>
          <w:p>
            <w:pPr>
              <w:pStyle w:val="Compact"/>
              <w:jc w:val="left"/>
            </w:pPr>
            <w:r>
              <w:t xml:space="preserve">One function, and the abbreviation case needs a subsequence test; a reviewer asking why two names scored 0.94 can read the answer</w:t>
            </w:r>
          </w:p>
        </w:tc>
        <w:tc>
          <w:tcPr/>
          <w:p>
            <w:pPr>
              <w:pStyle w:val="Compact"/>
              <w:jc w:val="left"/>
            </w:pPr>
            <w:r>
              <w:t xml:space="preserve">Forty lines to maintain, and no library to upgrade</w:t>
            </w:r>
          </w:p>
        </w:tc>
      </w:tr>
      <w:tr>
        <w:tc>
          <w:tcPr/>
          <w:p>
            <w:pPr>
              <w:pStyle w:val="Compact"/>
              <w:jc w:val="left"/>
            </w:pPr>
            <w:r>
              <w:t xml:space="preserve">ADR-17</w:t>
            </w:r>
          </w:p>
        </w:tc>
        <w:tc>
          <w:tcPr/>
          <w:p>
            <w:pPr>
              <w:pStyle w:val="Compact"/>
              <w:jc w:val="left"/>
            </w:pPr>
            <w:r>
              <w:t xml:space="preserve">Group search by meet in the middle</w:t>
            </w:r>
          </w:p>
        </w:tc>
        <w:tc>
          <w:tcPr/>
          <w:p>
            <w:pPr>
              <w:pStyle w:val="Compact"/>
              <w:jc w:val="left"/>
            </w:pPr>
            <w:r>
              <w:t xml:space="preserve">Keeping only the largest candidates is the wrong slice: a deposit made of four mid-sized receipts would never be found. Indexing subset sums searches the whole window in quadratic time</w:t>
            </w:r>
          </w:p>
        </w:tc>
        <w:tc>
          <w:tcPr/>
          <w:p>
            <w:pPr>
              <w:pStyle w:val="Compact"/>
              <w:jc w:val="left"/>
            </w:pPr>
            <w:r>
              <w:t xml:space="preserve">Groups of five or more members remain out of reach, and that limit is reported as EXC-08</w:t>
            </w:r>
          </w:p>
        </w:tc>
      </w:tr>
      <w:tr>
        <w:tc>
          <w:tcPr/>
          <w:p>
            <w:pPr>
              <w:pStyle w:val="Compact"/>
              <w:jc w:val="left"/>
            </w:pPr>
            <w:r>
              <w:t xml:space="preserve">ADR-18</w:t>
            </w:r>
          </w:p>
        </w:tc>
        <w:tc>
          <w:tcPr/>
          <w:p>
            <w:pPr>
              <w:pStyle w:val="Compact"/>
              <w:jc w:val="left"/>
            </w:pPr>
            <w:r>
              <w:t xml:space="preserve">Confidence clamped to [0.02, 0.98]</w:t>
            </w:r>
          </w:p>
        </w:tc>
        <w:tc>
          <w:tcPr/>
          <w:p>
            <w:pPr>
              <w:pStyle w:val="Compact"/>
              <w:jc w:val="left"/>
            </w:pPr>
            <w:r>
              <w:t xml:space="preserve">A finite sample cannot establish certainty, and an interface showing</w:t>
            </w:r>
            <w:r>
              <w:t xml:space="preserve"> </w:t>
            </w:r>
            <w:r>
              <w:t xml:space="preserve">“</w:t>
            </w:r>
            <w:r>
              <w:t xml:space="preserve">100% confident</w:t>
            </w:r>
            <w:r>
              <w:t xml:space="preserve">”</w:t>
            </w:r>
            <w:r>
              <w:t xml:space="preserve"> </w:t>
            </w:r>
            <w:r>
              <w:t xml:space="preserve">invites the over-trust the control design exists to prevent</w:t>
            </w:r>
          </w:p>
        </w:tc>
        <w:tc>
          <w:tcPr/>
          <w:p>
            <w:pPr>
              <w:pStyle w:val="Compact"/>
              <w:jc w:val="left"/>
            </w:pPr>
            <w:r>
              <w:t xml:space="preserve">No recommendation can ever display as certain</w:t>
            </w:r>
          </w:p>
        </w:tc>
      </w:tr>
      <w:tr>
        <w:tc>
          <w:tcPr/>
          <w:p>
            <w:pPr>
              <w:pStyle w:val="Compact"/>
              <w:jc w:val="left"/>
            </w:pPr>
            <w:r>
              <w:t xml:space="preserve">ADR-19</w:t>
            </w:r>
          </w:p>
        </w:tc>
        <w:tc>
          <w:tcPr/>
          <w:p>
            <w:pPr>
              <w:pStyle w:val="Compact"/>
              <w:jc w:val="left"/>
            </w:pPr>
            <w:r>
              <w:t xml:space="preserve">Hard negatives added when fitting calibration</w:t>
            </w:r>
          </w:p>
        </w:tc>
        <w:tc>
          <w:tcPr/>
          <w:p>
            <w:pPr>
              <w:pStyle w:val="Compact"/>
              <w:jc w:val="left"/>
            </w:pPr>
            <w:r>
              <w:t xml:space="preserve">Candidate generation is narrow, so its output alone is almost all correct and teaches a calibrator nothing about the middle of the range</w:t>
            </w:r>
          </w:p>
        </w:tc>
        <w:tc>
          <w:tcPr/>
          <w:p>
            <w:pPr>
              <w:pStyle w:val="Compact"/>
              <w:jc w:val="left"/>
            </w:pPr>
            <w:r>
              <w:t xml:space="preserve">The fitting set is not the production distribution, which is recorded in the artefact notes</w:t>
            </w:r>
          </w:p>
        </w:tc>
      </w:tr>
      <w:tr>
        <w:tc>
          <w:tcPr/>
          <w:p>
            <w:pPr>
              <w:pStyle w:val="Compact"/>
              <w:jc w:val="left"/>
            </w:pPr>
            <w:r>
              <w:t xml:space="preserve">ADR-20</w:t>
            </w:r>
          </w:p>
        </w:tc>
        <w:tc>
          <w:tcPr/>
          <w:p>
            <w:pPr>
              <w:pStyle w:val="Compact"/>
              <w:jc w:val="left"/>
            </w:pPr>
            <w:r>
              <w:t xml:space="preserve">A missing calibration artefact is not an error</w:t>
            </w:r>
          </w:p>
        </w:tc>
        <w:tc>
          <w:tcPr/>
          <w:p>
            <w:pPr>
              <w:pStyle w:val="Compact"/>
              <w:jc w:val="left"/>
            </w:pPr>
            <w:r>
              <w:t xml:space="preserve">A run proceeds and labels itself uncalibrated, so no report can present an unfitted score as a calibrated confidence</w:t>
            </w:r>
          </w:p>
        </w:tc>
        <w:tc>
          <w:tcPr/>
          <w:p>
            <w:pPr>
              <w:pStyle w:val="Compact"/>
              <w:jc w:val="left"/>
            </w:pPr>
            <w:r>
              <w:t xml:space="preserve">Two possible states to handle in reports</w:t>
            </w:r>
          </w:p>
        </w:tc>
      </w:tr>
      <w:tr>
        <w:tc>
          <w:tcPr/>
          <w:p>
            <w:pPr>
              <w:pStyle w:val="Compact"/>
              <w:jc w:val="left"/>
            </w:pPr>
            <w:r>
              <w:t xml:space="preserve">ADR-21</w:t>
            </w:r>
          </w:p>
        </w:tc>
        <w:tc>
          <w:tcPr/>
          <w:p>
            <w:pPr>
              <w:pStyle w:val="Compact"/>
              <w:jc w:val="left"/>
            </w:pPr>
            <w:r>
              <w:t xml:space="preserve">One connection, one request at a time</w:t>
            </w:r>
          </w:p>
        </w:tc>
        <w:tc>
          <w:tcPr/>
          <w:p>
            <w:pPr>
              <w:pStyle w:val="Compact"/>
              <w:jc w:val="left"/>
            </w:pPr>
            <w:r>
              <w:t xml:space="preserve">A local, single-team prototype gains nothing from a pool, and serial handling makes every check-then-write atomic without extra locking</w:t>
            </w:r>
          </w:p>
        </w:tc>
        <w:tc>
          <w:tcPr/>
          <w:p>
            <w:pPr>
              <w:pStyle w:val="Compact"/>
              <w:jc w:val="left"/>
            </w:pPr>
            <w:r>
              <w:t xml:space="preserve">The connection allows use across threads; a slow request delays the next</w:t>
            </w:r>
          </w:p>
        </w:tc>
      </w:tr>
      <w:tr>
        <w:tc>
          <w:tcPr/>
          <w:p>
            <w:pPr>
              <w:pStyle w:val="Compact"/>
              <w:jc w:val="left"/>
            </w:pPr>
            <w:r>
              <w:t xml:space="preserve">ADR-22</w:t>
            </w:r>
          </w:p>
        </w:tc>
        <w:tc>
          <w:tcPr/>
          <w:p>
            <w:pPr>
              <w:pStyle w:val="Compact"/>
              <w:jc w:val="left"/>
            </w:pPr>
            <w:r>
              <w:t xml:space="preserve">View functions separate from routes</w:t>
            </w:r>
          </w:p>
        </w:tc>
        <w:tc>
          <w:tcPr/>
          <w:p>
            <w:pPr>
              <w:pStyle w:val="Compact"/>
              <w:jc w:val="left"/>
            </w:pPr>
            <w:r>
              <w:t xml:space="preserve">Every screen can be built and its template rendered in tests without a server</w:t>
            </w:r>
          </w:p>
        </w:tc>
        <w:tc>
          <w:tcPr/>
          <w:p>
            <w:pPr>
              <w:pStyle w:val="Compact"/>
              <w:jc w:val="left"/>
            </w:pPr>
            <w:r>
              <w:t xml:space="preserve">Routes are a few lines each; screen logic lives in</w:t>
            </w:r>
            <w:r>
              <w:t xml:space="preserve"> </w:t>
            </w:r>
            <w:r>
              <w:rPr>
                <w:rStyle w:val="VerbatimChar"/>
              </w:rPr>
              <w:t xml:space="preserve">web/views.py</w:t>
            </w:r>
          </w:p>
        </w:tc>
      </w:tr>
      <w:tr>
        <w:tc>
          <w:tcPr/>
          <w:p>
            <w:pPr>
              <w:pStyle w:val="Compact"/>
              <w:jc w:val="left"/>
            </w:pPr>
            <w:r>
              <w:t xml:space="preserve">ADR-23</w:t>
            </w:r>
          </w:p>
        </w:tc>
        <w:tc>
          <w:tcPr/>
          <w:p>
            <w:pPr>
              <w:pStyle w:val="Compact"/>
              <w:jc w:val="left"/>
            </w:pPr>
            <w:r>
              <w:t xml:space="preserve">Manual pairing for exceptions</w:t>
            </w:r>
          </w:p>
        </w:tc>
        <w:tc>
          <w:tcPr/>
          <w:p>
            <w:pPr>
              <w:pStyle w:val="Compact"/>
              <w:jc w:val="left"/>
            </w:pPr>
            <w:r>
              <w:t xml:space="preserve">Where the group search hit its cap, or missed a many-to-one group, reviewers otherwise had no way to correct it; the best achievable difference on the August data was -$77,663.05 against a true -$9,392.35</w:t>
            </w:r>
          </w:p>
        </w:tc>
        <w:tc>
          <w:tcPr/>
          <w:p>
            <w:pPr>
              <w:pStyle w:val="Compact"/>
              <w:jc w:val="left"/>
            </w:pPr>
            <w:r>
              <w:t xml:space="preserve">A reviewer-selected candidate with no score sits beside the system’s candidates, recorded as modify; the arithmetic must agree to the cent</w:t>
            </w:r>
          </w:p>
        </w:tc>
      </w:tr>
      <w:tr>
        <w:tc>
          <w:tcPr/>
          <w:p>
            <w:pPr>
              <w:pStyle w:val="Compact"/>
              <w:jc w:val="left"/>
            </w:pPr>
            <w:r>
              <w:t xml:space="preserve">ADR-24</w:t>
            </w:r>
          </w:p>
        </w:tc>
        <w:tc>
          <w:tcPr/>
          <w:p>
            <w:pPr>
              <w:pStyle w:val="Compact"/>
              <w:jc w:val="left"/>
            </w:pPr>
            <w:r>
              <w:t xml:space="preserve">Reject re-proposes as exceptions; modify selects a candidate</w:t>
            </w:r>
          </w:p>
        </w:tc>
        <w:tc>
          <w:tcPr/>
          <w:p>
            <w:pPr>
              <w:pStyle w:val="Compact"/>
              <w:jc w:val="left"/>
            </w:pPr>
            <w:r>
              <w:t xml:space="preserve">One verb per intent:</w:t>
            </w:r>
            <w:r>
              <w:t xml:space="preserve"> </w:t>
            </w:r>
            <w:r>
              <w:t xml:space="preserve">“</w:t>
            </w:r>
            <w:r>
              <w:t xml:space="preserve">this pairing is wrong</w:t>
            </w:r>
            <w:r>
              <w:t xml:space="preserve">”</w:t>
            </w:r>
            <w:r>
              <w:t xml:space="preserve"> </w:t>
            </w:r>
            <w:r>
              <w:t xml:space="preserve">and</w:t>
            </w:r>
            <w:r>
              <w:t xml:space="preserve"> </w:t>
            </w:r>
            <w:r>
              <w:t xml:space="preserve">“</w:t>
            </w:r>
            <w:r>
              <w:t xml:space="preserve">that other pairing is right</w:t>
            </w:r>
            <w:r>
              <w:t xml:space="preserve">”</w:t>
            </w:r>
          </w:p>
        </w:tc>
        <w:tc>
          <w:tcPr/>
          <w:p>
            <w:pPr>
              <w:pStyle w:val="Compact"/>
              <w:jc w:val="left"/>
            </w:pPr>
            <w:r>
              <w:t xml:space="preserve">Re-proposed records are classified by the same rules as matching</w:t>
            </w:r>
          </w:p>
        </w:tc>
      </w:tr>
      <w:tr>
        <w:tc>
          <w:tcPr/>
          <w:p>
            <w:pPr>
              <w:pStyle w:val="Compact"/>
              <w:jc w:val="left"/>
            </w:pPr>
            <w:r>
              <w:t xml:space="preserve">ADR-25</w:t>
            </w:r>
          </w:p>
        </w:tc>
        <w:tc>
          <w:tcPr/>
          <w:p>
            <w:pPr>
              <w:pStyle w:val="Compact"/>
              <w:jc w:val="left"/>
            </w:pPr>
            <w:r>
              <w:t xml:space="preserve">Investigate-only exceptions cannot be approved</w:t>
            </w:r>
          </w:p>
        </w:tc>
        <w:tc>
          <w:tcPr/>
          <w:p>
            <w:pPr>
              <w:pStyle w:val="Compact"/>
              <w:jc w:val="left"/>
            </w:pPr>
            <w:r>
              <w:t xml:space="preserve">Approving a duplicate, an unexplained item or a capped search would mark unexplained money reconciled</w:t>
            </w:r>
          </w:p>
        </w:tc>
        <w:tc>
          <w:tcPr/>
          <w:p>
            <w:pPr>
              <w:pStyle w:val="Compact"/>
              <w:jc w:val="left"/>
            </w:pPr>
            <w:r>
              <w:t xml:space="preserve">Those items are paired by hand, escalated, or left unresolved and carried on the statement. Approved timing and bank-originated items count as reconciled</w:t>
            </w:r>
          </w:p>
        </w:tc>
      </w:tr>
      <w:tr>
        <w:tc>
          <w:tcPr/>
          <w:p>
            <w:pPr>
              <w:pStyle w:val="Compact"/>
              <w:jc w:val="left"/>
            </w:pPr>
            <w:r>
              <w:t xml:space="preserve">ADR-26</w:t>
            </w:r>
          </w:p>
        </w:tc>
        <w:tc>
          <w:tcPr/>
          <w:p>
            <w:pPr>
              <w:pStyle w:val="Compact"/>
              <w:jc w:val="left"/>
            </w:pPr>
            <w:r>
              <w:t xml:space="preserve">Settling a record settles every other proposal for it</w:t>
            </w:r>
          </w:p>
        </w:tc>
        <w:tc>
          <w:tcPr/>
          <w:p>
            <w:pPr>
              <w:pStyle w:val="Compact"/>
              <w:jc w:val="left"/>
            </w:pPr>
            <w:r>
              <w:t xml:space="preserve">Matching can leave a record both in a match and flagged as a possible duplicate; two approvals must never claim one record</w:t>
            </w:r>
          </w:p>
        </w:tc>
        <w:tc>
          <w:tcPr/>
          <w:p>
            <w:pPr>
              <w:pStyle w:val="Compact"/>
              <w:jc w:val="left"/>
            </w:pPr>
            <w:r>
              <w:t xml:space="preserve">Exceptions for the record are superseded; competing matches refuse the decision; a senior is required when the superseded item needs one</w:t>
            </w:r>
          </w:p>
        </w:tc>
      </w:tr>
      <w:tr>
        <w:tc>
          <w:tcPr/>
          <w:p>
            <w:pPr>
              <w:pStyle w:val="Compact"/>
              <w:jc w:val="left"/>
            </w:pPr>
            <w:r>
              <w:t xml:space="preserve">ADR-27</w:t>
            </w:r>
          </w:p>
        </w:tc>
        <w:tc>
          <w:tcPr/>
          <w:p>
            <w:pPr>
              <w:pStyle w:val="Compact"/>
              <w:jc w:val="left"/>
            </w:pPr>
            <w:r>
              <w:t xml:space="preserve">One template for all 13 reports</w:t>
            </w:r>
          </w:p>
        </w:tc>
        <w:tc>
          <w:tcPr/>
          <w:p>
            <w:pPr>
              <w:pStyle w:val="Compact"/>
              <w:jc w:val="left"/>
            </w:pPr>
            <w:r>
              <w:t xml:space="preserve">Consistent layout, and rendering stays out of report logic</w:t>
            </w:r>
          </w:p>
        </w:tc>
        <w:tc>
          <w:tcPr/>
          <w:p>
            <w:pPr>
              <w:pStyle w:val="Compact"/>
              <w:jc w:val="left"/>
            </w:pPr>
            <w:r>
              <w:t xml:space="preserve">Reports are data plus one template; layout changes are made once</w:t>
            </w:r>
          </w:p>
        </w:tc>
      </w:tr>
      <w:tr>
        <w:tc>
          <w:tcPr/>
          <w:p>
            <w:pPr>
              <w:pStyle w:val="Compact"/>
              <w:jc w:val="left"/>
            </w:pPr>
            <w:r>
              <w:t xml:space="preserve">ADR-28</w:t>
            </w:r>
          </w:p>
        </w:tc>
        <w:tc>
          <w:tcPr/>
          <w:p>
            <w:pPr>
              <w:pStyle w:val="Compact"/>
              <w:jc w:val="left"/>
            </w:pPr>
            <w:r>
              <w:t xml:space="preserve">Files imported once per run</w:t>
            </w:r>
          </w:p>
        </w:tc>
        <w:tc>
          <w:tcPr/>
          <w:p>
            <w:pPr>
              <w:pStyle w:val="Compact"/>
              <w:jc w:val="left"/>
            </w:pPr>
            <w:r>
              <w:t xml:space="preserve">A second import into a failed run would hold two copies of a statement</w:t>
            </w:r>
          </w:p>
        </w:tc>
        <w:tc>
          <w:tcPr/>
          <w:p>
            <w:pPr>
              <w:pStyle w:val="Compact"/>
              <w:jc w:val="left"/>
            </w:pPr>
            <w:r>
              <w:t xml:space="preserve">A failed run stays as evidence; the correction is a new run</w:t>
            </w:r>
          </w:p>
        </w:tc>
      </w:tr>
      <w:tr>
        <w:tc>
          <w:tcPr/>
          <w:p>
            <w:pPr>
              <w:pStyle w:val="Compact"/>
              <w:jc w:val="left"/>
            </w:pPr>
            <w:r>
              <w:t xml:space="preserve">ADR-29</w:t>
            </w:r>
          </w:p>
        </w:tc>
        <w:tc>
          <w:tcPr/>
          <w:p>
            <w:pPr>
              <w:pStyle w:val="Compact"/>
              <w:jc w:val="left"/>
            </w:pPr>
            <w:r>
              <w:t xml:space="preserve">Repositories in one module</w:t>
            </w:r>
          </w:p>
        </w:tc>
        <w:tc>
          <w:tcPr/>
          <w:p>
            <w:pPr>
              <w:pStyle w:val="Compact"/>
              <w:jc w:val="left"/>
            </w:pPr>
            <w:r>
              <w:t xml:space="preserve">Splitting into a package would change every import for no functional gain</w:t>
            </w:r>
          </w:p>
        </w:tc>
        <w:tc>
          <w:tcPr/>
          <w:p>
            <w:pPr>
              <w:pStyle w:val="Compact"/>
              <w:jc w:val="left"/>
            </w:pPr>
            <w:r>
              <w:t xml:space="preserve">Section 2.1 revised; one class per aggregate</w:t>
            </w:r>
          </w:p>
        </w:tc>
      </w:tr>
      <w:tr>
        <w:tc>
          <w:tcPr/>
          <w:p>
            <w:pPr>
              <w:pStyle w:val="Compact"/>
              <w:jc w:val="left"/>
            </w:pPr>
            <w:r>
              <w:t xml:space="preserve">ADR-30</w:t>
            </w:r>
          </w:p>
        </w:tc>
        <w:tc>
          <w:tcPr/>
          <w:p>
            <w:pPr>
              <w:pStyle w:val="Compact"/>
              <w:jc w:val="left"/>
            </w:pPr>
            <w:r>
              <w:t xml:space="preserve">Adjustment decisions locked by the service only</w:t>
            </w:r>
          </w:p>
        </w:tc>
        <w:tc>
          <w:tcPr/>
          <w:p>
            <w:pPr>
              <w:pStyle w:val="Compact"/>
              <w:jc w:val="left"/>
            </w:pPr>
            <w:r>
              <w:t xml:space="preserve">The</w:t>
            </w:r>
            <w:r>
              <w:t xml:space="preserve"> </w:t>
            </w:r>
            <w:r>
              <w:rPr>
                <w:rStyle w:val="VerbatimChar"/>
              </w:rPr>
              <w:t xml:space="preserve">adjustment_decision</w:t>
            </w:r>
            <w:r>
              <w:t xml:space="preserve"> </w:t>
            </w:r>
            <w:r>
              <w:t xml:space="preserve">table has no run column, so no trigger can see the period</w:t>
            </w:r>
          </w:p>
        </w:tc>
        <w:tc>
          <w:tcPr/>
          <w:p>
            <w:pPr>
              <w:pStyle w:val="Compact"/>
              <w:jc w:val="left"/>
            </w:pPr>
            <w:r>
              <w:t xml:space="preserve">The service check is the only lock for that table; tested directly and stated as a limit</w:t>
            </w:r>
          </w:p>
        </w:tc>
      </w:tr>
      <w:tr>
        <w:tc>
          <w:tcPr/>
          <w:p>
            <w:pPr>
              <w:pStyle w:val="Compact"/>
              <w:jc w:val="left"/>
            </w:pPr>
            <w:r>
              <w:t xml:space="preserve">ADR-31</w:t>
            </w:r>
          </w:p>
        </w:tc>
        <w:tc>
          <w:tcPr/>
          <w:p>
            <w:pPr>
              <w:pStyle w:val="Compact"/>
              <w:jc w:val="left"/>
            </w:pPr>
            <w:r>
              <w:t xml:space="preserve">Decisions only through the interface</w:t>
            </w:r>
          </w:p>
        </w:tc>
        <w:tc>
          <w:tcPr/>
          <w:p>
            <w:pPr>
              <w:pStyle w:val="Compact"/>
              <w:jc w:val="left"/>
            </w:pPr>
            <w:r>
              <w:t xml:space="preserve">A command line shortcut would be a second, weaker path to the same actions</w:t>
            </w:r>
          </w:p>
        </w:tc>
        <w:tc>
          <w:tcPr/>
          <w:p>
            <w:pPr>
              <w:pStyle w:val="Compact"/>
              <w:jc w:val="left"/>
            </w:pPr>
            <w:r>
              <w:t xml:space="preserve">The command line covers setup, the automated pipeline and evidence</w:t>
            </w:r>
          </w:p>
        </w:tc>
      </w:tr>
      <w:tr>
        <w:tc>
          <w:tcPr/>
          <w:p>
            <w:pPr>
              <w:pStyle w:val="Compact"/>
              <w:jc w:val="left"/>
            </w:pPr>
            <w:r>
              <w:t xml:space="preserve">ADR-32</w:t>
            </w:r>
          </w:p>
        </w:tc>
        <w:tc>
          <w:tcPr/>
          <w:p>
            <w:pPr>
              <w:pStyle w:val="Compact"/>
              <w:jc w:val="left"/>
            </w:pPr>
            <w:r>
              <w:t xml:space="preserve">Reversal by reissue, not by edit</w:t>
            </w:r>
          </w:p>
        </w:tc>
        <w:tc>
          <w:tcPr/>
          <w:p>
            <w:pPr>
              <w:pStyle w:val="Compact"/>
              <w:jc w:val="left"/>
            </w:pPr>
            <w:r>
              <w:t xml:space="preserve">A wrong decision must be correctable (FR-AUD-06) without editing evidence or changing the schema. Reopening the same recommendation would mix two decision histories on one row</w:t>
            </w:r>
          </w:p>
        </w:tc>
        <w:tc>
          <w:tcPr/>
          <w:p>
            <w:pPr>
              <w:pStyle w:val="Compact"/>
              <w:jc w:val="left"/>
            </w:pPr>
            <w:r>
              <w:t xml:space="preserve">The reversed recommendation keeps its one decision; the open copy carries the next. Evaluation counts reversed decisions but measures the item on its copy. No migration was needed</w:t>
            </w:r>
          </w:p>
        </w:tc>
      </w:tr>
      <w:tr>
        <w:tc>
          <w:tcPr/>
          <w:p>
            <w:pPr>
              <w:pStyle w:val="Compact"/>
              <w:jc w:val="left"/>
            </w:pPr>
            <w:r>
              <w:t xml:space="preserve">ADR-33</w:t>
            </w:r>
          </w:p>
        </w:tc>
        <w:tc>
          <w:tcPr/>
          <w:p>
            <w:pPr>
              <w:pStyle w:val="Compact"/>
              <w:jc w:val="left"/>
            </w:pPr>
            <w:r>
              <w:t xml:space="preserve">Plain language first, codes behind Show details</w:t>
            </w:r>
          </w:p>
        </w:tc>
        <w:tc>
          <w:tcPr/>
          <w:p>
            <w:pPr>
              <w:pStyle w:val="Compact"/>
              <w:jc w:val="left"/>
            </w:pPr>
            <w:r>
              <w:t xml:space="preserve">Reviewers are accountants, not readers of rule IDs; auditors still need every code</w:t>
            </w:r>
          </w:p>
        </w:tc>
        <w:tc>
          <w:tcPr/>
          <w:p>
            <w:pPr>
              <w:pStyle w:val="Compact"/>
              <w:jc w:val="left"/>
            </w:pPr>
            <w:r>
              <w:t xml:space="preserve">Every screen leads with plain words from</w:t>
            </w:r>
            <w:r>
              <w:t xml:space="preserve"> </w:t>
            </w:r>
            <w:r>
              <w:rPr>
                <w:rStyle w:val="VerbatimChar"/>
              </w:rPr>
              <w:t xml:space="preserve">labels.py</w:t>
            </w:r>
            <w:r>
              <w:t xml:space="preserve"> </w:t>
            </w:r>
            <w:r>
              <w:t xml:space="preserve">and</w:t>
            </w:r>
            <w:r>
              <w:t xml:space="preserve"> </w:t>
            </w:r>
            <w:r>
              <w:rPr>
                <w:rStyle w:val="VerbatimChar"/>
              </w:rPr>
              <w:t xml:space="preserve">plain.py</w:t>
            </w:r>
            <w:r>
              <w:t xml:space="preserve">; codes, scores and hashes sit in elements shown by Show details. Tests fail if a code appears with details off (TC-I-080, TC-I-082)</w:t>
            </w:r>
          </w:p>
        </w:tc>
      </w:tr>
      <w:tr>
        <w:tc>
          <w:tcPr/>
          <w:p>
            <w:pPr>
              <w:pStyle w:val="Compact"/>
              <w:jc w:val="left"/>
            </w:pPr>
            <w:r>
              <w:t xml:space="preserve">ADR-34</w:t>
            </w:r>
          </w:p>
        </w:tc>
        <w:tc>
          <w:tcPr/>
          <w:p>
            <w:pPr>
              <w:pStyle w:val="Compact"/>
              <w:jc w:val="left"/>
            </w:pPr>
            <w:r>
              <w:t xml:space="preserve">Original records shown as received</w:t>
            </w:r>
          </w:p>
        </w:tc>
        <w:tc>
          <w:tcPr/>
          <w:p>
            <w:pPr>
              <w:pStyle w:val="Compact"/>
              <w:jc w:val="left"/>
            </w:pPr>
            <w:r>
              <w:t xml:space="preserve">A reviewer checks against the source, not the tidied comparison values</w:t>
            </w:r>
          </w:p>
        </w:tc>
        <w:tc>
          <w:tcPr/>
          <w:p>
            <w:pPr>
              <w:pStyle w:val="Compact"/>
              <w:jc w:val="left"/>
            </w:pPr>
            <w:r>
              <w:t xml:space="preserve">The item screen shows each record’s file columns untouched, from the stored</w:t>
            </w:r>
            <w:r>
              <w:t xml:space="preserve"> </w:t>
            </w:r>
            <w:r>
              <w:rPr>
                <w:rStyle w:val="VerbatimChar"/>
              </w:rPr>
              <w:t xml:space="preserve">*_original</w:t>
            </w:r>
            <w:r>
              <w:t xml:space="preserve"> </w:t>
            </w:r>
            <w:r>
              <w:t xml:space="preserve">values; no document images are generated, because the input is CSV only (DD-08)</w:t>
            </w:r>
          </w:p>
        </w:tc>
      </w:tr>
    </w:tbl>
    <w:bookmarkEnd w:id="46"/>
    <w:bookmarkStart w:id="47" w:name="traceability"/>
    <w:p>
      <w:pPr>
        <w:pStyle w:val="Heading2"/>
      </w:pPr>
      <w:r>
        <w:t xml:space="preserve">18. Traceability</w:t>
      </w:r>
    </w:p>
    <w:tbl>
      <w:tblPr>
        <w:tblStyle w:val="Table"/>
        <w:tblW w:type="pct" w:w="5000"/>
        <w:tblLook w:firstRow="1" w:lastRow="0" w:firstColumn="0" w:lastColumn="0" w:noHBand="0" w:noVBand="0" w:val="0020"/>
        <w:jc w:val="start"/>
      </w:tblPr>
      <w:tblGrid>
        <w:gridCol w:w="1466"/>
        <w:gridCol w:w="6453"/>
      </w:tblGrid>
      <w:tr>
        <w:trPr>
          <w:tblHeader w:val="true"/>
        </w:trPr>
        <w:tc>
          <w:tcPr/>
          <w:p>
            <w:pPr>
              <w:pStyle w:val="Compact"/>
              <w:jc w:val="left"/>
            </w:pPr>
            <w:r>
              <w:t xml:space="preserve">Requirement group</w:t>
            </w:r>
          </w:p>
        </w:tc>
        <w:tc>
          <w:tcPr/>
          <w:p>
            <w:pPr>
              <w:pStyle w:val="Compact"/>
              <w:jc w:val="left"/>
            </w:pPr>
            <w:r>
              <w:t xml:space="preserve">Implemented in</w:t>
            </w:r>
          </w:p>
        </w:tc>
      </w:tr>
      <w:tr>
        <w:tc>
          <w:tcPr/>
          <w:p>
            <w:pPr>
              <w:pStyle w:val="Compact"/>
              <w:jc w:val="left"/>
            </w:pPr>
            <w:r>
              <w:t xml:space="preserve">FR-IMP</w:t>
            </w:r>
          </w:p>
        </w:tc>
        <w:tc>
          <w:tcPr/>
          <w:p>
            <w:pPr>
              <w:pStyle w:val="Compact"/>
              <w:jc w:val="left"/>
            </w:pPr>
            <w:r>
              <w:rPr>
                <w:rStyle w:val="VerbatimChar"/>
              </w:rPr>
              <w:t xml:space="preserve">services/import_service.py</w:t>
            </w:r>
            <w:r>
              <w:t xml:space="preserve">,</w:t>
            </w:r>
            <w:r>
              <w:t xml:space="preserve"> </w:t>
            </w:r>
            <w:r>
              <w:rPr>
                <w:rStyle w:val="VerbatimChar"/>
              </w:rPr>
              <w:t xml:space="preserve">services/run_service.py</w:t>
            </w:r>
            <w:r>
              <w:t xml:space="preserve">,</w:t>
            </w:r>
            <w:r>
              <w:t xml:space="preserve"> </w:t>
            </w:r>
            <w:r>
              <w:rPr>
                <w:rStyle w:val="VerbatimChar"/>
              </w:rPr>
              <w:t xml:space="preserve">web/routes/runs.py</w:t>
            </w:r>
          </w:p>
        </w:tc>
      </w:tr>
      <w:tr>
        <w:tc>
          <w:tcPr/>
          <w:p>
            <w:pPr>
              <w:pStyle w:val="Compact"/>
              <w:jc w:val="left"/>
            </w:pPr>
            <w:r>
              <w:t xml:space="preserve">FR-VAL, FR-NRM</w:t>
            </w:r>
          </w:p>
        </w:tc>
        <w:tc>
          <w:tcPr/>
          <w:p>
            <w:pPr>
              <w:pStyle w:val="Compact"/>
              <w:jc w:val="left"/>
            </w:pPr>
            <w:r>
              <w:rPr>
                <w:rStyle w:val="VerbatimChar"/>
              </w:rPr>
              <w:t xml:space="preserve">services/validation_service.py</w:t>
            </w:r>
          </w:p>
        </w:tc>
      </w:tr>
      <w:tr>
        <w:tc>
          <w:tcPr/>
          <w:p>
            <w:pPr>
              <w:pStyle w:val="Compact"/>
              <w:jc w:val="left"/>
            </w:pPr>
            <w:r>
              <w:t xml:space="preserve">FR-MAT</w:t>
            </w:r>
          </w:p>
        </w:tc>
        <w:tc>
          <w:tcPr/>
          <w:p>
            <w:pPr>
              <w:pStyle w:val="Compact"/>
              <w:jc w:val="left"/>
            </w:pPr>
            <w:r>
              <w:rPr>
                <w:rStyle w:val="VerbatimChar"/>
              </w:rPr>
              <w:t xml:space="preserve">domain/rules.py</w:t>
            </w:r>
          </w:p>
        </w:tc>
      </w:tr>
      <w:tr>
        <w:tc>
          <w:tcPr/>
          <w:p>
            <w:pPr>
              <w:pStyle w:val="Compact"/>
              <w:jc w:val="left"/>
            </w:pPr>
            <w:r>
              <w:t xml:space="preserve">FR-AI</w:t>
            </w:r>
          </w:p>
        </w:tc>
        <w:tc>
          <w:tcPr/>
          <w:p>
            <w:pPr>
              <w:pStyle w:val="Compact"/>
              <w:jc w:val="left"/>
            </w:pPr>
            <w:r>
              <w:rPr>
                <w:rStyle w:val="VerbatimChar"/>
              </w:rPr>
              <w:t xml:space="preserve">domain/candidates.py</w:t>
            </w:r>
            <w:r>
              <w:t xml:space="preserve">,</w:t>
            </w:r>
            <w:r>
              <w:t xml:space="preserve"> </w:t>
            </w:r>
            <w:r>
              <w:rPr>
                <w:rStyle w:val="VerbatimChar"/>
              </w:rPr>
              <w:t xml:space="preserve">features.py</w:t>
            </w:r>
            <w:r>
              <w:t xml:space="preserve">,</w:t>
            </w:r>
            <w:r>
              <w:t xml:space="preserve"> </w:t>
            </w:r>
            <w:r>
              <w:rPr>
                <w:rStyle w:val="VerbatimChar"/>
              </w:rPr>
              <w:t xml:space="preserve">scoring.py</w:t>
            </w:r>
            <w:r>
              <w:t xml:space="preserve">,</w:t>
            </w:r>
            <w:r>
              <w:t xml:space="preserve"> </w:t>
            </w:r>
            <w:r>
              <w:rPr>
                <w:rStyle w:val="VerbatimChar"/>
              </w:rPr>
              <w:t xml:space="preserve">calibration.py</w:t>
            </w:r>
          </w:p>
        </w:tc>
      </w:tr>
      <w:tr>
        <w:tc>
          <w:tcPr/>
          <w:p>
            <w:pPr>
              <w:pStyle w:val="Compact"/>
              <w:jc w:val="left"/>
            </w:pPr>
            <w:r>
              <w:t xml:space="preserve">FR-RSK, FR-EXC</w:t>
            </w:r>
          </w:p>
        </w:tc>
        <w:tc>
          <w:tcPr/>
          <w:p>
            <w:pPr>
              <w:pStyle w:val="Compact"/>
              <w:jc w:val="left"/>
            </w:pPr>
            <w:r>
              <w:rPr>
                <w:rStyle w:val="VerbatimChar"/>
              </w:rPr>
              <w:t xml:space="preserve">domain/risk.py</w:t>
            </w:r>
            <w:r>
              <w:t xml:space="preserve">,</w:t>
            </w:r>
            <w:r>
              <w:t xml:space="preserve"> </w:t>
            </w:r>
            <w:r>
              <w:rPr>
                <w:rStyle w:val="VerbatimChar"/>
              </w:rPr>
              <w:t xml:space="preserve">domain/explanation.py</w:t>
            </w:r>
            <w:r>
              <w:t xml:space="preserve">,</w:t>
            </w:r>
            <w:r>
              <w:t xml:space="preserve"> </w:t>
            </w:r>
            <w:r>
              <w:rPr>
                <w:rStyle w:val="VerbatimChar"/>
              </w:rPr>
              <w:t xml:space="preserve">services/matching_service.py</w:t>
            </w:r>
          </w:p>
        </w:tc>
      </w:tr>
      <w:tr>
        <w:tc>
          <w:tcPr/>
          <w:p>
            <w:pPr>
              <w:pStyle w:val="Compact"/>
              <w:jc w:val="left"/>
            </w:pPr>
            <w:r>
              <w:t xml:space="preserve">FR-REV</w:t>
            </w:r>
          </w:p>
        </w:tc>
        <w:tc>
          <w:tcPr/>
          <w:p>
            <w:pPr>
              <w:pStyle w:val="Compact"/>
              <w:jc w:val="left"/>
            </w:pPr>
            <w:r>
              <w:rPr>
                <w:rStyle w:val="VerbatimChar"/>
              </w:rPr>
              <w:t xml:space="preserve">services/review_service.py</w:t>
            </w:r>
            <w:r>
              <w:t xml:space="preserve">,</w:t>
            </w:r>
            <w:r>
              <w:t xml:space="preserve"> </w:t>
            </w:r>
            <w:r>
              <w:rPr>
                <w:rStyle w:val="VerbatimChar"/>
              </w:rPr>
              <w:t xml:space="preserve">web/routes/review.py</w:t>
            </w:r>
            <w:r>
              <w:t xml:space="preserve">,</w:t>
            </w:r>
            <w:r>
              <w:t xml:space="preserve"> </w:t>
            </w:r>
            <w:r>
              <w:rPr>
                <w:rStyle w:val="VerbatimChar"/>
              </w:rPr>
              <w:t xml:space="preserve">web/views.py</w:t>
            </w:r>
            <w:r>
              <w:t xml:space="preserve">,</w:t>
            </w:r>
            <w:r>
              <w:t xml:space="preserve"> </w:t>
            </w:r>
            <w:r>
              <w:rPr>
                <w:rStyle w:val="VerbatimChar"/>
              </w:rPr>
              <w:t xml:space="preserve">control/permissions.py</w:t>
            </w:r>
          </w:p>
        </w:tc>
      </w:tr>
      <w:tr>
        <w:tc>
          <w:tcPr/>
          <w:p>
            <w:pPr>
              <w:pStyle w:val="Compact"/>
              <w:jc w:val="left"/>
            </w:pPr>
            <w:r>
              <w:t xml:space="preserve">FR-ADJ</w:t>
            </w:r>
          </w:p>
        </w:tc>
        <w:tc>
          <w:tcPr/>
          <w:p>
            <w:pPr>
              <w:pStyle w:val="Compact"/>
              <w:jc w:val="left"/>
            </w:pPr>
            <w:r>
              <w:rPr>
                <w:rStyle w:val="VerbatimChar"/>
              </w:rPr>
              <w:t xml:space="preserve">services/adjustment_service.py</w:t>
            </w:r>
            <w:r>
              <w:t xml:space="preserve">,</w:t>
            </w:r>
            <w:r>
              <w:t xml:space="preserve"> </w:t>
            </w:r>
            <w:r>
              <w:rPr>
                <w:rStyle w:val="VerbatimChar"/>
              </w:rPr>
              <w:t xml:space="preserve">control/duties.py</w:t>
            </w:r>
          </w:p>
        </w:tc>
      </w:tr>
      <w:tr>
        <w:tc>
          <w:tcPr/>
          <w:p>
            <w:pPr>
              <w:pStyle w:val="Compact"/>
              <w:jc w:val="left"/>
            </w:pPr>
            <w:r>
              <w:t xml:space="preserve">FR-AUD</w:t>
            </w:r>
          </w:p>
        </w:tc>
        <w:tc>
          <w:tcPr/>
          <w:p>
            <w:pPr>
              <w:pStyle w:val="Compact"/>
              <w:jc w:val="left"/>
            </w:pPr>
            <w:r>
              <w:rPr>
                <w:rStyle w:val="VerbatimChar"/>
              </w:rPr>
              <w:t xml:space="preserve">infra/audit.py</w:t>
            </w:r>
            <w:r>
              <w:t xml:space="preserve">, schema triggers</w:t>
            </w:r>
          </w:p>
        </w:tc>
      </w:tr>
      <w:tr>
        <w:tc>
          <w:tcPr/>
          <w:p>
            <w:pPr>
              <w:pStyle w:val="Compact"/>
              <w:jc w:val="left"/>
            </w:pPr>
            <w:r>
              <w:t xml:space="preserve">FR-PER</w:t>
            </w:r>
          </w:p>
        </w:tc>
        <w:tc>
          <w:tcPr/>
          <w:p>
            <w:pPr>
              <w:pStyle w:val="Compact"/>
              <w:jc w:val="left"/>
            </w:pPr>
            <w:r>
              <w:rPr>
                <w:rStyle w:val="VerbatimChar"/>
              </w:rPr>
              <w:t xml:space="preserve">services/period_service.py</w:t>
            </w:r>
            <w:r>
              <w:t xml:space="preserve">,</w:t>
            </w:r>
            <w:r>
              <w:t xml:space="preserve"> </w:t>
            </w:r>
            <w:r>
              <w:rPr>
                <w:rStyle w:val="VerbatimChar"/>
              </w:rPr>
              <w:t xml:space="preserve">domain/statement.py</w:t>
            </w:r>
            <w:r>
              <w:t xml:space="preserve">,</w:t>
            </w:r>
            <w:r>
              <w:t xml:space="preserve"> </w:t>
            </w:r>
            <w:r>
              <w:rPr>
                <w:rStyle w:val="VerbatimChar"/>
              </w:rPr>
              <w:t xml:space="preserve">web/routes/period.py</w:t>
            </w:r>
            <w:r>
              <w:t xml:space="preserve">,</w:t>
            </w:r>
            <w:r>
              <w:t xml:space="preserve"> </w:t>
            </w:r>
            <w:r>
              <w:rPr>
                <w:rStyle w:val="VerbatimChar"/>
              </w:rPr>
              <w:t xml:space="preserve">control/period_lock.py</w:t>
            </w:r>
          </w:p>
        </w:tc>
      </w:tr>
      <w:tr>
        <w:tc>
          <w:tcPr/>
          <w:p>
            <w:pPr>
              <w:pStyle w:val="Compact"/>
              <w:jc w:val="left"/>
            </w:pPr>
            <w:r>
              <w:t xml:space="preserve">FR-RPT</w:t>
            </w:r>
          </w:p>
        </w:tc>
        <w:tc>
          <w:tcPr/>
          <w:p>
            <w:pPr>
              <w:pStyle w:val="Compact"/>
              <w:jc w:val="left"/>
            </w:pPr>
            <w:r>
              <w:rPr>
                <w:rStyle w:val="VerbatimChar"/>
              </w:rPr>
              <w:t xml:space="preserve">services/report_service.py</w:t>
            </w:r>
            <w:r>
              <w:t xml:space="preserve">,</w:t>
            </w:r>
            <w:r>
              <w:t xml:space="preserve"> </w:t>
            </w:r>
            <w:r>
              <w:rPr>
                <w:rStyle w:val="VerbatimChar"/>
              </w:rPr>
              <w:t xml:space="preserve">services/report_builders.py</w:t>
            </w:r>
            <w:r>
              <w:t xml:space="preserve">,</w:t>
            </w:r>
            <w:r>
              <w:t xml:space="preserve"> </w:t>
            </w:r>
            <w:r>
              <w:rPr>
                <w:rStyle w:val="VerbatimChar"/>
              </w:rPr>
              <w:t xml:space="preserve">infra/reports/</w:t>
            </w:r>
            <w:r>
              <w:t xml:space="preserve">,</w:t>
            </w:r>
            <w:r>
              <w:t xml:space="preserve"> </w:t>
            </w:r>
            <w:r>
              <w:rPr>
                <w:rStyle w:val="VerbatimChar"/>
              </w:rPr>
              <w:t xml:space="preserve">control/completion.py</w:t>
            </w:r>
          </w:p>
        </w:tc>
      </w:tr>
      <w:tr>
        <w:tc>
          <w:tcPr/>
          <w:p>
            <w:pPr>
              <w:pStyle w:val="Compact"/>
              <w:jc w:val="left"/>
            </w:pPr>
            <w:r>
              <w:t xml:space="preserve">FR-EVL</w:t>
            </w:r>
          </w:p>
        </w:tc>
        <w:tc>
          <w:tcPr/>
          <w:p>
            <w:pPr>
              <w:pStyle w:val="Compact"/>
              <w:jc w:val="left"/>
            </w:pPr>
            <w:r>
              <w:rPr>
                <w:rStyle w:val="VerbatimChar"/>
              </w:rPr>
              <w:t xml:space="preserve">services/evaluation_service.py</w:t>
            </w:r>
            <w:r>
              <w:t xml:space="preserve">,</w:t>
            </w:r>
            <w:r>
              <w:t xml:space="preserve"> </w:t>
            </w:r>
            <w:r>
              <w:rPr>
                <w:rStyle w:val="VerbatimChar"/>
              </w:rPr>
              <w:t xml:space="preserve">cli.py</w:t>
            </w:r>
            <w:r>
              <w:t xml:space="preserve"> </w:t>
            </w:r>
            <w:r>
              <w:t xml:space="preserve">(</w:t>
            </w:r>
            <w:r>
              <w:rPr>
                <w:rStyle w:val="VerbatimChar"/>
              </w:rPr>
              <w:t xml:space="preserve">evaluate</w:t>
            </w:r>
            <w:r>
              <w:t xml:space="preserve">)</w:t>
            </w:r>
          </w:p>
        </w:tc>
      </w:tr>
      <w:tr>
        <w:tc>
          <w:tcPr/>
          <w:p>
            <w:pPr>
              <w:pStyle w:val="Compact"/>
              <w:jc w:val="left"/>
            </w:pPr>
            <w:r>
              <w:t xml:space="preserve">FR-GAI</w:t>
            </w:r>
          </w:p>
        </w:tc>
        <w:tc>
          <w:tcPr/>
          <w:p>
            <w:pPr>
              <w:pStyle w:val="Compact"/>
              <w:jc w:val="left"/>
            </w:pPr>
            <w:r>
              <w:rPr>
                <w:rStyle w:val="VerbatimChar"/>
              </w:rPr>
              <w:t xml:space="preserve">infra/genai/</w:t>
            </w:r>
          </w:p>
        </w:tc>
      </w:tr>
      <w:tr>
        <w:tc>
          <w:tcPr/>
          <w:p>
            <w:pPr>
              <w:pStyle w:val="Compact"/>
              <w:jc w:val="left"/>
            </w:pPr>
            <w:r>
              <w:t xml:space="preserve">CR-01..CR-19</w:t>
            </w:r>
          </w:p>
        </w:tc>
        <w:tc>
          <w:tcPr/>
          <w:p>
            <w:pPr>
              <w:pStyle w:val="Compact"/>
              <w:jc w:val="left"/>
            </w:pPr>
            <w:r>
              <w:rPr>
                <w:rStyle w:val="VerbatimChar"/>
              </w:rPr>
              <w:t xml:space="preserve">app/control</w:t>
            </w:r>
            <w:r>
              <w:t xml:space="preserve"> </w:t>
            </w:r>
            <w:r>
              <w:t xml:space="preserve">plus schema constraints and triggers</w:t>
            </w:r>
          </w:p>
        </w:tc>
      </w:tr>
    </w:tbl>
    <w:bookmarkEnd w:id="47"/>
    <w:bookmarkEnd w:id="48"/>
    <w:sectPr>
      <w:pgSz w:h="15840" w:w="12240"/>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40" w:lineRule="auto"/>
    </w:pPr>
    <w:rPr>
      <w:rFonts w:ascii="Calibri" w:cs="Calibri" w:eastAsia="Calibri" w:hAnsi="Calibri"/>
      <w:sz w:val="20"/>
    </w:rPr>
  </w:style>
  <w:style w:styleId="BodyText" w:type="paragraph">
    <w:name w:val="Body Text"/>
    <w:basedOn w:val="Normal"/>
    <w:link w:val="BodyTextChar"/>
    <w:pPr>
      <w:spacing w:after="80" w:before="80" w:line="240" w:lineRule="auto"/>
    </w:pPr>
    <w:qFormat/>
    <w:rPr>
      <w:rFonts w:ascii="Calibri" w:cs="Calibri" w:eastAsia="Calibri" w:hAnsi="Calibri"/>
      <w:sz w:val="20"/>
    </w:rPr>
  </w:style>
  <w:style w:customStyle="1" w:styleId="FirstParagraph" w:type="paragraph">
    <w:name w:val="First Paragraph"/>
    <w:basedOn w:val="BodyText"/>
    <w:next w:val="BodyText"/>
    <w:qFormat/>
    <w:pPr>
      <w:spacing w:after="80" w:before="80" w:line="240" w:lineRule="auto"/>
    </w:pPr>
    <w:rPr>
      <w:rFonts w:ascii="Calibri" w:cs="Calibri" w:eastAsia="Calibri" w:hAnsi="Calibri"/>
      <w:sz w:val="20"/>
    </w:rPr>
  </w:style>
  <w:style w:customStyle="1" w:styleId="Compact" w:type="paragraph">
    <w:name w:val="Compact"/>
    <w:basedOn w:val="BodyText"/>
    <w:qFormat/>
    <w:pPr>
      <w:spacing w:after="0" w:before="0"/>
    </w:pPr>
    <w:rPr>
      <w:rFonts w:ascii="Calibri" w:cs="Calibri" w:eastAsia="Calibri" w:hAnsi="Calibri"/>
      <w:sz w:val="18"/>
    </w:rPr>
  </w:style>
  <w:style w:styleId="Title" w:type="paragraph">
    <w:name w:val="Title"/>
    <w:basedOn w:val="Normal"/>
    <w:next w:val="BodyText"/>
    <w:qFormat/>
    <w:pPr>
      <w:keepNext/>
      <w:keepLines/>
      <w:spacing w:after="120" w:before="0"/>
      <w:jc w:val="center"/>
    </w:pPr>
    <w:rPr>
      <w:rFonts w:ascii="Calibri" w:cs="Calibri" w:eastAsia="Calibri" w:hAnsi="Calibri"/>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40"/>
      <w:ind w:firstLine="0" w:left="480" w:right="480"/>
    </w:pPr>
    <w:rPr>
      <w:rFonts w:ascii="Calibri" w:cs="Calibri" w:eastAsia="Calibri" w:hAnsi="Calibri"/>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20"/>
        <w:left w:type="dxa" w:w="70"/>
        <w:bottom w:type="dxa" w:w="20"/>
        <w:right w:type="dxa" w:w="70"/>
      </w:tblCellMar>
    </w:tblPr>
    <w:tblStylePr w:type="firstRow">
      <w:rPr>
        <w:b/>
      </w:rPr>
      <w:tcPr>
        <w:shd w:color="auto" w:fill="DCE6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sz w:val="17"/>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2026-10-19T17:53:19Z</dcterms:created>
  <dcterms:modified xsi:type="dcterms:W3CDTF">2026-10-19T17:53:19Z</dcterms:modified>
</cp:coreProperties>
</file>

<file path=docProps/custom.xml><?xml version="1.0" encoding="utf-8"?>
<Properties xmlns="http://schemas.openxmlformats.org/officeDocument/2006/custom-properties" xmlns:vt="http://schemas.openxmlformats.org/officeDocument/2006/docPropsVTypes"/>
</file>