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77a9902865df7bf06420f90f3da2d6f77cb56b"/>
    <w:p>
      <w:pPr>
        <w:pStyle w:val="Heading1"/>
      </w:pPr>
      <w:r>
        <w:t xml:space="preserve">Test Plan and Results — AI-Assisted Bank Reconciliation</w:t>
      </w:r>
    </w:p>
    <w:bookmarkStart w:id="20" w:name="purpose-and-scope"/>
    <w:p>
      <w:pPr>
        <w:pStyle w:val="Heading2"/>
      </w:pPr>
      <w:r>
        <w:t xml:space="preserve">1. Purpose and Scope</w:t>
      </w:r>
    </w:p>
    <w:p>
      <w:pPr>
        <w:pStyle w:val="FirstParagraph"/>
      </w:pPr>
      <w:r>
        <w:t xml:space="preserve">This document defines how the system is tested, shows which tests cover each control rule, scenario and requirement group, and records the results. It covers the whole system, including the evaluator. The measured results of the evaluation (all brief section 11 metrics, performance by confidence band, error analysis) are reported in DOC-07 Evaluation Report; this document records the tests that guard them.</w:t>
      </w:r>
    </w:p>
    <w:bookmarkEnd w:id="20"/>
    <w:bookmarkStart w:id="21" w:name="strategy"/>
    <w:p>
      <w:pPr>
        <w:pStyle w:val="Heading2"/>
      </w:pPr>
      <w:r>
        <w:t xml:space="preserve">2. Strategy</w:t>
      </w:r>
    </w:p>
    <w:tbl>
      <w:tblPr>
        <w:tblStyle w:val="Table"/>
        <w:tblW w:type="pct" w:w="5000"/>
        <w:tblLook w:firstRow="1" w:lastRow="0" w:firstColumn="0" w:lastColumn="0" w:noHBand="0" w:noVBand="0" w:val="0020"/>
        <w:jc w:val="start"/>
      </w:tblPr>
      <w:tblGrid>
        <w:gridCol w:w="1397"/>
        <w:gridCol w:w="5124"/>
        <w:gridCol w:w="854"/>
        <w:gridCol w:w="543"/>
      </w:tblGrid>
      <w:tr>
        <w:trPr>
          <w:tblHeader w:val="true"/>
        </w:trPr>
        <w:tc>
          <w:tcPr/>
          <w:p>
            <w:pPr>
              <w:pStyle w:val="Compact"/>
              <w:jc w:val="left"/>
            </w:pPr>
            <w:r>
              <w:t xml:space="preserve">Level</w:t>
            </w:r>
          </w:p>
        </w:tc>
        <w:tc>
          <w:tcPr/>
          <w:p>
            <w:pPr>
              <w:pStyle w:val="Compact"/>
              <w:jc w:val="left"/>
            </w:pPr>
            <w:r>
              <w:t xml:space="preserve">What it proves</w:t>
            </w:r>
          </w:p>
        </w:tc>
        <w:tc>
          <w:tcPr/>
          <w:p>
            <w:pPr>
              <w:pStyle w:val="Compact"/>
              <w:jc w:val="left"/>
            </w:pPr>
            <w:r>
              <w:t xml:space="preserve">ID</w:t>
            </w:r>
          </w:p>
        </w:tc>
        <w:tc>
          <w:tcPr/>
          <w:p>
            <w:pPr>
              <w:pStyle w:val="Compact"/>
              <w:jc w:val="right"/>
            </w:pPr>
            <w:r>
              <w:t xml:space="preserve">Tests</w:t>
            </w:r>
          </w:p>
        </w:tc>
      </w:tr>
      <w:tr>
        <w:tc>
          <w:tcPr/>
          <w:p>
            <w:pPr>
              <w:pStyle w:val="Compact"/>
              <w:jc w:val="left"/>
            </w:pPr>
            <w:r>
              <w:t xml:space="preserve">Unit</w:t>
            </w:r>
          </w:p>
        </w:tc>
        <w:tc>
          <w:tcPr/>
          <w:p>
            <w:pPr>
              <w:pStyle w:val="Compact"/>
              <w:jc w:val="left"/>
            </w:pPr>
            <w:r>
              <w:t xml:space="preserve">Domain and control functions on fixed inputs: rules, features, scoring, calibration, risk, explanations, statement arithmetic, permissions, separation of duties, state models, audit completeness rules</w:t>
            </w:r>
          </w:p>
        </w:tc>
        <w:tc>
          <w:tcPr/>
          <w:p>
            <w:pPr>
              <w:pStyle w:val="Compact"/>
              <w:jc w:val="left"/>
            </w:pPr>
            <w:r>
              <w:t xml:space="preserve">TC-U-nnn</w:t>
            </w:r>
          </w:p>
        </w:tc>
        <w:tc>
          <w:tcPr/>
          <w:p>
            <w:pPr>
              <w:pStyle w:val="Compact"/>
              <w:jc w:val="right"/>
            </w:pPr>
            <w:r>
              <w:t xml:space="preserve">76</w:t>
            </w:r>
          </w:p>
        </w:tc>
      </w:tr>
      <w:tr>
        <w:tc>
          <w:tcPr/>
          <w:p>
            <w:pPr>
              <w:pStyle w:val="Compact"/>
              <w:jc w:val="left"/>
            </w:pPr>
            <w:r>
              <w:t xml:space="preserve">Integration</w:t>
            </w:r>
          </w:p>
        </w:tc>
        <w:tc>
          <w:tcPr/>
          <w:p>
            <w:pPr>
              <w:pStyle w:val="Compact"/>
              <w:jc w:val="left"/>
            </w:pPr>
            <w:r>
              <w:t xml:space="preserve">Services against a real database, the web layer through view functions and HTTP routes, and the evaluator</w:t>
            </w:r>
          </w:p>
        </w:tc>
        <w:tc>
          <w:tcPr/>
          <w:p>
            <w:pPr>
              <w:pStyle w:val="Compact"/>
              <w:jc w:val="left"/>
            </w:pPr>
            <w:r>
              <w:t xml:space="preserve">TC-I-nnn</w:t>
            </w:r>
          </w:p>
        </w:tc>
        <w:tc>
          <w:tcPr/>
          <w:p>
            <w:pPr>
              <w:pStyle w:val="Compact"/>
              <w:jc w:val="right"/>
            </w:pPr>
            <w:r>
              <w:t xml:space="preserve">90</w:t>
            </w:r>
          </w:p>
        </w:tc>
      </w:tr>
      <w:tr>
        <w:tc>
          <w:tcPr/>
          <w:p>
            <w:pPr>
              <w:pStyle w:val="Compact"/>
              <w:jc w:val="left"/>
            </w:pPr>
            <w:r>
              <w:t xml:space="preserve">Control</w:t>
            </w:r>
          </w:p>
        </w:tc>
        <w:tc>
          <w:tcPr/>
          <w:p>
            <w:pPr>
              <w:pStyle w:val="Compact"/>
              <w:jc w:val="left"/>
            </w:pPr>
            <w:r>
              <w:t xml:space="preserve">One or more tests per control rule: the refusal, the rule it names, and the BLOCKED_ATTEMPT event where one applies</w:t>
            </w:r>
          </w:p>
        </w:tc>
        <w:tc>
          <w:tcPr/>
          <w:p>
            <w:pPr>
              <w:pStyle w:val="Compact"/>
              <w:jc w:val="left"/>
            </w:pPr>
            <w:r>
              <w:t xml:space="preserve">TC-C-nnn</w:t>
            </w:r>
          </w:p>
        </w:tc>
        <w:tc>
          <w:tcPr/>
          <w:p>
            <w:pPr>
              <w:pStyle w:val="Compact"/>
              <w:jc w:val="right"/>
            </w:pPr>
            <w:r>
              <w:t xml:space="preserve">70</w:t>
            </w:r>
          </w:p>
        </w:tc>
      </w:tr>
      <w:tr>
        <w:tc>
          <w:tcPr/>
          <w:p>
            <w:pPr>
              <w:pStyle w:val="Compact"/>
              <w:jc w:val="left"/>
            </w:pPr>
            <w:r>
              <w:t xml:space="preserve">Hybrid</w:t>
            </w:r>
          </w:p>
        </w:tc>
        <w:tc>
          <w:tcPr/>
          <w:p>
            <w:pPr>
              <w:pStyle w:val="Compact"/>
              <w:jc w:val="left"/>
            </w:pPr>
            <w:r>
              <w:t xml:space="preserve">The AI layer against the labelled dataset: what scoring adds and what it must never do</w:t>
            </w:r>
          </w:p>
        </w:tc>
        <w:tc>
          <w:tcPr/>
          <w:p>
            <w:pPr>
              <w:pStyle w:val="Compact"/>
              <w:jc w:val="left"/>
            </w:pPr>
            <w:r>
              <w:t xml:space="preserve">TC-H-nnn</w:t>
            </w:r>
          </w:p>
        </w:tc>
        <w:tc>
          <w:tcPr/>
          <w:p>
            <w:pPr>
              <w:pStyle w:val="Compact"/>
              <w:jc w:val="right"/>
            </w:pPr>
            <w:r>
              <w:t xml:space="preserve">7</w:t>
            </w:r>
          </w:p>
        </w:tc>
      </w:tr>
      <w:tr>
        <w:tc>
          <w:tcPr/>
          <w:p>
            <w:pPr>
              <w:pStyle w:val="Compact"/>
              <w:jc w:val="left"/>
            </w:pPr>
            <w:r>
              <w:t xml:space="preserve">Scenario</w:t>
            </w:r>
          </w:p>
        </w:tc>
        <w:tc>
          <w:tcPr/>
          <w:p>
            <w:pPr>
              <w:pStyle w:val="Compact"/>
              <w:jc w:val="left"/>
            </w:pPr>
            <w:r>
              <w:t xml:space="preserve">SCN-01..08 against the labelled dataset, and the complete August reconciliation</w:t>
            </w:r>
          </w:p>
        </w:tc>
        <w:tc>
          <w:tcPr/>
          <w:p>
            <w:pPr>
              <w:pStyle w:val="Compact"/>
              <w:jc w:val="left"/>
            </w:pPr>
            <w:r>
              <w:t xml:space="preserve">TC-S-nnn</w:t>
            </w:r>
          </w:p>
        </w:tc>
        <w:tc>
          <w:tcPr/>
          <w:p>
            <w:pPr>
              <w:pStyle w:val="Compact"/>
              <w:jc w:val="right"/>
            </w:pPr>
            <w:r>
              <w:t xml:space="preserve">8</w:t>
            </w:r>
          </w:p>
        </w:tc>
      </w:tr>
      <w:tr>
        <w:tc>
          <w:tcPr/>
          <w:p>
            <w:pPr>
              <w:pStyle w:val="Compact"/>
              <w:jc w:val="left"/>
            </w:pPr>
            <w:r>
              <w:t xml:space="preserve">Reproducibility</w:t>
            </w:r>
          </w:p>
        </w:tc>
        <w:tc>
          <w:tcPr/>
          <w:p>
            <w:pPr>
              <w:pStyle w:val="Compact"/>
              <w:jc w:val="left"/>
            </w:pPr>
            <w:r>
              <w:t xml:space="preserve">Same seed and data give the same results; parameters are frozen on the run; the timing sample is seeded</w:t>
            </w:r>
          </w:p>
        </w:tc>
        <w:tc>
          <w:tcPr/>
          <w:p>
            <w:pPr>
              <w:pStyle w:val="Compact"/>
              <w:jc w:val="left"/>
            </w:pPr>
            <w:r>
              <w:t xml:space="preserve">TC-R-nnn</w:t>
            </w:r>
          </w:p>
        </w:tc>
        <w:tc>
          <w:tcPr/>
          <w:p>
            <w:pPr>
              <w:pStyle w:val="Compact"/>
              <w:jc w:val="right"/>
            </w:pPr>
            <w:r>
              <w:t xml:space="preserve">3</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254</w:t>
            </w:r>
          </w:p>
        </w:tc>
      </w:tr>
    </w:tbl>
    <w:p>
      <w:pPr>
        <w:pStyle w:val="BodyText"/>
      </w:pPr>
      <w:r>
        <w:t xml:space="preserve">Counts are test cases; one unit test runs five parameterized cases.</w:t>
      </w:r>
    </w:p>
    <w:p>
      <w:pPr>
        <w:pStyle w:val="BodyText"/>
      </w:pPr>
      <w:r>
        <w:t xml:space="preserve">Principles that apply to every test:</w:t>
      </w:r>
    </w:p>
    <w:p>
      <w:pPr>
        <w:numPr>
          <w:ilvl w:val="0"/>
          <w:numId w:val="1001"/>
        </w:numPr>
        <w:pStyle w:val="Compact"/>
      </w:pPr>
      <w:r>
        <w:rPr>
          <w:bCs/>
          <w:b/>
        </w:rPr>
        <w:t xml:space="preserve">Real database, no mocks of the system under test.</w:t>
      </w:r>
      <w:r>
        <w:t xml:space="preserve"> </w:t>
      </w:r>
      <w:r>
        <w:t xml:space="preserve">Each test builds a fresh SQLite database from</w:t>
      </w:r>
      <w:r>
        <w:t xml:space="preserve"> </w:t>
      </w:r>
      <w:r>
        <w:rPr>
          <w:rStyle w:val="VerbatimChar"/>
        </w:rPr>
        <w:t xml:space="preserve">db/schema.sql</w:t>
      </w:r>
      <w:r>
        <w:t xml:space="preserve">, so triggers and CHECK constraints are exercised exactly as in use.</w:t>
      </w:r>
    </w:p>
    <w:p>
      <w:pPr>
        <w:numPr>
          <w:ilvl w:val="0"/>
          <w:numId w:val="1001"/>
        </w:numPr>
        <w:pStyle w:val="Compact"/>
      </w:pPr>
      <w:r>
        <w:rPr>
          <w:bCs/>
          <w:b/>
        </w:rPr>
        <w:t xml:space="preserve">Seeded data.</w:t>
      </w:r>
      <w:r>
        <w:t xml:space="preserve"> </w:t>
      </w:r>
      <w:r>
        <w:t xml:space="preserve">The August dataset (1,240 transactions plus 18 carry-in items) and the July calibration dataset are generated from fixed seeds, so every run sees identical data.</w:t>
      </w:r>
    </w:p>
    <w:p>
      <w:pPr>
        <w:numPr>
          <w:ilvl w:val="0"/>
          <w:numId w:val="1001"/>
        </w:numPr>
        <w:pStyle w:val="Compact"/>
      </w:pPr>
      <w:r>
        <w:rPr>
          <w:bCs/>
          <w:b/>
        </w:rPr>
        <w:t xml:space="preserve">Ground truth only where it belongs.</w:t>
      </w:r>
      <w:r>
        <w:t xml:space="preserve"> </w:t>
      </w:r>
      <w:r>
        <w:t xml:space="preserve">Scenario and hybrid tests read</w:t>
      </w:r>
      <w:r>
        <w:t xml:space="preserve"> </w:t>
      </w:r>
      <w:r>
        <w:rPr>
          <w:rStyle w:val="VerbatimChar"/>
        </w:rPr>
        <w:t xml:space="preserve">ground_truth.csv</w:t>
      </w:r>
      <w:r>
        <w:t xml:space="preserve">; the application code never does (ADR-11).</w:t>
      </w:r>
    </w:p>
    <w:p>
      <w:pPr>
        <w:numPr>
          <w:ilvl w:val="0"/>
          <w:numId w:val="1001"/>
        </w:numPr>
        <w:pStyle w:val="Compact"/>
      </w:pPr>
      <w:r>
        <w:rPr>
          <w:bCs/>
          <w:b/>
        </w:rPr>
        <w:t xml:space="preserve">A control test checks both halves.</w:t>
      </w:r>
      <w:r>
        <w:t xml:space="preserve"> </w:t>
      </w:r>
      <w:r>
        <w:t xml:space="preserve">The action is refused with the right rule, and nothing is written except the evidence that the control fired.</w:t>
      </w:r>
    </w:p>
    <w:p>
      <w:pPr>
        <w:numPr>
          <w:ilvl w:val="0"/>
          <w:numId w:val="1001"/>
        </w:numPr>
        <w:pStyle w:val="Compact"/>
      </w:pPr>
      <w:r>
        <w:rPr>
          <w:bCs/>
          <w:b/>
        </w:rPr>
        <w:t xml:space="preserve">Misbehaving dependencies are simulated on purpose.</w:t>
      </w:r>
      <w:r>
        <w:t xml:space="preserve"> </w:t>
      </w:r>
      <w:r>
        <w:t xml:space="preserve">The generative AI tests use scripted providers that decide, invent percentages or time out.</w:t>
      </w:r>
    </w:p>
    <w:bookmarkEnd w:id="21"/>
    <w:bookmarkStart w:id="22" w:name="environment-and-how-to-run"/>
    <w:p>
      <w:pPr>
        <w:pStyle w:val="Heading2"/>
      </w:pPr>
      <w:r>
        <w:t xml:space="preserve">3. Environment and How to Run</w:t>
      </w:r>
    </w:p>
    <w:tbl>
      <w:tblPr>
        <w:tblStyle w:val="Table"/>
        <w:tblW w:type="pct" w:w="5000"/>
        <w:tblLook w:firstRow="1" w:lastRow="0" w:firstColumn="0" w:lastColumn="0" w:noHBand="0" w:noVBand="0" w:val="0020"/>
        <w:jc w:val="start"/>
      </w:tblPr>
      <w:tblGrid>
        <w:gridCol w:w="1372"/>
        <w:gridCol w:w="6547"/>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Platform</w:t>
            </w:r>
          </w:p>
        </w:tc>
        <w:tc>
          <w:tcPr/>
          <w:p>
            <w:pPr>
              <w:pStyle w:val="Compact"/>
              <w:jc w:val="left"/>
            </w:pPr>
            <w:r>
              <w:t xml:space="preserve">macOS, Python 3.13</w:t>
            </w:r>
          </w:p>
        </w:tc>
      </w:tr>
      <w:tr>
        <w:tc>
          <w:tcPr/>
          <w:p>
            <w:pPr>
              <w:pStyle w:val="Compact"/>
              <w:jc w:val="left"/>
            </w:pPr>
            <w:r>
              <w:t xml:space="preserve">Packages</w:t>
            </w:r>
          </w:p>
        </w:tc>
        <w:tc>
          <w:tcPr/>
          <w:p>
            <w:pPr>
              <w:pStyle w:val="Compact"/>
              <w:jc w:val="left"/>
            </w:pPr>
            <w:r>
              <w:rPr>
                <w:rStyle w:val="VerbatimChar"/>
              </w:rPr>
              <w:t xml:space="preserve">requirements.txt</w:t>
            </w:r>
            <w:r>
              <w:t xml:space="preserve"> </w:t>
            </w:r>
            <w:r>
              <w:t xml:space="preserve">(pytest, FastAPI test client, Jinja2, scikit-learn)</w:t>
            </w:r>
          </w:p>
        </w:tc>
      </w:tr>
      <w:tr>
        <w:tc>
          <w:tcPr/>
          <w:p>
            <w:pPr>
              <w:pStyle w:val="Compact"/>
              <w:jc w:val="left"/>
            </w:pPr>
            <w:r>
              <w:t xml:space="preserve">Configuration</w:t>
            </w:r>
          </w:p>
        </w:tc>
        <w:tc>
          <w:tcPr/>
          <w:p>
            <w:pPr>
              <w:pStyle w:val="Compact"/>
              <w:jc w:val="left"/>
            </w:pPr>
            <w:r>
              <w:rPr>
                <w:rStyle w:val="VerbatimChar"/>
              </w:rPr>
              <w:t xml:space="preserve">pytest.ini</w:t>
            </w:r>
            <w:r>
              <w:t xml:space="preserve">: test paths, and one filtered library notice from the web test client</w:t>
            </w:r>
          </w:p>
        </w:tc>
      </w:tr>
      <w:tr>
        <w:tc>
          <w:tcPr/>
          <w:p>
            <w:pPr>
              <w:pStyle w:val="Compact"/>
              <w:jc w:val="left"/>
            </w:pPr>
            <w:r>
              <w:t xml:space="preserve">Data</w:t>
            </w:r>
          </w:p>
        </w:tc>
        <w:tc>
          <w:tcPr/>
          <w:p>
            <w:pPr>
              <w:pStyle w:val="Compact"/>
              <w:jc w:val="left"/>
            </w:pPr>
            <w:r>
              <w:rPr>
                <w:rStyle w:val="VerbatimChar"/>
              </w:rPr>
              <w:t xml:space="preserve">data/august_2026/</w:t>
            </w:r>
            <w:r>
              <w:t xml:space="preserve">,</w:t>
            </w:r>
            <w:r>
              <w:t xml:space="preserve"> </w:t>
            </w:r>
            <w:r>
              <w:rPr>
                <w:rStyle w:val="VerbatimChar"/>
              </w:rPr>
              <w:t xml:space="preserve">data/july_2026_calibration/</w:t>
            </w:r>
            <w:r>
              <w:t xml:space="preserve">,</w:t>
            </w:r>
            <w:r>
              <w:t xml:space="preserve"> </w:t>
            </w:r>
            <w:r>
              <w:rPr>
                <w:rStyle w:val="VerbatimChar"/>
              </w:rPr>
              <w:t xml:space="preserve">models/calibration.json</w:t>
            </w:r>
          </w:p>
        </w:tc>
      </w:tr>
    </w:tbl>
    <w:p>
      <w:pPr>
        <w:pStyle w:val="SourceCode"/>
      </w:pPr>
      <w:r>
        <w:rPr>
          <w:rStyle w:val="VerbatimChar"/>
        </w:rPr>
        <w:t xml:space="preserve">pip install -r requirements.txt</w:t>
      </w:r>
      <w:r>
        <w:br/>
      </w:r>
      <w:r>
        <w:rPr>
          <w:rStyle w:val="VerbatimChar"/>
        </w:rPr>
        <w:t xml:space="preserve">python -m pytest -q                        # whole suite</w:t>
      </w:r>
      <w:r>
        <w:br/>
      </w:r>
      <w:r>
        <w:rPr>
          <w:rStyle w:val="VerbatimChar"/>
        </w:rPr>
        <w:t xml:space="preserve">python -m pytest tests/test_control.py -q   # one file</w:t>
      </w:r>
      <w:r>
        <w:br/>
      </w:r>
      <w:r>
        <w:rPr>
          <w:rStyle w:val="VerbatimChar"/>
        </w:rPr>
        <w:t xml:space="preserve">python -m pytest -k tcc_038 -q              # one test by ID</w:t>
      </w:r>
    </w:p>
    <w:bookmarkEnd w:id="22"/>
    <w:bookmarkStart w:id="23" w:name="test-inventory"/>
    <w:p>
      <w:pPr>
        <w:pStyle w:val="Heading2"/>
      </w:pPr>
      <w:r>
        <w:t xml:space="preserve">4. Test Inventory</w:t>
      </w:r>
    </w:p>
    <w:tbl>
      <w:tblPr>
        <w:tblStyle w:val="Table"/>
        <w:tblW w:type="pct" w:w="5000"/>
        <w:tblLook w:firstRow="1" w:lastRow="0" w:firstColumn="0" w:lastColumn="0" w:noHBand="0" w:noVBand="0" w:val="0020"/>
        <w:jc w:val="start"/>
      </w:tblPr>
      <w:tblGrid>
        <w:gridCol w:w="2129"/>
        <w:gridCol w:w="5194"/>
        <w:gridCol w:w="596"/>
      </w:tblGrid>
      <w:tr>
        <w:trPr>
          <w:tblHeader w:val="true"/>
        </w:trPr>
        <w:tc>
          <w:tcPr/>
          <w:p>
            <w:pPr>
              <w:pStyle w:val="Compact"/>
              <w:jc w:val="left"/>
            </w:pPr>
            <w:r>
              <w:t xml:space="preserve">File</w:t>
            </w:r>
          </w:p>
        </w:tc>
        <w:tc>
          <w:tcPr/>
          <w:p>
            <w:pPr>
              <w:pStyle w:val="Compact"/>
              <w:jc w:val="left"/>
            </w:pPr>
            <w:r>
              <w:t xml:space="preserve">Covers</w:t>
            </w:r>
          </w:p>
        </w:tc>
        <w:tc>
          <w:tcPr/>
          <w:p>
            <w:pPr>
              <w:pStyle w:val="Compact"/>
              <w:jc w:val="right"/>
            </w:pPr>
            <w:r>
              <w:t xml:space="preserve">Tests</w:t>
            </w:r>
          </w:p>
        </w:tc>
      </w:tr>
      <w:tr>
        <w:tc>
          <w:tcPr/>
          <w:p>
            <w:pPr>
              <w:pStyle w:val="Compact"/>
              <w:jc w:val="left"/>
            </w:pPr>
            <w:r>
              <w:rPr>
                <w:rStyle w:val="VerbatimChar"/>
              </w:rPr>
              <w:t xml:space="preserve">test_domain.py</w:t>
            </w:r>
          </w:p>
        </w:tc>
        <w:tc>
          <w:tcPr/>
          <w:p>
            <w:pPr>
              <w:pStyle w:val="Compact"/>
              <w:jc w:val="left"/>
            </w:pPr>
            <w:r>
              <w:t xml:space="preserve">Parsing, normalization, deterministic rules, risk and routing</w:t>
            </w:r>
          </w:p>
        </w:tc>
        <w:tc>
          <w:tcPr/>
          <w:p>
            <w:pPr>
              <w:pStyle w:val="Compact"/>
              <w:jc w:val="right"/>
            </w:pPr>
            <w:r>
              <w:t xml:space="preserve">27</w:t>
            </w:r>
          </w:p>
        </w:tc>
      </w:tr>
      <w:tr>
        <w:tc>
          <w:tcPr/>
          <w:p>
            <w:pPr>
              <w:pStyle w:val="Compact"/>
              <w:jc w:val="left"/>
            </w:pPr>
            <w:r>
              <w:rPr>
                <w:rStyle w:val="VerbatimChar"/>
              </w:rPr>
              <w:t xml:space="preserve">test_scoring.py</w:t>
            </w:r>
          </w:p>
        </w:tc>
        <w:tc>
          <w:tcPr/>
          <w:p>
            <w:pPr>
              <w:pStyle w:val="Compact"/>
              <w:jc w:val="left"/>
            </w:pPr>
            <w:r>
              <w:t xml:space="preserve">Text similarity, features, candidate and group search, ranking, explanations, calibration</w:t>
            </w:r>
          </w:p>
        </w:tc>
        <w:tc>
          <w:tcPr/>
          <w:p>
            <w:pPr>
              <w:pStyle w:val="Compact"/>
              <w:jc w:val="right"/>
            </w:pPr>
            <w:r>
              <w:t xml:space="preserve">32</w:t>
            </w:r>
          </w:p>
        </w:tc>
      </w:tr>
      <w:tr>
        <w:tc>
          <w:tcPr/>
          <w:p>
            <w:pPr>
              <w:pStyle w:val="Compact"/>
              <w:jc w:val="left"/>
            </w:pPr>
            <w:r>
              <w:rPr>
                <w:rStyle w:val="VerbatimChar"/>
              </w:rPr>
              <w:t xml:space="preserve">test_pipeline.py</w:t>
            </w:r>
          </w:p>
        </w:tc>
        <w:tc>
          <w:tcPr/>
          <w:p>
            <w:pPr>
              <w:pStyle w:val="Compact"/>
              <w:jc w:val="left"/>
            </w:pPr>
            <w:r>
              <w:t xml:space="preserve">Import to routed queues; scenarios SCN-01..08 on the baseline; hybrid layer; reproducibility</w:t>
            </w:r>
          </w:p>
        </w:tc>
        <w:tc>
          <w:tcPr/>
          <w:p>
            <w:pPr>
              <w:pStyle w:val="Compact"/>
              <w:jc w:val="right"/>
            </w:pPr>
            <w:r>
              <w:t xml:space="preserve">22</w:t>
            </w:r>
          </w:p>
        </w:tc>
      </w:tr>
      <w:tr>
        <w:tc>
          <w:tcPr/>
          <w:p>
            <w:pPr>
              <w:pStyle w:val="Compact"/>
              <w:jc w:val="left"/>
            </w:pPr>
            <w:r>
              <w:rPr>
                <w:rStyle w:val="VerbatimChar"/>
              </w:rPr>
              <w:t xml:space="preserve">test_controls.py</w:t>
            </w:r>
          </w:p>
        </w:tc>
        <w:tc>
          <w:tcPr/>
          <w:p>
            <w:pPr>
              <w:pStyle w:val="Compact"/>
              <w:jc w:val="left"/>
            </w:pPr>
            <w:r>
              <w:t xml:space="preserve">Audit immutability and chain, rollback, period lock on imports, validation gates</w:t>
            </w:r>
          </w:p>
        </w:tc>
        <w:tc>
          <w:tcPr/>
          <w:p>
            <w:pPr>
              <w:pStyle w:val="Compact"/>
              <w:jc w:val="right"/>
            </w:pPr>
            <w:r>
              <w:t xml:space="preserve">14</w:t>
            </w:r>
          </w:p>
        </w:tc>
      </w:tr>
      <w:tr>
        <w:tc>
          <w:tcPr/>
          <w:p>
            <w:pPr>
              <w:pStyle w:val="Compact"/>
              <w:jc w:val="left"/>
            </w:pPr>
            <w:r>
              <w:rPr>
                <w:rStyle w:val="VerbatimChar"/>
              </w:rPr>
              <w:t xml:space="preserve">test_repositories.py</w:t>
            </w:r>
          </w:p>
        </w:tc>
        <w:tc>
          <w:tcPr/>
          <w:p>
            <w:pPr>
              <w:pStyle w:val="Compact"/>
              <w:jc w:val="left"/>
            </w:pPr>
            <w:r>
              <w:t xml:space="preserve">Connection-scoped reads, decision, adjustment, period and report records</w:t>
            </w:r>
          </w:p>
        </w:tc>
        <w:tc>
          <w:tcPr/>
          <w:p>
            <w:pPr>
              <w:pStyle w:val="Compact"/>
              <w:jc w:val="right"/>
            </w:pPr>
            <w:r>
              <w:t xml:space="preserve">11</w:t>
            </w:r>
          </w:p>
        </w:tc>
      </w:tr>
      <w:tr>
        <w:tc>
          <w:tcPr/>
          <w:p>
            <w:pPr>
              <w:pStyle w:val="Compact"/>
              <w:jc w:val="left"/>
            </w:pPr>
            <w:r>
              <w:rPr>
                <w:rStyle w:val="VerbatimChar"/>
              </w:rPr>
              <w:t xml:space="preserve">test_control.py</w:t>
            </w:r>
          </w:p>
        </w:tc>
        <w:tc>
          <w:tcPr/>
          <w:p>
            <w:pPr>
              <w:pStyle w:val="Compact"/>
              <w:jc w:val="left"/>
            </w:pPr>
            <w:r>
              <w:t xml:space="preserve">Permission matrix, levels, offered actions, comment rule, separation of duties, state models, close conditions, six-condition rule</w:t>
            </w:r>
          </w:p>
        </w:tc>
        <w:tc>
          <w:tcPr/>
          <w:p>
            <w:pPr>
              <w:pStyle w:val="Compact"/>
              <w:jc w:val="right"/>
            </w:pPr>
            <w:r>
              <w:t xml:space="preserve">21</w:t>
            </w:r>
          </w:p>
        </w:tc>
      </w:tr>
      <w:tr>
        <w:tc>
          <w:tcPr/>
          <w:p>
            <w:pPr>
              <w:pStyle w:val="Compact"/>
              <w:jc w:val="left"/>
            </w:pPr>
            <w:r>
              <w:rPr>
                <w:rStyle w:val="VerbatimChar"/>
              </w:rPr>
              <w:t xml:space="preserve">test_review.py</w:t>
            </w:r>
          </w:p>
        </w:tc>
        <w:tc>
          <w:tcPr/>
          <w:p>
            <w:pPr>
              <w:pStyle w:val="Compact"/>
              <w:jc w:val="left"/>
            </w:pPr>
            <w:r>
              <w:t xml:space="preserve">Decisions, escalation, modify, batches, blocked attempts</w:t>
            </w:r>
          </w:p>
        </w:tc>
        <w:tc>
          <w:tcPr/>
          <w:p>
            <w:pPr>
              <w:pStyle w:val="Compact"/>
              <w:jc w:val="right"/>
            </w:pPr>
            <w:r>
              <w:t xml:space="preserve">18</w:t>
            </w:r>
          </w:p>
        </w:tc>
      </w:tr>
      <w:tr>
        <w:tc>
          <w:tcPr/>
          <w:p>
            <w:pPr>
              <w:pStyle w:val="Compact"/>
              <w:jc w:val="left"/>
            </w:pPr>
            <w:r>
              <w:rPr>
                <w:rStyle w:val="VerbatimChar"/>
              </w:rPr>
              <w:t xml:space="preserve">test_manual_match.py</w:t>
            </w:r>
          </w:p>
        </w:tc>
        <w:tc>
          <w:tcPr/>
          <w:p>
            <w:pPr>
              <w:pStyle w:val="Compact"/>
              <w:jc w:val="left"/>
            </w:pPr>
            <w:r>
              <w:t xml:space="preserve">Hand pairing, and the statement tie-out after a correct review</w:t>
            </w:r>
          </w:p>
        </w:tc>
        <w:tc>
          <w:tcPr/>
          <w:p>
            <w:pPr>
              <w:pStyle w:val="Compact"/>
              <w:jc w:val="right"/>
            </w:pPr>
            <w:r>
              <w:t xml:space="preserve">9</w:t>
            </w:r>
          </w:p>
        </w:tc>
      </w:tr>
      <w:tr>
        <w:tc>
          <w:tcPr/>
          <w:p>
            <w:pPr>
              <w:pStyle w:val="Compact"/>
              <w:jc w:val="left"/>
            </w:pPr>
            <w:r>
              <w:rPr>
                <w:rStyle w:val="VerbatimChar"/>
              </w:rPr>
              <w:t xml:space="preserve">test_adjustments.py</w:t>
            </w:r>
          </w:p>
        </w:tc>
        <w:tc>
          <w:tcPr/>
          <w:p>
            <w:pPr>
              <w:pStyle w:val="Compact"/>
              <w:jc w:val="left"/>
            </w:pPr>
            <w:r>
              <w:t xml:space="preserve">Proposal, approval, CR-04, never posted</w:t>
            </w:r>
          </w:p>
        </w:tc>
        <w:tc>
          <w:tcPr/>
          <w:p>
            <w:pPr>
              <w:pStyle w:val="Compact"/>
              <w:jc w:val="right"/>
            </w:pPr>
            <w:r>
              <w:t xml:space="preserve">11</w:t>
            </w:r>
          </w:p>
        </w:tc>
      </w:tr>
      <w:tr>
        <w:tc>
          <w:tcPr/>
          <w:p>
            <w:pPr>
              <w:pStyle w:val="Compact"/>
              <w:jc w:val="left"/>
            </w:pPr>
            <w:r>
              <w:rPr>
                <w:rStyle w:val="VerbatimChar"/>
              </w:rPr>
              <w:t xml:space="preserve">test_period.py</w:t>
            </w:r>
          </w:p>
        </w:tc>
        <w:tc>
          <w:tcPr/>
          <w:p>
            <w:pPr>
              <w:pStyle w:val="Compact"/>
              <w:jc w:val="left"/>
            </w:pPr>
            <w:r>
              <w:t xml:space="preserve">Statement arithmetic, readiness, sign-off, lock, reopening</w:t>
            </w:r>
          </w:p>
        </w:tc>
        <w:tc>
          <w:tcPr/>
          <w:p>
            <w:pPr>
              <w:pStyle w:val="Compact"/>
              <w:jc w:val="right"/>
            </w:pPr>
            <w:r>
              <w:t xml:space="preserve">11</w:t>
            </w:r>
          </w:p>
        </w:tc>
      </w:tr>
      <w:tr>
        <w:tc>
          <w:tcPr/>
          <w:p>
            <w:pPr>
              <w:pStyle w:val="Compact"/>
              <w:jc w:val="left"/>
            </w:pPr>
            <w:r>
              <w:rPr>
                <w:rStyle w:val="VerbatimChar"/>
              </w:rPr>
              <w:t xml:space="preserve">test_reports.py</w:t>
            </w:r>
          </w:p>
        </w:tc>
        <w:tc>
          <w:tcPr/>
          <w:p>
            <w:pPr>
              <w:pStyle w:val="Compact"/>
              <w:jc w:val="left"/>
            </w:pPr>
            <w:r>
              <w:t xml:space="preserve">Package, content hashes, report check, export, the complete reconciliation</w:t>
            </w:r>
          </w:p>
        </w:tc>
        <w:tc>
          <w:tcPr/>
          <w:p>
            <w:pPr>
              <w:pStyle w:val="Compact"/>
              <w:jc w:val="right"/>
            </w:pPr>
            <w:r>
              <w:t xml:space="preserve">8</w:t>
            </w:r>
          </w:p>
        </w:tc>
      </w:tr>
      <w:tr>
        <w:tc>
          <w:tcPr/>
          <w:p>
            <w:pPr>
              <w:pStyle w:val="Compact"/>
              <w:jc w:val="left"/>
            </w:pPr>
            <w:r>
              <w:rPr>
                <w:rStyle w:val="VerbatimChar"/>
              </w:rPr>
              <w:t xml:space="preserve">test_genai.py</w:t>
            </w:r>
          </w:p>
        </w:tc>
        <w:tc>
          <w:tcPr/>
          <w:p>
            <w:pPr>
              <w:pStyle w:val="Compact"/>
              <w:jc w:val="left"/>
            </w:pPr>
            <w:r>
              <w:t xml:space="preserve">Optional prose: decision-language guard, fallback, audit, a failed provider never overwrites, labelling of who wrote it</w:t>
            </w:r>
          </w:p>
        </w:tc>
        <w:tc>
          <w:tcPr/>
          <w:p>
            <w:pPr>
              <w:pStyle w:val="Compact"/>
              <w:jc w:val="right"/>
            </w:pPr>
            <w:r>
              <w:t xml:space="preserve">10</w:t>
            </w:r>
          </w:p>
        </w:tc>
      </w:tr>
      <w:tr>
        <w:tc>
          <w:tcPr/>
          <w:p>
            <w:pPr>
              <w:pStyle w:val="Compact"/>
              <w:jc w:val="left"/>
            </w:pPr>
            <w:r>
              <w:rPr>
                <w:rStyle w:val="VerbatimChar"/>
              </w:rPr>
              <w:t xml:space="preserve">test_web_views.py</w:t>
            </w:r>
          </w:p>
        </w:tc>
        <w:tc>
          <w:tcPr/>
          <w:p>
            <w:pPr>
              <w:pStyle w:val="Compact"/>
              <w:jc w:val="left"/>
            </w:pPr>
            <w:r>
              <w:t xml:space="preserve">Every screen’s data and template, without a server; plain language with codes behind Show details; original records as received</w:t>
            </w:r>
          </w:p>
        </w:tc>
        <w:tc>
          <w:tcPr/>
          <w:p>
            <w:pPr>
              <w:pStyle w:val="Compact"/>
              <w:jc w:val="right"/>
            </w:pPr>
            <w:r>
              <w:t xml:space="preserve">27</w:t>
            </w:r>
          </w:p>
        </w:tc>
      </w:tr>
      <w:tr>
        <w:tc>
          <w:tcPr/>
          <w:p>
            <w:pPr>
              <w:pStyle w:val="Compact"/>
              <w:jc w:val="left"/>
            </w:pPr>
            <w:r>
              <w:rPr>
                <w:rStyle w:val="VerbatimChar"/>
              </w:rPr>
              <w:t xml:space="preserve">test_web_routes.py</w:t>
            </w:r>
          </w:p>
        </w:tc>
        <w:tc>
          <w:tcPr/>
          <w:p>
            <w:pPr>
              <w:pStyle w:val="Compact"/>
              <w:jc w:val="left"/>
            </w:pPr>
            <w:r>
              <w:t xml:space="preserve">The HTTP layer: identity, decisions, refusals, batch, adjustments, pairing, reversal, import, close</w:t>
            </w:r>
          </w:p>
        </w:tc>
        <w:tc>
          <w:tcPr/>
          <w:p>
            <w:pPr>
              <w:pStyle w:val="Compact"/>
              <w:jc w:val="right"/>
            </w:pPr>
            <w:r>
              <w:t xml:space="preserve">14</w:t>
            </w:r>
          </w:p>
        </w:tc>
      </w:tr>
      <w:tr>
        <w:tc>
          <w:tcPr/>
          <w:p>
            <w:pPr>
              <w:pStyle w:val="Compact"/>
              <w:jc w:val="left"/>
            </w:pPr>
            <w:r>
              <w:rPr>
                <w:rStyle w:val="VerbatimChar"/>
              </w:rPr>
              <w:t xml:space="preserve">test_reversal.py</w:t>
            </w:r>
          </w:p>
        </w:tc>
        <w:tc>
          <w:tcPr/>
          <w:p>
            <w:pPr>
              <w:pStyle w:val="Compact"/>
              <w:jc w:val="left"/>
            </w:pPr>
            <w:r>
              <w:t xml:space="preserve">Reversing a decision: records back to review, the decision kept, the correcting event’s references, each refusal</w:t>
            </w:r>
          </w:p>
        </w:tc>
        <w:tc>
          <w:tcPr/>
          <w:p>
            <w:pPr>
              <w:pStyle w:val="Compact"/>
              <w:jc w:val="right"/>
            </w:pPr>
            <w:r>
              <w:t xml:space="preserve">9</w:t>
            </w:r>
          </w:p>
        </w:tc>
      </w:tr>
      <w:tr>
        <w:tc>
          <w:tcPr/>
          <w:p>
            <w:pPr>
              <w:pStyle w:val="Compact"/>
              <w:jc w:val="left"/>
            </w:pPr>
            <w:r>
              <w:rPr>
                <w:rStyle w:val="VerbatimChar"/>
              </w:rPr>
              <w:t xml:space="preserve">test_evaluation.py</w:t>
            </w:r>
          </w:p>
        </w:tc>
        <w:tc>
          <w:tcPr/>
          <w:p>
            <w:pPr>
              <w:pStyle w:val="Compact"/>
              <w:jc w:val="left"/>
            </w:pPr>
            <w:r>
              <w:t xml:space="preserve">The evaluator: figures pinned to the benchmarks, review measures, audit completeness rules, timing sample, never writes to the working database</w:t>
            </w:r>
          </w:p>
        </w:tc>
        <w:tc>
          <w:tcPr/>
          <w:p>
            <w:pPr>
              <w:pStyle w:val="Compact"/>
              <w:jc w:val="right"/>
            </w:pPr>
            <w:r>
              <w:t xml:space="preserve">8</w:t>
            </w:r>
          </w:p>
        </w:tc>
      </w:tr>
      <w:tr>
        <w:tc>
          <w:tcPr/>
          <w:p>
            <w:pPr>
              <w:pStyle w:val="Compact"/>
              <w:jc w:val="left"/>
            </w:pPr>
            <w:r>
              <w:rPr>
                <w:rStyle w:val="VerbatimChar"/>
              </w:rPr>
              <w:t xml:space="preserve">test_cli.py</w:t>
            </w:r>
          </w:p>
        </w:tc>
        <w:tc>
          <w:tcPr/>
          <w:p>
            <w:pPr>
              <w:pStyle w:val="Compact"/>
              <w:jc w:val="left"/>
            </w:pPr>
            <w:r>
              <w:t xml:space="preserve">Command line: init, run, status, report, verify, reset</w:t>
            </w:r>
          </w:p>
        </w:tc>
        <w:tc>
          <w:tcPr/>
          <w:p>
            <w:pPr>
              <w:pStyle w:val="Compact"/>
              <w:jc w:val="right"/>
            </w:pPr>
            <w:r>
              <w:t xml:space="preserve">2</w:t>
            </w:r>
          </w:p>
        </w:tc>
      </w:tr>
    </w:tbl>
    <w:bookmarkEnd w:id="23"/>
    <w:bookmarkStart w:id="24" w:name="control-rule-coverage"/>
    <w:p>
      <w:pPr>
        <w:pStyle w:val="Heading2"/>
      </w:pPr>
      <w:r>
        <w:t xml:space="preserve">5. Control Rule Coverage</w:t>
      </w:r>
    </w:p>
    <w:p>
      <w:pPr>
        <w:pStyle w:val="FirstParagraph"/>
      </w:pPr>
      <w:r>
        <w:t xml:space="preserve">Every control rule has at least one test that tries to break it.</w:t>
      </w:r>
    </w:p>
    <w:tbl>
      <w:tblPr>
        <w:tblStyle w:val="Table"/>
        <w:tblW w:type="pct" w:w="5000"/>
        <w:tblLook w:firstRow="1" w:lastRow="0" w:firstColumn="0" w:lastColumn="0" w:noHBand="0" w:noVBand="0" w:val="0020"/>
        <w:jc w:val="start"/>
      </w:tblPr>
      <w:tblGrid>
        <w:gridCol w:w="640"/>
        <w:gridCol w:w="4880"/>
        <w:gridCol w:w="2400"/>
      </w:tblGrid>
      <w:tr>
        <w:trPr>
          <w:tblHeader w:val="true"/>
        </w:trPr>
        <w:tc>
          <w:tcPr/>
          <w:p>
            <w:pPr>
              <w:pStyle w:val="Compact"/>
              <w:jc w:val="left"/>
            </w:pPr>
            <w:r>
              <w:t xml:space="preserve">Rule</w:t>
            </w:r>
          </w:p>
        </w:tc>
        <w:tc>
          <w:tcPr/>
          <w:p>
            <w:pPr>
              <w:pStyle w:val="Compact"/>
              <w:jc w:val="left"/>
            </w:pPr>
            <w:r>
              <w:t xml:space="preserve">What is tested</w:t>
            </w:r>
          </w:p>
        </w:tc>
        <w:tc>
          <w:tcPr/>
          <w:p>
            <w:pPr>
              <w:pStyle w:val="Compact"/>
              <w:jc w:val="left"/>
            </w:pPr>
            <w:r>
              <w:t xml:space="preserve">Tests</w:t>
            </w:r>
          </w:p>
        </w:tc>
      </w:tr>
      <w:tr>
        <w:tc>
          <w:tcPr/>
          <w:p>
            <w:pPr>
              <w:pStyle w:val="Compact"/>
              <w:jc w:val="left"/>
            </w:pPr>
            <w:r>
              <w:t xml:space="preserve">CR-01</w:t>
            </w:r>
          </w:p>
        </w:tc>
        <w:tc>
          <w:tcPr/>
          <w:p>
            <w:pPr>
              <w:pStyle w:val="Compact"/>
              <w:jc w:val="left"/>
            </w:pPr>
            <w:r>
              <w:t xml:space="preserve">Nothing is approved by confidence; every item needs a recorded human decision before it can close</w:t>
            </w:r>
          </w:p>
        </w:tc>
        <w:tc>
          <w:tcPr/>
          <w:p>
            <w:pPr>
              <w:pStyle w:val="Compact"/>
              <w:jc w:val="left"/>
            </w:pPr>
            <w:r>
              <w:t xml:space="preserve">TC-I-007, TC-I-039, TC-C-034, TC-S-008</w:t>
            </w:r>
          </w:p>
        </w:tc>
      </w:tr>
      <w:tr>
        <w:tc>
          <w:tcPr/>
          <w:p>
            <w:pPr>
              <w:pStyle w:val="Compact"/>
              <w:jc w:val="left"/>
            </w:pPr>
            <w:r>
              <w:t xml:space="preserve">CR-02</w:t>
            </w:r>
          </w:p>
        </w:tc>
        <w:tc>
          <w:tcPr/>
          <w:p>
            <w:pPr>
              <w:pStyle w:val="Compact"/>
              <w:jc w:val="left"/>
            </w:pPr>
            <w:r>
              <w:t xml:space="preserve">Staff cannot decide CAT-05 or escalated items, including by settling one indirectly through modify or hand pairing</w:t>
            </w:r>
          </w:p>
        </w:tc>
        <w:tc>
          <w:tcPr/>
          <w:p>
            <w:pPr>
              <w:pStyle w:val="Compact"/>
              <w:jc w:val="left"/>
            </w:pPr>
            <w:r>
              <w:t xml:space="preserve">TC-C-020, TC-C-037, TC-C-056, TC-I-019, TC-I-054</w:t>
            </w:r>
          </w:p>
        </w:tc>
      </w:tr>
      <w:tr>
        <w:tc>
          <w:tcPr/>
          <w:p>
            <w:pPr>
              <w:pStyle w:val="Compact"/>
              <w:jc w:val="left"/>
            </w:pPr>
            <w:r>
              <w:t xml:space="preserve">CR-03</w:t>
            </w:r>
          </w:p>
        </w:tc>
        <w:tc>
          <w:tcPr/>
          <w:p>
            <w:pPr>
              <w:pStyle w:val="Compact"/>
              <w:jc w:val="left"/>
            </w:pPr>
            <w:r>
              <w:t xml:space="preserve">The escalator and first-level reviewers cannot make the senior decision; shown on screen</w:t>
            </w:r>
          </w:p>
        </w:tc>
        <w:tc>
          <w:tcPr/>
          <w:p>
            <w:pPr>
              <w:pStyle w:val="Compact"/>
              <w:jc w:val="left"/>
            </w:pPr>
            <w:r>
              <w:t xml:space="preserve">TC-C-026, TC-C-038, TC-I-055</w:t>
            </w:r>
          </w:p>
        </w:tc>
      </w:tr>
      <w:tr>
        <w:tc>
          <w:tcPr/>
          <w:p>
            <w:pPr>
              <w:pStyle w:val="Compact"/>
              <w:jc w:val="left"/>
            </w:pPr>
            <w:r>
              <w:t xml:space="preserve">CR-04</w:t>
            </w:r>
          </w:p>
        </w:tc>
        <w:tc>
          <w:tcPr/>
          <w:p>
            <w:pPr>
              <w:pStyle w:val="Compact"/>
              <w:jc w:val="left"/>
            </w:pPr>
            <w:r>
              <w:t xml:space="preserve">The preparer cannot approve the adjustment</w:t>
            </w:r>
          </w:p>
        </w:tc>
        <w:tc>
          <w:tcPr/>
          <w:p>
            <w:pPr>
              <w:pStyle w:val="Compact"/>
              <w:jc w:val="left"/>
            </w:pPr>
            <w:r>
              <w:t xml:space="preserve">TC-C-027, TC-C-043, TC-I-058</w:t>
            </w:r>
          </w:p>
        </w:tc>
      </w:tr>
      <w:tr>
        <w:tc>
          <w:tcPr/>
          <w:p>
            <w:pPr>
              <w:pStyle w:val="Compact"/>
              <w:jc w:val="left"/>
            </w:pPr>
            <w:r>
              <w:t xml:space="preserve">CR-05</w:t>
            </w:r>
          </w:p>
        </w:tc>
        <w:tc>
          <w:tcPr/>
          <w:p>
            <w:pPr>
              <w:pStyle w:val="Compact"/>
              <w:jc w:val="left"/>
            </w:pPr>
            <w:r>
              <w:t xml:space="preserve">The signer cannot be the only first-level reviewer</w:t>
            </w:r>
          </w:p>
        </w:tc>
        <w:tc>
          <w:tcPr/>
          <w:p>
            <w:pPr>
              <w:pStyle w:val="Compact"/>
              <w:jc w:val="left"/>
            </w:pPr>
            <w:r>
              <w:t xml:space="preserve">TC-C-028, TC-C-051</w:t>
            </w:r>
          </w:p>
        </w:tc>
      </w:tr>
      <w:tr>
        <w:tc>
          <w:tcPr/>
          <w:p>
            <w:pPr>
              <w:pStyle w:val="Compact"/>
              <w:jc w:val="left"/>
            </w:pPr>
            <w:r>
              <w:t xml:space="preserve">CR-06</w:t>
            </w:r>
          </w:p>
        </w:tc>
        <w:tc>
          <w:tcPr/>
          <w:p>
            <w:pPr>
              <w:pStyle w:val="Compact"/>
              <w:jc w:val="left"/>
            </w:pPr>
            <w:r>
              <w:t xml:space="preserve">The reopen approver cannot be the requester</w:t>
            </w:r>
          </w:p>
        </w:tc>
        <w:tc>
          <w:tcPr/>
          <w:p>
            <w:pPr>
              <w:pStyle w:val="Compact"/>
              <w:jc w:val="left"/>
            </w:pPr>
            <w:r>
              <w:t xml:space="preserve">TC-C-029, TC-C-052</w:t>
            </w:r>
          </w:p>
        </w:tc>
      </w:tr>
      <w:tr>
        <w:tc>
          <w:tcPr/>
          <w:p>
            <w:pPr>
              <w:pStyle w:val="Compact"/>
              <w:jc w:val="left"/>
            </w:pPr>
            <w:r>
              <w:t xml:space="preserve">CR-07</w:t>
            </w:r>
          </w:p>
        </w:tc>
        <w:tc>
          <w:tcPr/>
          <w:p>
            <w:pPr>
              <w:pStyle w:val="Compact"/>
              <w:jc w:val="left"/>
            </w:pPr>
            <w:r>
              <w:t xml:space="preserve">Each of the six conditions alone blocks reconciliation; only the report check sets</w:t>
            </w:r>
            <w:r>
              <w:t xml:space="preserve"> </w:t>
            </w:r>
            <w:r>
              <w:rPr>
                <w:rStyle w:val="VerbatimChar"/>
              </w:rPr>
              <w:t xml:space="preserve">reconciled</w:t>
            </w:r>
          </w:p>
        </w:tc>
        <w:tc>
          <w:tcPr/>
          <w:p>
            <w:pPr>
              <w:pStyle w:val="Compact"/>
              <w:jc w:val="left"/>
            </w:pPr>
            <w:r>
              <w:t xml:space="preserve">TC-U-158, TC-U-159, TC-C-030, TC-C-060, TC-I-039</w:t>
            </w:r>
          </w:p>
        </w:tc>
      </w:tr>
      <w:tr>
        <w:tc>
          <w:tcPr/>
          <w:p>
            <w:pPr>
              <w:pStyle w:val="Compact"/>
              <w:jc w:val="left"/>
            </w:pPr>
            <w:r>
              <w:t xml:space="preserve">CR-08</w:t>
            </w:r>
          </w:p>
        </w:tc>
        <w:tc>
          <w:tcPr/>
          <w:p>
            <w:pPr>
              <w:pStyle w:val="Compact"/>
              <w:jc w:val="left"/>
            </w:pPr>
            <w:r>
              <w:t xml:space="preserve">A failed action rolls back its audit event</w:t>
            </w:r>
          </w:p>
        </w:tc>
        <w:tc>
          <w:tcPr/>
          <w:p>
            <w:pPr>
              <w:pStyle w:val="Compact"/>
              <w:jc w:val="left"/>
            </w:pPr>
            <w:r>
              <w:t xml:space="preserve">TC-C-003</w:t>
            </w:r>
          </w:p>
        </w:tc>
      </w:tr>
      <w:tr>
        <w:tc>
          <w:tcPr/>
          <w:p>
            <w:pPr>
              <w:pStyle w:val="Compact"/>
              <w:jc w:val="left"/>
            </w:pPr>
            <w:r>
              <w:t xml:space="preserve">CR-09</w:t>
            </w:r>
          </w:p>
        </w:tc>
        <w:tc>
          <w:tcPr/>
          <w:p>
            <w:pPr>
              <w:pStyle w:val="Compact"/>
              <w:jc w:val="left"/>
            </w:pPr>
            <w:r>
              <w:t xml:space="preserve">Audit and decision records cannot be updated or deleted; tampering breaks the chain</w:t>
            </w:r>
          </w:p>
        </w:tc>
        <w:tc>
          <w:tcPr/>
          <w:p>
            <w:pPr>
              <w:pStyle w:val="Compact"/>
              <w:jc w:val="left"/>
            </w:pPr>
            <w:r>
              <w:t xml:space="preserve">TC-C-001, TC-C-002, TC-C-006, TC-C-014, TC-C-015</w:t>
            </w:r>
          </w:p>
        </w:tc>
      </w:tr>
      <w:tr>
        <w:tc>
          <w:tcPr/>
          <w:p>
            <w:pPr>
              <w:pStyle w:val="Compact"/>
              <w:jc w:val="left"/>
            </w:pPr>
            <w:r>
              <w:t xml:space="preserve">CR-10</w:t>
            </w:r>
          </w:p>
        </w:tc>
        <w:tc>
          <w:tcPr/>
          <w:p>
            <w:pPr>
              <w:pStyle w:val="Compact"/>
              <w:jc w:val="left"/>
            </w:pPr>
            <w:r>
              <w:t xml:space="preserve">Close is refused until every condition holds; each unmet condition is listed; a difference needs a comment</w:t>
            </w:r>
          </w:p>
        </w:tc>
        <w:tc>
          <w:tcPr/>
          <w:p>
            <w:pPr>
              <w:pStyle w:val="Compact"/>
              <w:jc w:val="left"/>
            </w:pPr>
            <w:r>
              <w:t xml:space="preserve">TC-C-016, TC-C-034, TC-C-049, TC-C-050, TC-U-157, TC-I-031</w:t>
            </w:r>
          </w:p>
        </w:tc>
      </w:tr>
      <w:tr>
        <w:tc>
          <w:tcPr/>
          <w:p>
            <w:pPr>
              <w:pStyle w:val="Compact"/>
              <w:jc w:val="left"/>
            </w:pPr>
            <w:r>
              <w:t xml:space="preserve">CR-11</w:t>
            </w:r>
          </w:p>
        </w:tc>
        <w:tc>
          <w:tcPr/>
          <w:p>
            <w:pPr>
              <w:pStyle w:val="Compact"/>
              <w:jc w:val="left"/>
            </w:pPr>
            <w:r>
              <w:t xml:space="preserve">Batches hold only open, Low-risk exact matches; one ineligible item refuses the whole batch; one record per item</w:t>
            </w:r>
          </w:p>
        </w:tc>
        <w:tc>
          <w:tcPr/>
          <w:p>
            <w:pPr>
              <w:pStyle w:val="Compact"/>
              <w:jc w:val="left"/>
            </w:pPr>
            <w:r>
              <w:t xml:space="preserve">TC-C-025, TC-C-039, TC-I-011, TC-I-021</w:t>
            </w:r>
          </w:p>
        </w:tc>
      </w:tr>
      <w:tr>
        <w:tc>
          <w:tcPr/>
          <w:p>
            <w:pPr>
              <w:pStyle w:val="Compact"/>
              <w:jc w:val="left"/>
            </w:pPr>
            <w:r>
              <w:t xml:space="preserve">CR-12</w:t>
            </w:r>
          </w:p>
        </w:tc>
        <w:tc>
          <w:tcPr/>
          <w:p>
            <w:pPr>
              <w:pStyle w:val="Compact"/>
              <w:jc w:val="left"/>
            </w:pPr>
            <w:r>
              <w:t xml:space="preserve">Approving an adjustment changes no ledger record</w:t>
            </w:r>
          </w:p>
        </w:tc>
        <w:tc>
          <w:tcPr/>
          <w:p>
            <w:pPr>
              <w:pStyle w:val="Compact"/>
              <w:jc w:val="left"/>
            </w:pPr>
            <w:r>
              <w:t xml:space="preserve">TC-I-029</w:t>
            </w:r>
          </w:p>
        </w:tc>
      </w:tr>
      <w:tr>
        <w:tc>
          <w:tcPr/>
          <w:p>
            <w:pPr>
              <w:pStyle w:val="Compact"/>
              <w:jc w:val="left"/>
            </w:pPr>
            <w:r>
              <w:t xml:space="preserve">CR-13</w:t>
            </w:r>
          </w:p>
        </w:tc>
        <w:tc>
          <w:tcPr/>
          <w:p>
            <w:pPr>
              <w:pStyle w:val="Compact"/>
              <w:jc w:val="left"/>
            </w:pPr>
            <w:r>
              <w:t xml:space="preserve">Generated prose cannot carry a decision, score or invented figure, and changes no other field</w:t>
            </w:r>
          </w:p>
        </w:tc>
        <w:tc>
          <w:tcPr/>
          <w:p>
            <w:pPr>
              <w:pStyle w:val="Compact"/>
              <w:jc w:val="left"/>
            </w:pPr>
            <w:r>
              <w:t xml:space="preserve">TC-U-165, TC-U-166, TC-U-167, TC-I-071, TC-I-072, TC-I-073</w:t>
            </w:r>
          </w:p>
        </w:tc>
      </w:tr>
      <w:tr>
        <w:tc>
          <w:tcPr/>
          <w:p>
            <w:pPr>
              <w:pStyle w:val="Compact"/>
              <w:jc w:val="left"/>
            </w:pPr>
            <w:r>
              <w:t xml:space="preserve">CR-14</w:t>
            </w:r>
          </w:p>
        </w:tc>
        <w:tc>
          <w:tcPr/>
          <w:p>
            <w:pPr>
              <w:pStyle w:val="Compact"/>
              <w:jc w:val="left"/>
            </w:pPr>
            <w:r>
              <w:t xml:space="preserve">No retraining from decisions: the calibration artefact is written only by the fitting script, versioned, and recorded on every scored match</w:t>
            </w:r>
          </w:p>
        </w:tc>
        <w:tc>
          <w:tcPr/>
          <w:p>
            <w:pPr>
              <w:pStyle w:val="Compact"/>
              <w:jc w:val="left"/>
            </w:pPr>
            <w:r>
              <w:t xml:space="preserve">TC-U-155, TC-U-156, TC-H-004, and inspection (no other code path writes the artefact)</w:t>
            </w:r>
          </w:p>
        </w:tc>
      </w:tr>
      <w:tr>
        <w:tc>
          <w:tcPr/>
          <w:p>
            <w:pPr>
              <w:pStyle w:val="Compact"/>
              <w:jc w:val="left"/>
            </w:pPr>
            <w:r>
              <w:t xml:space="preserve">CR-15</w:t>
            </w:r>
          </w:p>
        </w:tc>
        <w:tc>
          <w:tcPr/>
          <w:p>
            <w:pPr>
              <w:pStyle w:val="Compact"/>
              <w:jc w:val="left"/>
            </w:pPr>
            <w:r>
              <w:t xml:space="preserve">Every candidate and all conflicting evidence are kept and shown; no queue hides low confidence</w:t>
            </w:r>
          </w:p>
        </w:tc>
        <w:tc>
          <w:tcPr/>
          <w:p>
            <w:pPr>
              <w:pStyle w:val="Compact"/>
              <w:jc w:val="left"/>
            </w:pPr>
            <w:r>
              <w:t xml:space="preserve">TC-U-140..142, TC-H-003, TC-H-005, TC-I-042, TC-I-053</w:t>
            </w:r>
          </w:p>
        </w:tc>
      </w:tr>
      <w:tr>
        <w:tc>
          <w:tcPr/>
          <w:p>
            <w:pPr>
              <w:pStyle w:val="Compact"/>
              <w:jc w:val="left"/>
            </w:pPr>
            <w:r>
              <w:t xml:space="preserve">CR-16</w:t>
            </w:r>
          </w:p>
        </w:tc>
        <w:tc>
          <w:tcPr/>
          <w:p>
            <w:pPr>
              <w:pStyle w:val="Compact"/>
              <w:jc w:val="left"/>
            </w:pPr>
            <w:r>
              <w:t xml:space="preserve">Reject, modify, escalate, unresolved and High-risk approval need a comment</w:t>
            </w:r>
          </w:p>
        </w:tc>
        <w:tc>
          <w:tcPr/>
          <w:p>
            <w:pPr>
              <w:pStyle w:val="Compact"/>
              <w:jc w:val="left"/>
            </w:pPr>
            <w:r>
              <w:t xml:space="preserve">TC-C-023, TC-C-036, TC-C-048, TC-C-058</w:t>
            </w:r>
          </w:p>
        </w:tc>
      </w:tr>
      <w:tr>
        <w:tc>
          <w:tcPr/>
          <w:p>
            <w:pPr>
              <w:pStyle w:val="Compact"/>
              <w:jc w:val="left"/>
            </w:pPr>
            <w:r>
              <w:t xml:space="preserve">CR-17</w:t>
            </w:r>
          </w:p>
        </w:tc>
        <w:tc>
          <w:tcPr/>
          <w:p>
            <w:pPr>
              <w:pStyle w:val="Compact"/>
              <w:jc w:val="left"/>
            </w:pPr>
            <w:r>
              <w:t xml:space="preserve">Matching cannot start before validation; a file-level failure blocks the run</w:t>
            </w:r>
          </w:p>
        </w:tc>
        <w:tc>
          <w:tcPr/>
          <w:p>
            <w:pPr>
              <w:pStyle w:val="Compact"/>
              <w:jc w:val="left"/>
            </w:pPr>
            <w:r>
              <w:t xml:space="preserve">TC-C-007, TC-C-008, TC-C-032, TC-I-065</w:t>
            </w:r>
          </w:p>
        </w:tc>
      </w:tr>
      <w:tr>
        <w:tc>
          <w:tcPr/>
          <w:p>
            <w:pPr>
              <w:pStyle w:val="Compact"/>
              <w:jc w:val="left"/>
            </w:pPr>
            <w:r>
              <w:t xml:space="preserve">CR-18</w:t>
            </w:r>
          </w:p>
        </w:tc>
        <w:tc>
          <w:tcPr/>
          <w:p>
            <w:pPr>
              <w:pStyle w:val="Compact"/>
              <w:jc w:val="left"/>
            </w:pPr>
            <w:r>
              <w:t xml:space="preserve">No import, decision, adjustment or prose in a closed period, or while a reopening is pending</w:t>
            </w:r>
          </w:p>
        </w:tc>
        <w:tc>
          <w:tcPr/>
          <w:p>
            <w:pPr>
              <w:pStyle w:val="Compact"/>
              <w:jc w:val="left"/>
            </w:pPr>
            <w:r>
              <w:t xml:space="preserve">TC-C-004, TC-C-005, TC-C-017, TC-C-032, TC-C-040, TC-C-047, TC-C-061, TC-C-064, TC-C-069</w:t>
            </w:r>
          </w:p>
        </w:tc>
      </w:tr>
      <w:tr>
        <w:tc>
          <w:tcPr/>
          <w:p>
            <w:pPr>
              <w:pStyle w:val="Compact"/>
              <w:jc w:val="left"/>
            </w:pPr>
            <w:r>
              <w:t xml:space="preserve">CR-19</w:t>
            </w:r>
          </w:p>
        </w:tc>
        <w:tc>
          <w:tcPr/>
          <w:p>
            <w:pPr>
              <w:pStyle w:val="Compact"/>
              <w:jc w:val="left"/>
            </w:pPr>
            <w:r>
              <w:t xml:space="preserve">A decision is reversed only by a senior who did not make it, with a comment, in an open period, never behind a live adjustment; the decision is kept and the correction references it</w:t>
            </w:r>
          </w:p>
        </w:tc>
        <w:tc>
          <w:tcPr/>
          <w:p>
            <w:pPr>
              <w:pStyle w:val="Compact"/>
              <w:jc w:val="left"/>
            </w:pPr>
            <w:r>
              <w:t xml:space="preserve">TC-C-066..070, TC-I-086..090</w:t>
            </w:r>
          </w:p>
        </w:tc>
      </w:tr>
    </w:tbl>
    <w:p>
      <w:pPr>
        <w:pStyle w:val="BodyText"/>
      </w:pPr>
      <w:r>
        <w:t xml:space="preserve">Other controls tested: role matrix (TC-C-019, TC-C-021, TC-C-044, TC-C-062), detail view before approval (TC-C-024, TC-C-035, TC-I-023), offered actions per category (TC-C-022, TC-C-042, TC-C-059), state models (TC-C-030, TC-C-031, TC-C-041), duplicate import (TC-C-009), original values kept (TC-C-010), generative AI off by default and synthetic-only (TC-C-063).</w:t>
      </w:r>
    </w:p>
    <w:bookmarkEnd w:id="24"/>
    <w:bookmarkStart w:id="25" w:name="scenario-coverage"/>
    <w:p>
      <w:pPr>
        <w:pStyle w:val="Heading2"/>
      </w:pPr>
      <w:r>
        <w:t xml:space="preserve">6. Scenario Coverage</w:t>
      </w:r>
    </w:p>
    <w:tbl>
      <w:tblPr>
        <w:tblStyle w:val="Table"/>
        <w:tblW w:type="pct" w:w="5000"/>
        <w:tblLook w:firstRow="1" w:lastRow="0" w:firstColumn="0" w:lastColumn="0" w:noHBand="0" w:noVBand="0" w:val="0020"/>
        <w:jc w:val="start"/>
      </w:tblPr>
      <w:tblGrid>
        <w:gridCol w:w="1177"/>
        <w:gridCol w:w="6742"/>
      </w:tblGrid>
      <w:tr>
        <w:trPr>
          <w:tblHeader w:val="true"/>
        </w:trPr>
        <w:tc>
          <w:tcPr/>
          <w:p>
            <w:pPr>
              <w:pStyle w:val="Compact"/>
              <w:jc w:val="left"/>
            </w:pPr>
            <w:r>
              <w:t xml:space="preserve">Scenario</w:t>
            </w:r>
          </w:p>
        </w:tc>
        <w:tc>
          <w:tcPr/>
          <w:p>
            <w:pPr>
              <w:pStyle w:val="Compact"/>
              <w:jc w:val="left"/>
            </w:pPr>
            <w:r>
              <w:t xml:space="preserve">Tests</w:t>
            </w:r>
          </w:p>
        </w:tc>
      </w:tr>
      <w:tr>
        <w:tc>
          <w:tcPr/>
          <w:p>
            <w:pPr>
              <w:pStyle w:val="Compact"/>
              <w:jc w:val="left"/>
            </w:pPr>
            <w:r>
              <w:t xml:space="preserve">SCN-01 Exact match</w:t>
            </w:r>
          </w:p>
        </w:tc>
        <w:tc>
          <w:tcPr/>
          <w:p>
            <w:pPr>
              <w:pStyle w:val="Compact"/>
              <w:jc w:val="left"/>
            </w:pPr>
            <w:r>
              <w:t xml:space="preserve">TC-S-002, TC-U-010, TC-U-011, TC-I-021</w:t>
            </w:r>
          </w:p>
        </w:tc>
      </w:tr>
      <w:tr>
        <w:tc>
          <w:tcPr/>
          <w:p>
            <w:pPr>
              <w:pStyle w:val="Compact"/>
              <w:jc w:val="left"/>
            </w:pPr>
            <w:r>
              <w:t xml:space="preserve">SCN-02 Timing difference</w:t>
            </w:r>
          </w:p>
        </w:tc>
        <w:tc>
          <w:tcPr/>
          <w:p>
            <w:pPr>
              <w:pStyle w:val="Compact"/>
              <w:jc w:val="left"/>
            </w:pPr>
            <w:r>
              <w:t xml:space="preserve">TC-H-001, TC-H-002, TC-U-110</w:t>
            </w:r>
          </w:p>
        </w:tc>
      </w:tr>
      <w:tr>
        <w:tc>
          <w:tcPr/>
          <w:p>
            <w:pPr>
              <w:pStyle w:val="Compact"/>
              <w:jc w:val="left"/>
            </w:pPr>
            <w:r>
              <w:t xml:space="preserve">SCN-03 Name variation</w:t>
            </w:r>
          </w:p>
        </w:tc>
        <w:tc>
          <w:tcPr/>
          <w:p>
            <w:pPr>
              <w:pStyle w:val="Compact"/>
              <w:jc w:val="left"/>
            </w:pPr>
            <w:r>
              <w:t xml:space="preserve">TC-U-100..103, TC-H-001</w:t>
            </w:r>
          </w:p>
        </w:tc>
      </w:tr>
      <w:tr>
        <w:tc>
          <w:tcPr/>
          <w:p>
            <w:pPr>
              <w:pStyle w:val="Compact"/>
              <w:jc w:val="left"/>
            </w:pPr>
            <w:r>
              <w:t xml:space="preserve">SCN-04 One to many</w:t>
            </w:r>
          </w:p>
        </w:tc>
        <w:tc>
          <w:tcPr/>
          <w:p>
            <w:pPr>
              <w:pStyle w:val="Compact"/>
              <w:jc w:val="left"/>
            </w:pPr>
            <w:r>
              <w:t xml:space="preserve">TC-U-121, TC-U-122, TC-H-006</w:t>
            </w:r>
          </w:p>
        </w:tc>
      </w:tr>
      <w:tr>
        <w:tc>
          <w:tcPr/>
          <w:p>
            <w:pPr>
              <w:pStyle w:val="Compact"/>
              <w:jc w:val="left"/>
            </w:pPr>
            <w:r>
              <w:t xml:space="preserve">SCN-05 Many to one</w:t>
            </w:r>
          </w:p>
        </w:tc>
        <w:tc>
          <w:tcPr/>
          <w:p>
            <w:pPr>
              <w:pStyle w:val="Compact"/>
              <w:jc w:val="left"/>
            </w:pPr>
            <w:r>
              <w:t xml:space="preserve">TC-S-007, TC-I-035, TC-I-063</w:t>
            </w:r>
          </w:p>
        </w:tc>
      </w:tr>
      <w:tr>
        <w:tc>
          <w:tcPr/>
          <w:p>
            <w:pPr>
              <w:pStyle w:val="Compact"/>
              <w:jc w:val="left"/>
            </w:pPr>
            <w:r>
              <w:t xml:space="preserve">SCN-06 Bank-originated item</w:t>
            </w:r>
          </w:p>
        </w:tc>
        <w:tc>
          <w:tcPr/>
          <w:p>
            <w:pPr>
              <w:pStyle w:val="Compact"/>
              <w:jc w:val="left"/>
            </w:pPr>
            <w:r>
              <w:t xml:space="preserve">TC-S-003, TC-I-025..029</w:t>
            </w:r>
          </w:p>
        </w:tc>
      </w:tr>
      <w:tr>
        <w:tc>
          <w:tcPr/>
          <w:p>
            <w:pPr>
              <w:pStyle w:val="Compact"/>
              <w:jc w:val="left"/>
            </w:pPr>
            <w:r>
              <w:t xml:space="preserve">SCN-07 Duplicate</w:t>
            </w:r>
          </w:p>
        </w:tc>
        <w:tc>
          <w:tcPr/>
          <w:p>
            <w:pPr>
              <w:pStyle w:val="Compact"/>
              <w:jc w:val="left"/>
            </w:pPr>
            <w:r>
              <w:t xml:space="preserve">TC-S-004, TC-U-012, TC-C-059</w:t>
            </w:r>
          </w:p>
        </w:tc>
      </w:tr>
      <w:tr>
        <w:tc>
          <w:tcPr/>
          <w:p>
            <w:pPr>
              <w:pStyle w:val="Compact"/>
              <w:jc w:val="left"/>
            </w:pPr>
            <w:r>
              <w:t xml:space="preserve">SCN-08 Unexplained item</w:t>
            </w:r>
          </w:p>
        </w:tc>
        <w:tc>
          <w:tcPr/>
          <w:p>
            <w:pPr>
              <w:pStyle w:val="Compact"/>
              <w:jc w:val="left"/>
            </w:pPr>
            <w:r>
              <w:t xml:space="preserve">TC-S-005, TC-I-057, TC-C-059</w:t>
            </w:r>
          </w:p>
        </w:tc>
      </w:tr>
      <w:tr>
        <w:tc>
          <w:tcPr/>
          <w:p>
            <w:pPr>
              <w:pStyle w:val="Compact"/>
              <w:jc w:val="left"/>
            </w:pPr>
            <w:r>
              <w:t xml:space="preserve">Large items</w:t>
            </w:r>
          </w:p>
        </w:tc>
        <w:tc>
          <w:tcPr/>
          <w:p>
            <w:pPr>
              <w:pStyle w:val="Compact"/>
              <w:jc w:val="left"/>
            </w:pPr>
            <w:r>
              <w:t xml:space="preserve">TC-S-006, TC-I-018</w:t>
            </w:r>
          </w:p>
        </w:tc>
      </w:tr>
      <w:tr>
        <w:tc>
          <w:tcPr/>
          <w:p>
            <w:pPr>
              <w:pStyle w:val="Compact"/>
              <w:jc w:val="left"/>
            </w:pPr>
            <w:r>
              <w:t xml:space="preserve">Complete reconciliation</w:t>
            </w:r>
          </w:p>
        </w:tc>
        <w:tc>
          <w:tcPr/>
          <w:p>
            <w:pPr>
              <w:pStyle w:val="Compact"/>
              <w:jc w:val="left"/>
            </w:pPr>
            <w:r>
              <w:t xml:space="preserve">TC-S-008, TC-I-068</w:t>
            </w:r>
          </w:p>
        </w:tc>
      </w:tr>
    </w:tbl>
    <w:bookmarkEnd w:id="25"/>
    <w:bookmarkStart w:id="26" w:name="requirement-coverage"/>
    <w:p>
      <w:pPr>
        <w:pStyle w:val="Heading2"/>
      </w:pPr>
      <w:r>
        <w:t xml:space="preserve">7. Requirement Coverage</w:t>
      </w:r>
    </w:p>
    <w:tbl>
      <w:tblPr>
        <w:tblStyle w:val="Table"/>
        <w:tblW w:type="pct" w:w="5000"/>
        <w:tblLook w:firstRow="1" w:lastRow="0" w:firstColumn="0" w:lastColumn="0" w:noHBand="0" w:noVBand="0" w:val="0020"/>
        <w:jc w:val="start"/>
      </w:tblPr>
      <w:tblGrid>
        <w:gridCol w:w="1084"/>
        <w:gridCol w:w="6835"/>
      </w:tblGrid>
      <w:tr>
        <w:trPr>
          <w:tblHeader w:val="true"/>
        </w:trPr>
        <w:tc>
          <w:tcPr/>
          <w:p>
            <w:pPr>
              <w:pStyle w:val="Compact"/>
              <w:jc w:val="left"/>
            </w:pPr>
            <w:r>
              <w:t xml:space="preserve">Group</w:t>
            </w:r>
          </w:p>
        </w:tc>
        <w:tc>
          <w:tcPr/>
          <w:p>
            <w:pPr>
              <w:pStyle w:val="Compact"/>
              <w:jc w:val="left"/>
            </w:pPr>
            <w:r>
              <w:t xml:space="preserve">Tested in</w:t>
            </w:r>
          </w:p>
        </w:tc>
      </w:tr>
      <w:tr>
        <w:tc>
          <w:tcPr/>
          <w:p>
            <w:pPr>
              <w:pStyle w:val="Compact"/>
              <w:jc w:val="left"/>
            </w:pPr>
            <w:r>
              <w:t xml:space="preserve">FR-IMP, FR-VAL, FR-NRM</w:t>
            </w:r>
          </w:p>
        </w:tc>
        <w:tc>
          <w:tcPr/>
          <w:p>
            <w:pPr>
              <w:pStyle w:val="Compact"/>
              <w:jc w:val="left"/>
            </w:pPr>
            <w:r>
              <w:rPr>
                <w:rStyle w:val="VerbatimChar"/>
              </w:rPr>
              <w:t xml:space="preserve">test_pipeline.py</w:t>
            </w:r>
            <w:r>
              <w:t xml:space="preserve">,</w:t>
            </w:r>
            <w:r>
              <w:t xml:space="preserve"> </w:t>
            </w:r>
            <w:r>
              <w:rPr>
                <w:rStyle w:val="VerbatimChar"/>
              </w:rPr>
              <w:t xml:space="preserve">test_controls.py</w:t>
            </w:r>
            <w:r>
              <w:t xml:space="preserve">,</w:t>
            </w:r>
            <w:r>
              <w:t xml:space="preserve"> </w:t>
            </w:r>
            <w:r>
              <w:rPr>
                <w:rStyle w:val="VerbatimChar"/>
              </w:rPr>
              <w:t xml:space="preserve">test_domain.py</w:t>
            </w:r>
            <w:r>
              <w:t xml:space="preserve">,</w:t>
            </w:r>
            <w:r>
              <w:t xml:space="preserve"> </w:t>
            </w:r>
            <w:r>
              <w:rPr>
                <w:rStyle w:val="VerbatimChar"/>
              </w:rPr>
              <w:t xml:space="preserve">test_web_views.py</w:t>
            </w:r>
            <w:r>
              <w:t xml:space="preserve"> </w:t>
            </w:r>
            <w:r>
              <w:t xml:space="preserve">(W2)</w:t>
            </w:r>
          </w:p>
        </w:tc>
      </w:tr>
      <w:tr>
        <w:tc>
          <w:tcPr/>
          <w:p>
            <w:pPr>
              <w:pStyle w:val="Compact"/>
              <w:jc w:val="left"/>
            </w:pPr>
            <w:r>
              <w:t xml:space="preserve">FR-MAT, FR-AI</w:t>
            </w:r>
          </w:p>
        </w:tc>
        <w:tc>
          <w:tcPr/>
          <w:p>
            <w:pPr>
              <w:pStyle w:val="Compact"/>
              <w:jc w:val="left"/>
            </w:pPr>
            <w:r>
              <w:rPr>
                <w:rStyle w:val="VerbatimChar"/>
              </w:rPr>
              <w:t xml:space="preserve">test_domain.py</w:t>
            </w:r>
            <w:r>
              <w:t xml:space="preserve">,</w:t>
            </w:r>
            <w:r>
              <w:t xml:space="preserve"> </w:t>
            </w:r>
            <w:r>
              <w:rPr>
                <w:rStyle w:val="VerbatimChar"/>
              </w:rPr>
              <w:t xml:space="preserve">test_scoring.py</w:t>
            </w:r>
            <w:r>
              <w:t xml:space="preserve">,</w:t>
            </w:r>
            <w:r>
              <w:t xml:space="preserve"> </w:t>
            </w:r>
            <w:r>
              <w:rPr>
                <w:rStyle w:val="VerbatimChar"/>
              </w:rPr>
              <w:t xml:space="preserve">test_pipeline.py</w:t>
            </w:r>
          </w:p>
        </w:tc>
      </w:tr>
      <w:tr>
        <w:tc>
          <w:tcPr/>
          <w:p>
            <w:pPr>
              <w:pStyle w:val="Compact"/>
              <w:jc w:val="left"/>
            </w:pPr>
            <w:r>
              <w:t xml:space="preserve">FR-RSK, FR-EXC</w:t>
            </w:r>
          </w:p>
        </w:tc>
        <w:tc>
          <w:tcPr/>
          <w:p>
            <w:pPr>
              <w:pStyle w:val="Compact"/>
              <w:jc w:val="left"/>
            </w:pPr>
            <w:r>
              <w:rPr>
                <w:rStyle w:val="VerbatimChar"/>
              </w:rPr>
              <w:t xml:space="preserve">test_domain.py</w:t>
            </w:r>
            <w:r>
              <w:t xml:space="preserve">,</w:t>
            </w:r>
            <w:r>
              <w:t xml:space="preserve"> </w:t>
            </w:r>
            <w:r>
              <w:rPr>
                <w:rStyle w:val="VerbatimChar"/>
              </w:rPr>
              <w:t xml:space="preserve">test_pipeline.py</w:t>
            </w:r>
          </w:p>
        </w:tc>
      </w:tr>
      <w:tr>
        <w:tc>
          <w:tcPr/>
          <w:p>
            <w:pPr>
              <w:pStyle w:val="Compact"/>
              <w:jc w:val="left"/>
            </w:pPr>
            <w:r>
              <w:t xml:space="preserve">FR-REV</w:t>
            </w:r>
          </w:p>
        </w:tc>
        <w:tc>
          <w:tcPr/>
          <w:p>
            <w:pPr>
              <w:pStyle w:val="Compact"/>
              <w:jc w:val="left"/>
            </w:pPr>
            <w:r>
              <w:rPr>
                <w:rStyle w:val="VerbatimChar"/>
              </w:rPr>
              <w:t xml:space="preserve">test_review.py</w:t>
            </w:r>
            <w:r>
              <w:t xml:space="preserve">,</w:t>
            </w:r>
            <w:r>
              <w:t xml:space="preserve"> </w:t>
            </w:r>
            <w:r>
              <w:rPr>
                <w:rStyle w:val="VerbatimChar"/>
              </w:rPr>
              <w:t xml:space="preserve">test_manual_match.py</w:t>
            </w:r>
            <w:r>
              <w:t xml:space="preserve">,</w:t>
            </w:r>
            <w:r>
              <w:t xml:space="preserve"> </w:t>
            </w:r>
            <w:r>
              <w:rPr>
                <w:rStyle w:val="VerbatimChar"/>
              </w:rPr>
              <w:t xml:space="preserve">test_reversal.py</w:t>
            </w:r>
            <w:r>
              <w:t xml:space="preserve">,</w:t>
            </w:r>
            <w:r>
              <w:t xml:space="preserve"> </w:t>
            </w:r>
            <w:r>
              <w:rPr>
                <w:rStyle w:val="VerbatimChar"/>
              </w:rPr>
              <w:t xml:space="preserve">test_control.py</w:t>
            </w:r>
            <w:r>
              <w:t xml:space="preserve">,</w:t>
            </w:r>
            <w:r>
              <w:t xml:space="preserve"> </w:t>
            </w:r>
            <w:r>
              <w:rPr>
                <w:rStyle w:val="VerbatimChar"/>
              </w:rPr>
              <w:t xml:space="preserve">test_web_*.py</w:t>
            </w:r>
          </w:p>
        </w:tc>
      </w:tr>
      <w:tr>
        <w:tc>
          <w:tcPr/>
          <w:p>
            <w:pPr>
              <w:pStyle w:val="Compact"/>
              <w:jc w:val="left"/>
            </w:pPr>
            <w:r>
              <w:t xml:space="preserve">FR-ADJ</w:t>
            </w:r>
          </w:p>
        </w:tc>
        <w:tc>
          <w:tcPr/>
          <w:p>
            <w:pPr>
              <w:pStyle w:val="Compact"/>
              <w:jc w:val="left"/>
            </w:pPr>
            <w:r>
              <w:rPr>
                <w:rStyle w:val="VerbatimChar"/>
              </w:rPr>
              <w:t xml:space="preserve">test_adjustments.py</w:t>
            </w:r>
          </w:p>
        </w:tc>
      </w:tr>
      <w:tr>
        <w:tc>
          <w:tcPr/>
          <w:p>
            <w:pPr>
              <w:pStyle w:val="Compact"/>
              <w:jc w:val="left"/>
            </w:pPr>
            <w:r>
              <w:t xml:space="preserve">FR-AUD</w:t>
            </w:r>
          </w:p>
        </w:tc>
        <w:tc>
          <w:tcPr/>
          <w:p>
            <w:pPr>
              <w:pStyle w:val="Compact"/>
              <w:jc w:val="left"/>
            </w:pPr>
            <w:r>
              <w:rPr>
                <w:rStyle w:val="VerbatimChar"/>
              </w:rPr>
              <w:t xml:space="preserve">test_controls.py</w:t>
            </w:r>
            <w:r>
              <w:t xml:space="preserve">,</w:t>
            </w:r>
            <w:r>
              <w:t xml:space="preserve"> </w:t>
            </w:r>
            <w:r>
              <w:rPr>
                <w:rStyle w:val="VerbatimChar"/>
              </w:rPr>
              <w:t xml:space="preserve">test_repositories.py</w:t>
            </w:r>
            <w:r>
              <w:t xml:space="preserve">,</w:t>
            </w:r>
            <w:r>
              <w:t xml:space="preserve"> </w:t>
            </w:r>
            <w:r>
              <w:rPr>
                <w:rStyle w:val="VerbatimChar"/>
              </w:rPr>
              <w:t xml:space="preserve">test_reversal.py</w:t>
            </w:r>
            <w:r>
              <w:t xml:space="preserve"> </w:t>
            </w:r>
            <w:r>
              <w:t xml:space="preserve">(FR-AUD-06), every service test through BLOCKED_ATTEMPT</w:t>
            </w:r>
          </w:p>
        </w:tc>
      </w:tr>
      <w:tr>
        <w:tc>
          <w:tcPr/>
          <w:p>
            <w:pPr>
              <w:pStyle w:val="Compact"/>
              <w:jc w:val="left"/>
            </w:pPr>
            <w:r>
              <w:t xml:space="preserve">FR-PER</w:t>
            </w:r>
          </w:p>
        </w:tc>
        <w:tc>
          <w:tcPr/>
          <w:p>
            <w:pPr>
              <w:pStyle w:val="Compact"/>
              <w:jc w:val="left"/>
            </w:pPr>
            <w:r>
              <w:rPr>
                <w:rStyle w:val="VerbatimChar"/>
              </w:rPr>
              <w:t xml:space="preserve">test_period.py</w:t>
            </w:r>
            <w:r>
              <w:t xml:space="preserve">,</w:t>
            </w:r>
            <w:r>
              <w:t xml:space="preserve"> </w:t>
            </w:r>
            <w:r>
              <w:rPr>
                <w:rStyle w:val="VerbatimChar"/>
              </w:rPr>
              <w:t xml:space="preserve">test_reports.py</w:t>
            </w:r>
          </w:p>
        </w:tc>
      </w:tr>
      <w:tr>
        <w:tc>
          <w:tcPr/>
          <w:p>
            <w:pPr>
              <w:pStyle w:val="Compact"/>
              <w:jc w:val="left"/>
            </w:pPr>
            <w:r>
              <w:t xml:space="preserve">FR-RPT</w:t>
            </w:r>
          </w:p>
        </w:tc>
        <w:tc>
          <w:tcPr/>
          <w:p>
            <w:pPr>
              <w:pStyle w:val="Compact"/>
              <w:jc w:val="left"/>
            </w:pPr>
            <w:r>
              <w:rPr>
                <w:rStyle w:val="VerbatimChar"/>
              </w:rPr>
              <w:t xml:space="preserve">test_reports.py</w:t>
            </w:r>
            <w:r>
              <w:t xml:space="preserve">,</w:t>
            </w:r>
            <w:r>
              <w:t xml:space="preserve"> </w:t>
            </w:r>
            <w:r>
              <w:rPr>
                <w:rStyle w:val="VerbatimChar"/>
              </w:rPr>
              <w:t xml:space="preserve">test_cli.py</w:t>
            </w:r>
          </w:p>
        </w:tc>
      </w:tr>
      <w:tr>
        <w:tc>
          <w:tcPr/>
          <w:p>
            <w:pPr>
              <w:pStyle w:val="Compact"/>
              <w:jc w:val="left"/>
            </w:pPr>
            <w:r>
              <w:t xml:space="preserve">FR-GAI</w:t>
            </w:r>
          </w:p>
        </w:tc>
        <w:tc>
          <w:tcPr/>
          <w:p>
            <w:pPr>
              <w:pStyle w:val="Compact"/>
              <w:jc w:val="left"/>
            </w:pPr>
            <w:r>
              <w:rPr>
                <w:rStyle w:val="VerbatimChar"/>
              </w:rPr>
              <w:t xml:space="preserve">test_genai.py</w:t>
            </w:r>
          </w:p>
        </w:tc>
      </w:tr>
      <w:tr>
        <w:tc>
          <w:tcPr/>
          <w:p>
            <w:pPr>
              <w:pStyle w:val="Compact"/>
              <w:jc w:val="left"/>
            </w:pPr>
            <w:r>
              <w:t xml:space="preserve">FR-EVL</w:t>
            </w:r>
          </w:p>
        </w:tc>
        <w:tc>
          <w:tcPr/>
          <w:p>
            <w:pPr>
              <w:pStyle w:val="Compact"/>
              <w:jc w:val="left"/>
            </w:pPr>
            <w:r>
              <w:rPr>
                <w:rStyle w:val="VerbatimChar"/>
              </w:rPr>
              <w:t xml:space="preserve">test_evaluation.py</w:t>
            </w:r>
          </w:p>
        </w:tc>
      </w:tr>
    </w:tbl>
    <w:bookmarkEnd w:id="26"/>
    <w:bookmarkStart w:id="27" w:name="results"/>
    <w:p>
      <w:pPr>
        <w:pStyle w:val="Heading2"/>
      </w:pPr>
      <w:r>
        <w:t xml:space="preserve">8. Results</w:t>
      </w:r>
    </w:p>
    <w:tbl>
      <w:tblPr>
        <w:tblStyle w:val="Table"/>
        <w:tblW w:type="pct" w:w="5000"/>
        <w:tblLook w:firstRow="1" w:lastRow="0" w:firstColumn="0" w:lastColumn="0" w:noHBand="0" w:noVBand="0" w:val="0020"/>
        <w:jc w:val="start"/>
      </w:tblPr>
      <w:tblGrid>
        <w:gridCol w:w="1372"/>
        <w:gridCol w:w="6547"/>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Suite</w:t>
            </w:r>
          </w:p>
        </w:tc>
        <w:tc>
          <w:tcPr/>
          <w:p>
            <w:pPr>
              <w:pStyle w:val="Compact"/>
              <w:jc w:val="left"/>
            </w:pPr>
            <w:r>
              <w:rPr>
                <w:bCs/>
                <w:b/>
              </w:rPr>
              <w:t xml:space="preserve">254 passed, 0 failed</w:t>
            </w:r>
          </w:p>
        </w:tc>
      </w:tr>
      <w:tr>
        <w:tc>
          <w:tcPr/>
          <w:p>
            <w:pPr>
              <w:pStyle w:val="Compact"/>
              <w:jc w:val="left"/>
            </w:pPr>
            <w:r>
              <w:t xml:space="preserve">Duration</w:t>
            </w:r>
          </w:p>
        </w:tc>
        <w:tc>
          <w:tcPr/>
          <w:p>
            <w:pPr>
              <w:pStyle w:val="Compact"/>
              <w:jc w:val="left"/>
            </w:pPr>
            <w:r>
              <w:t xml:space="preserve">About two minutes on a laptop; the complete-reconciliation tests take most of it</w:t>
            </w:r>
          </w:p>
        </w:tc>
      </w:tr>
      <w:tr>
        <w:tc>
          <w:tcPr/>
          <w:p>
            <w:pPr>
              <w:pStyle w:val="Compact"/>
              <w:jc w:val="left"/>
            </w:pPr>
            <w:r>
              <w:t xml:space="preserve">Warnings</w:t>
            </w:r>
          </w:p>
        </w:tc>
        <w:tc>
          <w:tcPr/>
          <w:p>
            <w:pPr>
              <w:pStyle w:val="Compact"/>
              <w:jc w:val="left"/>
            </w:pPr>
            <w:r>
              <w:t xml:space="preserve">None</w:t>
            </w:r>
          </w:p>
        </w:tc>
      </w:tr>
    </w:tbl>
    <w:p>
      <w:pPr>
        <w:pStyle w:val="BodyText"/>
      </w:pPr>
      <w:r>
        <w:t xml:space="preserve">Figures the suite holds in place, so a change that moves them fails a test:</w:t>
      </w:r>
    </w:p>
    <w:tbl>
      <w:tblPr>
        <w:tblStyle w:val="Table"/>
        <w:tblW w:type="pct" w:w="5000"/>
        <w:tblLook w:firstRow="1" w:lastRow="0" w:firstColumn="0" w:lastColumn="0" w:noHBand="0" w:noVBand="0" w:val="0020"/>
        <w:jc w:val="start"/>
      </w:tblPr>
      <w:tblGrid>
        <w:gridCol w:w="2200"/>
        <w:gridCol w:w="4047"/>
        <w:gridCol w:w="1672"/>
      </w:tblGrid>
      <w:tr>
        <w:trPr>
          <w:tblHeader w:val="true"/>
        </w:trPr>
        <w:tc>
          <w:tcPr/>
          <w:p>
            <w:pPr>
              <w:pStyle w:val="Compact"/>
              <w:jc w:val="left"/>
            </w:pPr>
            <w:r>
              <w:t xml:space="preserve">Figure</w:t>
            </w:r>
          </w:p>
        </w:tc>
        <w:tc>
          <w:tcPr/>
          <w:p>
            <w:pPr>
              <w:pStyle w:val="Compact"/>
              <w:jc w:val="left"/>
            </w:pPr>
            <w:r>
              <w:t xml:space="preserve">Value</w:t>
            </w:r>
          </w:p>
        </w:tc>
        <w:tc>
          <w:tcPr/>
          <w:p>
            <w:pPr>
              <w:pStyle w:val="Compact"/>
              <w:jc w:val="left"/>
            </w:pPr>
            <w:r>
              <w:t xml:space="preserve">Guarded by</w:t>
            </w:r>
          </w:p>
        </w:tc>
      </w:tr>
      <w:tr>
        <w:tc>
          <w:tcPr/>
          <w:p>
            <w:pPr>
              <w:pStyle w:val="Compact"/>
              <w:jc w:val="left"/>
            </w:pPr>
            <w:r>
              <w:t xml:space="preserve">Rules-only baseline</w:t>
            </w:r>
          </w:p>
        </w:tc>
        <w:tc>
          <w:tcPr/>
          <w:p>
            <w:pPr>
              <w:pStyle w:val="Compact"/>
              <w:jc w:val="left"/>
            </w:pPr>
            <w:r>
              <w:t xml:space="preserve">Precision 1.0000 (390/390), recall 0.6866</w:t>
            </w:r>
          </w:p>
        </w:tc>
        <w:tc>
          <w:tcPr/>
          <w:p>
            <w:pPr>
              <w:pStyle w:val="Compact"/>
              <w:jc w:val="left"/>
            </w:pPr>
            <w:r>
              <w:t xml:space="preserve">TC-S-001, TC-I-074</w:t>
            </w:r>
          </w:p>
        </w:tc>
      </w:tr>
      <w:tr>
        <w:tc>
          <w:tcPr/>
          <w:p>
            <w:pPr>
              <w:pStyle w:val="Compact"/>
              <w:jc w:val="left"/>
            </w:pPr>
            <w:r>
              <w:t xml:space="preserve">Rules plus scoring</w:t>
            </w:r>
          </w:p>
        </w:tc>
        <w:tc>
          <w:tcPr/>
          <w:p>
            <w:pPr>
              <w:pStyle w:val="Compact"/>
              <w:jc w:val="left"/>
            </w:pPr>
            <w:r>
              <w:t xml:space="preserve">Precision 1.0000 (556/556), recall 0.9789 (556/568); hypothetical false automatic match rate 0/467</w:t>
            </w:r>
          </w:p>
        </w:tc>
        <w:tc>
          <w:tcPr/>
          <w:p>
            <w:pPr>
              <w:pStyle w:val="Compact"/>
              <w:jc w:val="left"/>
            </w:pPr>
            <w:r>
              <w:t xml:space="preserve">TC-H-001, TC-H-002, TC-I-074, TC-I-075</w:t>
            </w:r>
          </w:p>
        </w:tc>
      </w:tr>
      <w:tr>
        <w:tc>
          <w:tcPr/>
          <w:p>
            <w:pPr>
              <w:pStyle w:val="Compact"/>
              <w:jc w:val="left"/>
            </w:pPr>
            <w:r>
              <w:t xml:space="preserve">Routed queues</w:t>
            </w:r>
          </w:p>
        </w:tc>
        <w:tc>
          <w:tcPr/>
          <w:p>
            <w:pPr>
              <w:pStyle w:val="Compact"/>
              <w:jc w:val="left"/>
            </w:pPr>
            <w:r>
              <w:t xml:space="preserve">378 / 99 / 63 / 105 / 30 across CAT-01..05 (675 recommendations)</w:t>
            </w:r>
          </w:p>
        </w:tc>
        <w:tc>
          <w:tcPr/>
          <w:p>
            <w:pPr>
              <w:pStyle w:val="Compact"/>
              <w:jc w:val="left"/>
            </w:pPr>
            <w:r>
              <w:t xml:space="preserve">TC-I-041, TC-I-067</w:t>
            </w:r>
          </w:p>
        </w:tc>
      </w:tr>
      <w:tr>
        <w:tc>
          <w:tcPr/>
          <w:p>
            <w:pPr>
              <w:pStyle w:val="Compact"/>
              <w:jc w:val="left"/>
            </w:pPr>
            <w:r>
              <w:t xml:space="preserve">Statement after a correct review</w:t>
            </w:r>
          </w:p>
        </w:tc>
        <w:tc>
          <w:tcPr/>
          <w:p>
            <w:pPr>
              <w:pStyle w:val="Compact"/>
              <w:jc w:val="left"/>
            </w:pPr>
            <w:r>
              <w:t xml:space="preserve">Unresolved difference</w:t>
            </w:r>
            <w:r>
              <w:t xml:space="preserve"> </w:t>
            </w:r>
            <w:r>
              <w:rPr>
                <w:bCs/>
                <w:b/>
              </w:rPr>
              <w:t xml:space="preserve">-$9,392.35</w:t>
            </w:r>
            <w:r>
              <w:t xml:space="preserve">, exactly the dataset’s</w:t>
            </w:r>
          </w:p>
        </w:tc>
        <w:tc>
          <w:tcPr/>
          <w:p>
            <w:pPr>
              <w:pStyle w:val="Compact"/>
              <w:jc w:val="left"/>
            </w:pPr>
            <w:r>
              <w:t xml:space="preserve">TC-I-030, TC-S-007, TC-S-008</w:t>
            </w:r>
          </w:p>
        </w:tc>
      </w:tr>
      <w:tr>
        <w:tc>
          <w:tcPr/>
          <w:p>
            <w:pPr>
              <w:pStyle w:val="Compact"/>
              <w:jc w:val="left"/>
            </w:pPr>
            <w:r>
              <w:t xml:space="preserve">Complete reconciliation</w:t>
            </w:r>
          </w:p>
        </w:tc>
        <w:tc>
          <w:tcPr/>
          <w:p>
            <w:pPr>
              <w:pStyle w:val="Compact"/>
              <w:jc w:val="left"/>
            </w:pPr>
            <w:r>
              <w:t xml:space="preserve">Every item reconciled or unresolved; signed, locked, chain intact</w:t>
            </w:r>
          </w:p>
        </w:tc>
        <w:tc>
          <w:tcPr/>
          <w:p>
            <w:pPr>
              <w:pStyle w:val="Compact"/>
              <w:jc w:val="left"/>
            </w:pPr>
            <w:r>
              <w:t xml:space="preserve">TC-S-008</w:t>
            </w:r>
          </w:p>
        </w:tc>
      </w:tr>
      <w:tr>
        <w:tc>
          <w:tcPr/>
          <w:p>
            <w:pPr>
              <w:pStyle w:val="Compact"/>
              <w:jc w:val="left"/>
            </w:pPr>
            <w:r>
              <w:t xml:space="preserve">Report hashes</w:t>
            </w:r>
          </w:p>
        </w:tc>
        <w:tc>
          <w:tcPr/>
          <w:p>
            <w:pPr>
              <w:pStyle w:val="Compact"/>
              <w:jc w:val="left"/>
            </w:pPr>
            <w:r>
              <w:t xml:space="preserve">Identical when regenerated from unchanged data</w:t>
            </w:r>
          </w:p>
        </w:tc>
        <w:tc>
          <w:tcPr/>
          <w:p>
            <w:pPr>
              <w:pStyle w:val="Compact"/>
              <w:jc w:val="left"/>
            </w:pPr>
            <w:r>
              <w:t xml:space="preserve">TC-I-038</w:t>
            </w:r>
          </w:p>
        </w:tc>
      </w:tr>
    </w:tbl>
    <w:bookmarkEnd w:id="27"/>
    <w:bookmarkStart w:id="28" w:name="defects-found-by-testing"/>
    <w:p>
      <w:pPr>
        <w:pStyle w:val="Heading2"/>
      </w:pPr>
      <w:r>
        <w:t xml:space="preserve">9. Defects Found by Testing</w:t>
      </w:r>
    </w:p>
    <w:p>
      <w:pPr>
        <w:pStyle w:val="FirstParagraph"/>
      </w:pPr>
      <w:r>
        <w:t xml:space="preserve">Each of these was found by a test or by writing one, fixed, and is now pinned by a test.</w:t>
      </w:r>
    </w:p>
    <w:tbl>
      <w:tblPr>
        <w:tblStyle w:val="Table"/>
        <w:tblW w:type="pct" w:w="5000"/>
        <w:tblLook w:firstRow="1" w:lastRow="0" w:firstColumn="0" w:lastColumn="0" w:noHBand="0" w:noVBand="0" w:val="0020"/>
        <w:jc w:val="start"/>
      </w:tblPr>
      <w:tblGrid>
        <w:gridCol w:w="2909"/>
        <w:gridCol w:w="1454"/>
        <w:gridCol w:w="3555"/>
      </w:tblGrid>
      <w:tr>
        <w:trPr>
          <w:tblHeader w:val="true"/>
        </w:trPr>
        <w:tc>
          <w:tcPr/>
          <w:p>
            <w:pPr>
              <w:pStyle w:val="Compact"/>
              <w:jc w:val="left"/>
            </w:pPr>
            <w:r>
              <w:t xml:space="preserve">Defect</w:t>
            </w:r>
          </w:p>
        </w:tc>
        <w:tc>
          <w:tcPr/>
          <w:p>
            <w:pPr>
              <w:pStyle w:val="Compact"/>
              <w:jc w:val="left"/>
            </w:pPr>
            <w:r>
              <w:t xml:space="preserve">Found by</w:t>
            </w:r>
          </w:p>
        </w:tc>
        <w:tc>
          <w:tcPr/>
          <w:p>
            <w:pPr>
              <w:pStyle w:val="Compact"/>
              <w:jc w:val="left"/>
            </w:pPr>
            <w:r>
              <w:t xml:space="preserve">Fix</w:t>
            </w:r>
          </w:p>
        </w:tc>
      </w:tr>
      <w:tr>
        <w:tc>
          <w:tcPr/>
          <w:p>
            <w:pPr>
              <w:pStyle w:val="Compact"/>
              <w:jc w:val="left"/>
            </w:pPr>
            <w:r>
              <w:t xml:space="preserve">A bank description containing</w:t>
            </w:r>
            <w:r>
              <w:t xml:space="preserve"> </w:t>
            </w:r>
            <w:r>
              <w:t xml:space="preserve">“</w:t>
            </w:r>
            <w:r>
              <w:t xml:space="preserve">COFFEE</w:t>
            </w:r>
            <w:r>
              <w:t xml:space="preserve">”</w:t>
            </w:r>
            <w:r>
              <w:t xml:space="preserve"> </w:t>
            </w:r>
            <w:r>
              <w:t xml:space="preserve">was classified as a fee</w:t>
            </w:r>
          </w:p>
        </w:tc>
        <w:tc>
          <w:tcPr/>
          <w:p>
            <w:pPr>
              <w:pStyle w:val="Compact"/>
              <w:jc w:val="left"/>
            </w:pPr>
            <w:r>
              <w:t xml:space="preserve">TC-U-014, TC-U-015</w:t>
            </w:r>
          </w:p>
        </w:tc>
        <w:tc>
          <w:tcPr/>
          <w:p>
            <w:pPr>
              <w:pStyle w:val="Compact"/>
              <w:jc w:val="left"/>
            </w:pPr>
            <w:r>
              <w:t xml:space="preserve">Keywords match whole words only</w:t>
            </w:r>
          </w:p>
        </w:tc>
      </w:tr>
      <w:tr>
        <w:tc>
          <w:tcPr/>
          <w:p>
            <w:pPr>
              <w:pStyle w:val="Compact"/>
              <w:jc w:val="left"/>
            </w:pPr>
            <w:r>
              <w:t xml:space="preserve">Status changes read the previous status on a different connection</w:t>
            </w:r>
          </w:p>
        </w:tc>
        <w:tc>
          <w:tcPr/>
          <w:p>
            <w:pPr>
              <w:pStyle w:val="Compact"/>
              <w:jc w:val="left"/>
            </w:pPr>
            <w:r>
              <w:t xml:space="preserve">TC-I-008, written to fail on the old code</w:t>
            </w:r>
          </w:p>
        </w:tc>
        <w:tc>
          <w:tcPr/>
          <w:p>
            <w:pPr>
              <w:pStyle w:val="Compact"/>
              <w:jc w:val="left"/>
            </w:pPr>
            <w:r>
              <w:t xml:space="preserve">Reads that guard a write use the transaction’s connection</w:t>
            </w:r>
          </w:p>
        </w:tc>
      </w:tr>
      <w:tr>
        <w:tc>
          <w:tcPr/>
          <w:p>
            <w:pPr>
              <w:pStyle w:val="Compact"/>
              <w:jc w:val="left"/>
            </w:pPr>
            <w:r>
              <w:t xml:space="preserve">Selecting a different candidate could settle a high-risk exception without a senior</w:t>
            </w:r>
          </w:p>
        </w:tc>
        <w:tc>
          <w:tcPr/>
          <w:p>
            <w:pPr>
              <w:pStyle w:val="Compact"/>
              <w:jc w:val="left"/>
            </w:pPr>
            <w:r>
              <w:t xml:space="preserve">TC-I-019</w:t>
            </w:r>
          </w:p>
        </w:tc>
        <w:tc>
          <w:tcPr/>
          <w:p>
            <w:pPr>
              <w:pStyle w:val="Compact"/>
              <w:jc w:val="left"/>
            </w:pPr>
            <w:r>
              <w:t xml:space="preserve">Superseding a CAT-05 or escalated exception requires an independent senior</w:t>
            </w:r>
          </w:p>
        </w:tc>
      </w:tr>
      <w:tr>
        <w:tc>
          <w:tcPr/>
          <w:p>
            <w:pPr>
              <w:pStyle w:val="Compact"/>
              <w:jc w:val="left"/>
            </w:pPr>
            <w:r>
              <w:t xml:space="preserve">Matching left four records proposed in a match and flagged as duplicates at once</w:t>
            </w:r>
          </w:p>
        </w:tc>
        <w:tc>
          <w:tcPr/>
          <w:p>
            <w:pPr>
              <w:pStyle w:val="Compact"/>
              <w:jc w:val="left"/>
            </w:pPr>
            <w:r>
              <w:t xml:space="preserve">TC-S-008</w:t>
            </w:r>
          </w:p>
        </w:tc>
        <w:tc>
          <w:tcPr/>
          <w:p>
            <w:pPr>
              <w:pStyle w:val="Compact"/>
              <w:jc w:val="left"/>
            </w:pPr>
            <w:r>
              <w:t xml:space="preserve">Settling a record settles every other proposal for it</w:t>
            </w:r>
          </w:p>
        </w:tc>
      </w:tr>
      <w:tr>
        <w:tc>
          <w:tcPr/>
          <w:p>
            <w:pPr>
              <w:pStyle w:val="Compact"/>
              <w:jc w:val="left"/>
            </w:pPr>
            <w:r>
              <w:t xml:space="preserve">The statement still counted hand-paired exceptions as reconciling items</w:t>
            </w:r>
          </w:p>
        </w:tc>
        <w:tc>
          <w:tcPr/>
          <w:p>
            <w:pPr>
              <w:pStyle w:val="Compact"/>
              <w:jc w:val="left"/>
            </w:pPr>
            <w:r>
              <w:t xml:space="preserve">TC-S-007</w:t>
            </w:r>
          </w:p>
        </w:tc>
        <w:tc>
          <w:tcPr/>
          <w:p>
            <w:pPr>
              <w:pStyle w:val="Compact"/>
              <w:jc w:val="left"/>
            </w:pPr>
            <w:r>
              <w:t xml:space="preserve">Exceptions decided by modify are treated as matches</w:t>
            </w:r>
          </w:p>
        </w:tc>
      </w:tr>
      <w:tr>
        <w:tc>
          <w:tcPr/>
          <w:p>
            <w:pPr>
              <w:pStyle w:val="Compact"/>
              <w:jc w:val="left"/>
            </w:pPr>
            <w:r>
              <w:t xml:space="preserve">Investigate-only exceptions could be approved, and so reconciled while unexplained</w:t>
            </w:r>
          </w:p>
        </w:tc>
        <w:tc>
          <w:tcPr/>
          <w:p>
            <w:pPr>
              <w:pStyle w:val="Compact"/>
              <w:jc w:val="left"/>
            </w:pPr>
            <w:r>
              <w:t xml:space="preserve">TC-S-008</w:t>
            </w:r>
          </w:p>
        </w:tc>
        <w:tc>
          <w:tcPr/>
          <w:p>
            <w:pPr>
              <w:pStyle w:val="Compact"/>
              <w:jc w:val="left"/>
            </w:pPr>
            <w:r>
              <w:t xml:space="preserve">EXC-05, EXC-07 and EXC-08 cannot be approved</w:t>
            </w:r>
          </w:p>
        </w:tc>
      </w:tr>
      <w:tr>
        <w:tc>
          <w:tcPr/>
          <w:p>
            <w:pPr>
              <w:pStyle w:val="Compact"/>
              <w:jc w:val="left"/>
            </w:pPr>
            <w:r>
              <w:t xml:space="preserve">The Reconciliation Summary hash changed on every regeneration</w:t>
            </w:r>
          </w:p>
        </w:tc>
        <w:tc>
          <w:tcPr/>
          <w:p>
            <w:pPr>
              <w:pStyle w:val="Compact"/>
              <w:jc w:val="left"/>
            </w:pPr>
            <w:r>
              <w:t xml:space="preserve">TC-I-038</w:t>
            </w:r>
          </w:p>
        </w:tc>
        <w:tc>
          <w:tcPr/>
          <w:p>
            <w:pPr>
              <w:pStyle w:val="Compact"/>
              <w:jc w:val="left"/>
            </w:pPr>
            <w:r>
              <w:t xml:space="preserve">It shows the chain head recorded at sign-off, not the live head</w:t>
            </w:r>
          </w:p>
        </w:tc>
      </w:tr>
      <w:tr>
        <w:tc>
          <w:tcPr/>
          <w:p>
            <w:pPr>
              <w:pStyle w:val="Compact"/>
              <w:jc w:val="left"/>
            </w:pPr>
            <w:r>
              <w:t xml:space="preserve">The generative AI adapter was built but never called, and its guards were untested</w:t>
            </w:r>
          </w:p>
        </w:tc>
        <w:tc>
          <w:tcPr/>
          <w:p>
            <w:pPr>
              <w:pStyle w:val="Compact"/>
              <w:jc w:val="left"/>
            </w:pPr>
            <w:r>
              <w:t xml:space="preserve">Coverage review of CR-13</w:t>
            </w:r>
          </w:p>
        </w:tc>
        <w:tc>
          <w:tcPr/>
          <w:p>
            <w:pPr>
              <w:pStyle w:val="Compact"/>
              <w:jc w:val="left"/>
            </w:pPr>
            <w:r>
              <w:t xml:space="preserve">Wired as an optional reviewer action and tested with misbehaving providers</w:t>
            </w:r>
          </w:p>
        </w:tc>
      </w:tr>
      <w:tr>
        <w:tc>
          <w:tcPr/>
          <w:p>
            <w:pPr>
              <w:pStyle w:val="Compact"/>
              <w:jc w:val="left"/>
            </w:pPr>
            <w:r>
              <w:t xml:space="preserve">The calibration benchmark passed calibrated confidence through the calibrator again, reporting an error of 0.0836 instead of 0.1234</w:t>
            </w:r>
          </w:p>
        </w:tc>
        <w:tc>
          <w:tcPr/>
          <w:p>
            <w:pPr>
              <w:pStyle w:val="Compact"/>
              <w:jc w:val="left"/>
            </w:pPr>
            <w:r>
              <w:t xml:space="preserve">Writing the evaluator’s calibration measure</w:t>
            </w:r>
          </w:p>
        </w:tc>
        <w:tc>
          <w:tcPr/>
          <w:p>
            <w:pPr>
              <w:pStyle w:val="Compact"/>
              <w:jc w:val="left"/>
            </w:pPr>
            <w:r>
              <w:t xml:space="preserve">Both now assess the raw score once; figures pinned by TC-I-074</w:t>
            </w:r>
          </w:p>
        </w:tc>
      </w:tr>
      <w:tr>
        <w:tc>
          <w:tcPr/>
          <w:p>
            <w:pPr>
              <w:pStyle w:val="Compact"/>
              <w:jc w:val="left"/>
            </w:pPr>
            <w:r>
              <w:t xml:space="preserve">A recorded decision could not be corrected, so FR-AUD-06 was not met for reviewer decisions</w:t>
            </w:r>
          </w:p>
        </w:tc>
        <w:tc>
          <w:tcPr/>
          <w:p>
            <w:pPr>
              <w:pStyle w:val="Compact"/>
              <w:jc w:val="left"/>
            </w:pPr>
            <w:r>
              <w:t xml:space="preserve">Writing the FAQ</w:t>
            </w:r>
          </w:p>
        </w:tc>
        <w:tc>
          <w:tcPr/>
          <w:p>
            <w:pPr>
              <w:pStyle w:val="Compact"/>
              <w:jc w:val="left"/>
            </w:pPr>
            <w:r>
              <w:t xml:space="preserve">Reversal by a second, senior person (CR-19, ADR-32); TC-C-066..070, TC-I-086..090</w:t>
            </w:r>
          </w:p>
        </w:tc>
      </w:tr>
      <w:tr>
        <w:tc>
          <w:tcPr/>
          <w:p>
            <w:pPr>
              <w:pStyle w:val="Compact"/>
              <w:jc w:val="left"/>
            </w:pPr>
            <w:r>
              <w:t xml:space="preserve">The audit trail’s Records column showed a Python method name instead of record numbers</w:t>
            </w:r>
          </w:p>
        </w:tc>
        <w:tc>
          <w:tcPr/>
          <w:p>
            <w:pPr>
              <w:pStyle w:val="Compact"/>
              <w:jc w:val="left"/>
            </w:pPr>
            <w:r>
              <w:t xml:space="preserve">Rendering the screen for review</w:t>
            </w:r>
          </w:p>
        </w:tc>
        <w:tc>
          <w:tcPr/>
          <w:p>
            <w:pPr>
              <w:pStyle w:val="Compact"/>
              <w:jc w:val="left"/>
            </w:pPr>
            <w:r>
              <w:t xml:space="preserve">The view’s key no longer collides with a dictionary method; TC-I-082</w:t>
            </w:r>
          </w:p>
        </w:tc>
      </w:tr>
      <w:tr>
        <w:tc>
          <w:tcPr/>
          <w:p>
            <w:pPr>
              <w:pStyle w:val="Compact"/>
              <w:jc w:val="left"/>
            </w:pPr>
            <w:r>
              <w:t xml:space="preserve">Items clearing last month’s open items were described as agreeing on amount, date and reference</w:t>
            </w:r>
          </w:p>
        </w:tc>
        <w:tc>
          <w:tcPr/>
          <w:p>
            <w:pPr>
              <w:pStyle w:val="Compact"/>
              <w:jc w:val="left"/>
            </w:pPr>
            <w:r>
              <w:t xml:space="preserve">Reading the evidence wording against the rule</w:t>
            </w:r>
          </w:p>
        </w:tc>
        <w:tc>
          <w:tcPr/>
          <w:p>
            <w:pPr>
              <w:pStyle w:val="Compact"/>
              <w:jc w:val="left"/>
            </w:pPr>
            <w:r>
              <w:t xml:space="preserve">Exact-match wording only for the exact rule; TC-I-081</w:t>
            </w:r>
          </w:p>
        </w:tc>
      </w:tr>
      <w:tr>
        <w:tc>
          <w:tcPr/>
          <w:p>
            <w:pPr>
              <w:pStyle w:val="Compact"/>
              <w:jc w:val="left"/>
            </w:pPr>
            <w:r>
              <w:t xml:space="preserve">A provider that did not answer replaced a stored summary and was reported as rejected text; offline text was labelled as written by AI</w:t>
            </w:r>
          </w:p>
        </w:tc>
        <w:tc>
          <w:tcPr/>
          <w:p>
            <w:pPr>
              <w:pStyle w:val="Compact"/>
              <w:jc w:val="left"/>
            </w:pPr>
            <w:r>
              <w:t xml:space="preserve">Reviewing a live provider failure</w:t>
            </w:r>
          </w:p>
        </w:tc>
        <w:tc>
          <w:tcPr/>
          <w:p>
            <w:pPr>
              <w:pStyle w:val="Compact"/>
              <w:jc w:val="left"/>
            </w:pPr>
            <w:r>
              <w:t xml:space="preserve">A failed call stores nothing; the summary’s author is shown; TC-I-084, TC-I-085</w:t>
            </w:r>
          </w:p>
        </w:tc>
      </w:tr>
      <w:tr>
        <w:tc>
          <w:tcPr/>
          <w:p>
            <w:pPr>
              <w:pStyle w:val="Compact"/>
              <w:jc w:val="left"/>
            </w:pPr>
            <w:r>
              <w:t xml:space="preserve">Two tests shared the IDs TC-I-074 and TC-I-075</w:t>
            </w:r>
          </w:p>
        </w:tc>
        <w:tc>
          <w:tcPr/>
          <w:p>
            <w:pPr>
              <w:pStyle w:val="Compact"/>
              <w:jc w:val="left"/>
            </w:pPr>
            <w:r>
              <w:t xml:space="preserve">ID check before release</w:t>
            </w:r>
          </w:p>
        </w:tc>
        <w:tc>
          <w:tcPr/>
          <w:p>
            <w:pPr>
              <w:pStyle w:val="Compact"/>
              <w:jc w:val="left"/>
            </w:pPr>
            <w:r>
              <w:t xml:space="preserve">Renumbered TC-I-084 and TC-I-085; IDs are unique</w:t>
            </w:r>
          </w:p>
        </w:tc>
      </w:tr>
    </w:tbl>
    <w:bookmarkEnd w:id="28"/>
    <w:bookmarkStart w:id="29" w:name="not-covered-and-why"/>
    <w:p>
      <w:pPr>
        <w:pStyle w:val="Heading2"/>
      </w:pPr>
      <w:r>
        <w:t xml:space="preserve">10. Not Covered, and Why</w:t>
      </w:r>
    </w:p>
    <w:tbl>
      <w:tblPr>
        <w:tblStyle w:val="Table"/>
        <w:tblW w:type="pct" w:w="5000"/>
        <w:tblLook w:firstRow="1" w:lastRow="0" w:firstColumn="0" w:lastColumn="0" w:noHBand="0" w:noVBand="0" w:val="0020"/>
        <w:jc w:val="start"/>
      </w:tblPr>
      <w:tblGrid>
        <w:gridCol w:w="2026"/>
        <w:gridCol w:w="5893"/>
      </w:tblGrid>
      <w:tr>
        <w:trPr>
          <w:tblHeader w:val="true"/>
        </w:trPr>
        <w:tc>
          <w:tcPr/>
          <w:p>
            <w:pPr>
              <w:pStyle w:val="Compact"/>
              <w:jc w:val="left"/>
            </w:pPr>
            <w:r>
              <w:t xml:space="preserve">Area</w:t>
            </w:r>
          </w:p>
        </w:tc>
        <w:tc>
          <w:tcPr/>
          <w:p>
            <w:pPr>
              <w:pStyle w:val="Compact"/>
              <w:jc w:val="left"/>
            </w:pPr>
            <w:r>
              <w:t xml:space="preserve">Status</w:t>
            </w:r>
          </w:p>
        </w:tc>
      </w:tr>
      <w:tr>
        <w:tc>
          <w:tcPr/>
          <w:p>
            <w:pPr>
              <w:pStyle w:val="Compact"/>
              <w:jc w:val="left"/>
            </w:pPr>
            <w:r>
              <w:t xml:space="preserve">Browser-level interface testing</w:t>
            </w:r>
          </w:p>
        </w:tc>
        <w:tc>
          <w:tcPr/>
          <w:p>
            <w:pPr>
              <w:pStyle w:val="Compact"/>
              <w:jc w:val="left"/>
            </w:pPr>
            <w:r>
              <w:t xml:space="preserve">Screens are tested through their data and rendered templates, and through HTTP. Layout is checked by hand against the wireframes; no browser automation is used</w:t>
            </w:r>
          </w:p>
        </w:tc>
      </w:tr>
      <w:tr>
        <w:tc>
          <w:tcPr/>
          <w:p>
            <w:pPr>
              <w:pStyle w:val="Compact"/>
              <w:jc w:val="left"/>
            </w:pPr>
            <w:r>
              <w:t xml:space="preserve">Concurrent users</w:t>
            </w:r>
          </w:p>
        </w:tc>
        <w:tc>
          <w:tcPr/>
          <w:p>
            <w:pPr>
              <w:pStyle w:val="Compact"/>
              <w:jc w:val="left"/>
            </w:pPr>
            <w:r>
              <w:t xml:space="preserve">Not applicable by design: one connection, one request at a time (ADR-21)</w:t>
            </w:r>
          </w:p>
        </w:tc>
      </w:tr>
      <w:tr>
        <w:tc>
          <w:tcPr/>
          <w:p>
            <w:pPr>
              <w:pStyle w:val="Compact"/>
              <w:jc w:val="left"/>
            </w:pPr>
            <w:r>
              <w:t xml:space="preserve">Cross-site request forgery, upload size</w:t>
            </w:r>
          </w:p>
        </w:tc>
        <w:tc>
          <w:tcPr/>
          <w:p>
            <w:pPr>
              <w:pStyle w:val="Compact"/>
              <w:jc w:val="left"/>
            </w:pPr>
            <w:r>
              <w:t xml:space="preserve">Stated limits of a local prototype (DOC-05 section 12); not tested</w:t>
            </w:r>
          </w:p>
        </w:tc>
      </w:tr>
      <w:tr>
        <w:tc>
          <w:tcPr/>
          <w:p>
            <w:pPr>
              <w:pStyle w:val="Compact"/>
              <w:jc w:val="left"/>
            </w:pPr>
            <w:r>
              <w:t xml:space="preserve">Lock on adjustment decisions at database level</w:t>
            </w:r>
          </w:p>
        </w:tc>
        <w:tc>
          <w:tcPr/>
          <w:p>
            <w:pPr>
              <w:pStyle w:val="Compact"/>
              <w:jc w:val="left"/>
            </w:pPr>
            <w:r>
              <w:t xml:space="preserve">No trigger exists for that table (ADR-30); the service lock is tested directly (TC-C-047)</w:t>
            </w:r>
          </w:p>
        </w:tc>
      </w:tr>
      <w:tr>
        <w:tc>
          <w:tcPr/>
          <w:p>
            <w:pPr>
              <w:pStyle w:val="Compact"/>
              <w:jc w:val="left"/>
            </w:pPr>
            <w:r>
              <w:t xml:space="preserve">Time per item</w:t>
            </w:r>
          </w:p>
        </w:tc>
        <w:tc>
          <w:tcPr/>
          <w:p>
            <w:pPr>
              <w:pStyle w:val="Compact"/>
              <w:jc w:val="left"/>
            </w:pPr>
            <w:r>
              <w:t xml:space="preserve">Not measured: no timed review by two people has been run (DOC-07 section 7, DD-04). The suite checks that timings are recorded and attributed (TC-I-015, TC-I-076)</w:t>
            </w:r>
          </w:p>
        </w:tc>
      </w:tr>
      <w:tr>
        <w:tc>
          <w:tcPr/>
          <w:p>
            <w:pPr>
              <w:pStyle w:val="Compact"/>
              <w:jc w:val="left"/>
            </w:pPr>
            <w:r>
              <w:t xml:space="preserve">Matching quality metrics</w:t>
            </w:r>
          </w:p>
        </w:tc>
        <w:tc>
          <w:tcPr/>
          <w:p>
            <w:pPr>
              <w:pStyle w:val="Compact"/>
              <w:jc w:val="left"/>
            </w:pPr>
            <w:r>
              <w:t xml:space="preserve">Measured by the evaluator and reported in DOC-07; the suite pins the figures that must not regress</w:t>
            </w:r>
          </w:p>
        </w:tc>
      </w:tr>
    </w:tbl>
    <w:bookmarkEnd w:id="29"/>
    <w:bookmarkEnd w:id="30"/>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2026-10-19T18:48:35Z</dcterms:created>
  <dcterms:modified xsi:type="dcterms:W3CDTF">2026-10-19T18:48:35Z</dcterms:modified>
</cp:coreProperties>
</file>

<file path=docProps/custom.xml><?xml version="1.0" encoding="utf-8"?>
<Properties xmlns="http://schemas.openxmlformats.org/officeDocument/2006/custom-properties" xmlns:vt="http://schemas.openxmlformats.org/officeDocument/2006/docPropsVTypes"/>
</file>