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5d1d131f9244d083034464b704ae5d15474393"/>
    <w:p>
      <w:pPr>
        <w:pStyle w:val="Heading1"/>
      </w:pPr>
      <w:r>
        <w:t xml:space="preserve">Installation and Deployment Guide — AI-Assisted Bank Reconciliation</w:t>
      </w:r>
    </w:p>
    <w:bookmarkStart w:id="21" w:name="what-you-will-have"/>
    <w:p>
      <w:pPr>
        <w:pStyle w:val="Heading2"/>
      </w:pPr>
      <w:r>
        <w:t xml:space="preserve">1. What You Will Have</w:t>
      </w:r>
    </w:p>
    <w:p>
      <w:pPr>
        <w:pStyle w:val="FirstParagraph"/>
      </w:pPr>
      <w:r>
        <w:t xml:space="preserve">A reconciliation workstation that runs on one computer: a local database, the reviewer interface in your web browser at</w:t>
      </w:r>
      <w:r>
        <w:t xml:space="preserve"> </w:t>
      </w:r>
      <w:hyperlink r:id="rId20">
        <w:r>
          <w:rPr>
            <w:rStyle w:val="Hyperlink"/>
          </w:rPr>
          <w:t xml:space="preserve">http://127.0.0.1:8000</w:t>
        </w:r>
      </w:hyperlink>
      <w:r>
        <w:t xml:space="preserve">, a command line for setup and checks, and the August 2026 sample month ready to reconcile. Nothing is sent over the internet unless you switch on the optional AI summaries (section 7).</w:t>
      </w:r>
    </w:p>
    <w:bookmarkEnd w:id="21"/>
    <w:bookmarkStart w:id="22" w:name="requirements"/>
    <w:p>
      <w:pPr>
        <w:pStyle w:val="Heading2"/>
      </w:pPr>
      <w:r>
        <w:t xml:space="preserve">2. Requirements</w:t>
      </w:r>
    </w:p>
    <w:tbl>
      <w:tblPr>
        <w:tblStyle w:val="Table"/>
        <w:tblW w:type="pct" w:w="5000"/>
        <w:tblLook w:firstRow="1" w:lastRow="0" w:firstColumn="0" w:lastColumn="0" w:noHBand="0" w:noVBand="0" w:val="0020"/>
        <w:jc w:val="start"/>
      </w:tblPr>
      <w:tblGrid>
        <w:gridCol w:w="1782"/>
        <w:gridCol w:w="6138"/>
      </w:tblGrid>
      <w:tr>
        <w:trPr>
          <w:tblHeader w:val="true"/>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Operating system</w:t>
            </w:r>
          </w:p>
        </w:tc>
        <w:tc>
          <w:tcPr/>
          <w:p>
            <w:pPr>
              <w:pStyle w:val="Compact"/>
              <w:jc w:val="left"/>
            </w:pPr>
            <w:r>
              <w:t xml:space="preserve">macOS 12 or later, Windows 10 or 11, or a current Linux distribution</w:t>
            </w:r>
          </w:p>
        </w:tc>
      </w:tr>
      <w:tr>
        <w:tc>
          <w:tcPr/>
          <w:p>
            <w:pPr>
              <w:pStyle w:val="Compact"/>
              <w:jc w:val="left"/>
            </w:pPr>
            <w:r>
              <w:t xml:space="preserve">Python</w:t>
            </w:r>
          </w:p>
        </w:tc>
        <w:tc>
          <w:tcPr/>
          <w:p>
            <w:pPr>
              <w:pStyle w:val="Compact"/>
              <w:jc w:val="left"/>
            </w:pPr>
            <w:r>
              <w:t xml:space="preserve">3.11 or later. Check with</w:t>
            </w:r>
            <w:r>
              <w:t xml:space="preserve"> </w:t>
            </w:r>
            <w:r>
              <w:rPr>
                <w:rStyle w:val="VerbatimChar"/>
              </w:rPr>
              <w:t xml:space="preserve">python3 --version</w:t>
            </w:r>
            <w:r>
              <w:t xml:space="preserve"> </w:t>
            </w:r>
            <w:r>
              <w:t xml:space="preserve">(Windows:</w:t>
            </w:r>
            <w:r>
              <w:t xml:space="preserve"> </w:t>
            </w:r>
            <w:r>
              <w:rPr>
                <w:rStyle w:val="VerbatimChar"/>
              </w:rPr>
              <w:t xml:space="preserve">python --version</w:t>
            </w:r>
            <w:r>
              <w:t xml:space="preserve">)</w:t>
            </w:r>
          </w:p>
        </w:tc>
      </w:tr>
      <w:tr>
        <w:tc>
          <w:tcPr/>
          <w:p>
            <w:pPr>
              <w:pStyle w:val="Compact"/>
              <w:jc w:val="left"/>
            </w:pPr>
            <w:r>
              <w:t xml:space="preserve">Disk</w:t>
            </w:r>
          </w:p>
        </w:tc>
        <w:tc>
          <w:tcPr/>
          <w:p>
            <w:pPr>
              <w:pStyle w:val="Compact"/>
              <w:jc w:val="left"/>
            </w:pPr>
            <w:r>
              <w:t xml:space="preserve">About 300 MB for Python packages, plus about 50 MB per reconciled month</w:t>
            </w:r>
          </w:p>
        </w:tc>
      </w:tr>
      <w:tr>
        <w:tc>
          <w:tcPr/>
          <w:p>
            <w:pPr>
              <w:pStyle w:val="Compact"/>
              <w:jc w:val="left"/>
            </w:pPr>
            <w:r>
              <w:t xml:space="preserve">Browser</w:t>
            </w:r>
          </w:p>
        </w:tc>
        <w:tc>
          <w:tcPr/>
          <w:p>
            <w:pPr>
              <w:pStyle w:val="Compact"/>
              <w:jc w:val="left"/>
            </w:pPr>
            <w:r>
              <w:t xml:space="preserve">Any current Chrome, Edge, Firefox or Safari</w:t>
            </w:r>
          </w:p>
        </w:tc>
      </w:tr>
      <w:tr>
        <w:tc>
          <w:tcPr/>
          <w:p>
            <w:pPr>
              <w:pStyle w:val="Compact"/>
              <w:jc w:val="left"/>
            </w:pPr>
            <w:r>
              <w:t xml:space="preserve">Network</w:t>
            </w:r>
          </w:p>
        </w:tc>
        <w:tc>
          <w:tcPr/>
          <w:p>
            <w:pPr>
              <w:pStyle w:val="Compact"/>
              <w:jc w:val="left"/>
            </w:pPr>
            <w:r>
              <w:t xml:space="preserve">Needed once, to download the packages. Not needed to run</w:t>
            </w:r>
          </w:p>
        </w:tc>
      </w:tr>
      <w:tr>
        <w:tc>
          <w:tcPr/>
          <w:p>
            <w:pPr>
              <w:pStyle w:val="Compact"/>
              <w:jc w:val="left"/>
            </w:pPr>
            <w:r>
              <w:t xml:space="preserve">Git</w:t>
            </w:r>
          </w:p>
        </w:tc>
        <w:tc>
          <w:tcPr/>
          <w:p>
            <w:pPr>
              <w:pStyle w:val="Compact"/>
              <w:jc w:val="left"/>
            </w:pPr>
            <w:r>
              <w:t xml:space="preserve">Optional. You can download the project as a ZIP instead</w:t>
            </w:r>
          </w:p>
        </w:tc>
      </w:tr>
    </w:tbl>
    <w:p>
      <w:pPr>
        <w:pStyle w:val="BodyText"/>
      </w:pPr>
      <w:r>
        <w:t xml:space="preserve">On Windows, replace</w:t>
      </w:r>
      <w:r>
        <w:t xml:space="preserve"> </w:t>
      </w:r>
      <w:r>
        <w:rPr>
          <w:rStyle w:val="VerbatimChar"/>
        </w:rPr>
        <w:t xml:space="preserve">python3</w:t>
      </w:r>
      <w:r>
        <w:t xml:space="preserve"> </w:t>
      </w:r>
      <w:r>
        <w:t xml:space="preserve">with</w:t>
      </w:r>
      <w:r>
        <w:t xml:space="preserve"> </w:t>
      </w:r>
      <w:r>
        <w:rPr>
          <w:rStyle w:val="VerbatimChar"/>
        </w:rPr>
        <w:t xml:space="preserve">python</w:t>
      </w:r>
      <w:r>
        <w:t xml:space="preserve"> </w:t>
      </w:r>
      <w:r>
        <w:t xml:space="preserve">in every command in this guide.</w:t>
      </w:r>
    </w:p>
    <w:bookmarkEnd w:id="22"/>
    <w:bookmarkStart w:id="23" w:name="install"/>
    <w:p>
      <w:pPr>
        <w:pStyle w:val="Heading2"/>
      </w:pPr>
      <w:r>
        <w:t xml:space="preserve">3. Install</w:t>
      </w:r>
    </w:p>
    <w:p>
      <w:pPr>
        <w:pStyle w:val="FirstParagraph"/>
      </w:pPr>
      <w:r>
        <w:t xml:space="preserve">Run each command on its own, from a terminal.</w:t>
      </w:r>
    </w:p>
    <w:p>
      <w:pPr>
        <w:pStyle w:val="BodyText"/>
      </w:pPr>
      <w:r>
        <w:rPr>
          <w:bCs/>
          <w:b/>
        </w:rPr>
        <w:t xml:space="preserve">1. Get the code.</w:t>
      </w:r>
      <w:r>
        <w:t xml:space="preserve"> </w:t>
      </w:r>
      <w:r>
        <w:t xml:space="preserve">Either clone it:</w:t>
      </w:r>
    </w:p>
    <w:p>
      <w:pPr>
        <w:pStyle w:val="SourceCode"/>
      </w:pPr>
      <w:r>
        <w:rPr>
          <w:rStyle w:val="FunctionTok"/>
        </w:rPr>
        <w:t xml:space="preserve">git</w:t>
      </w:r>
      <w:r>
        <w:rPr>
          <w:rStyle w:val="NormalTok"/>
        </w:rPr>
        <w:t xml:space="preserve"> clone https://github.com/uday269/bank_reconciliation.git</w:t>
      </w:r>
      <w:r>
        <w:br/>
      </w:r>
      <w:r>
        <w:rPr>
          <w:rStyle w:val="BuiltInTok"/>
        </w:rPr>
        <w:t xml:space="preserve">cd</w:t>
      </w:r>
      <w:r>
        <w:rPr>
          <w:rStyle w:val="NormalTok"/>
        </w:rPr>
        <w:t xml:space="preserve"> bank_reconciliation</w:t>
      </w:r>
    </w:p>
    <w:p>
      <w:pPr>
        <w:pStyle w:val="FirstParagraph"/>
      </w:pPr>
      <w:r>
        <w:t xml:space="preserve">or download the ZIP from the GitHub page (</w:t>
      </w:r>
      <w:r>
        <w:rPr>
          <w:bCs/>
          <w:b/>
        </w:rPr>
        <w:t xml:space="preserve">Code → Download ZIP</w:t>
      </w:r>
      <w:r>
        <w:t xml:space="preserve">), unzip it, and open a terminal in the unzipped</w:t>
      </w:r>
      <w:r>
        <w:t xml:space="preserve"> </w:t>
      </w:r>
      <w:r>
        <w:rPr>
          <w:rStyle w:val="VerbatimChar"/>
        </w:rPr>
        <w:t xml:space="preserve">bank_reconciliation</w:t>
      </w:r>
      <w:r>
        <w:t xml:space="preserve"> </w:t>
      </w:r>
      <w:r>
        <w:t xml:space="preserve">folder. Every command below runs from that folder.</w:t>
      </w:r>
    </w:p>
    <w:p>
      <w:pPr>
        <w:pStyle w:val="BodyText"/>
      </w:pPr>
      <w:r>
        <w:rPr>
          <w:bCs/>
          <w:b/>
        </w:rPr>
        <w:t xml:space="preserve">2. (Recommended) Create a private Python environment</w:t>
      </w:r>
      <w:r>
        <w:t xml:space="preserve">, so the packages do not mix with anything else on the computer:</w:t>
      </w:r>
    </w:p>
    <w:tbl>
      <w:tblPr>
        <w:tblStyle w:val="Table"/>
        <w:tblW w:type="pct" w:w="5000"/>
        <w:tblLook w:firstRow="1" w:lastRow="0" w:firstColumn="0" w:lastColumn="0" w:noHBand="0" w:noVBand="0" w:val="0020"/>
        <w:jc w:val="start"/>
      </w:tblPr>
      <w:tblGrid>
        <w:gridCol w:w="1478"/>
        <w:gridCol w:w="2851"/>
        <w:gridCol w:w="3590"/>
      </w:tblGrid>
      <w:tr>
        <w:trPr>
          <w:tblHeader w:val="true"/>
        </w:trPr>
        <w:tc>
          <w:tcPr/>
          <w:p>
            <w:pPr>
              <w:pStyle w:val="Compact"/>
              <w:jc w:val="left"/>
            </w:pPr>
            <w:r>
              <w:t xml:space="preserve">System</w:t>
            </w:r>
          </w:p>
        </w:tc>
        <w:tc>
          <w:tcPr/>
          <w:p>
            <w:pPr>
              <w:pStyle w:val="Compact"/>
              <w:jc w:val="left"/>
            </w:pPr>
            <w:r>
              <w:t xml:space="preserve">Create</w:t>
            </w:r>
          </w:p>
        </w:tc>
        <w:tc>
          <w:tcPr/>
          <w:p>
            <w:pPr>
              <w:pStyle w:val="Compact"/>
              <w:jc w:val="left"/>
            </w:pPr>
            <w:r>
              <w:t xml:space="preserve">Activate (each new terminal)</w:t>
            </w:r>
          </w:p>
        </w:tc>
      </w:tr>
      <w:tr>
        <w:tc>
          <w:tcPr/>
          <w:p>
            <w:pPr>
              <w:pStyle w:val="Compact"/>
              <w:jc w:val="left"/>
            </w:pPr>
            <w:r>
              <w:t xml:space="preserve">macOS, Linux</w:t>
            </w:r>
          </w:p>
        </w:tc>
        <w:tc>
          <w:tcPr/>
          <w:p>
            <w:pPr>
              <w:pStyle w:val="Compact"/>
              <w:jc w:val="left"/>
            </w:pPr>
            <w:r>
              <w:rPr>
                <w:rStyle w:val="VerbatimChar"/>
              </w:rPr>
              <w:t xml:space="preserve">python3 -m venv .venv</w:t>
            </w:r>
          </w:p>
        </w:tc>
        <w:tc>
          <w:tcPr/>
          <w:p>
            <w:pPr>
              <w:pStyle w:val="Compact"/>
              <w:jc w:val="left"/>
            </w:pPr>
            <w:r>
              <w:rPr>
                <w:rStyle w:val="VerbatimChar"/>
              </w:rPr>
              <w:t xml:space="preserve">source .venv/bin/activate</w:t>
            </w:r>
          </w:p>
        </w:tc>
      </w:tr>
      <w:tr>
        <w:tc>
          <w:tcPr/>
          <w:p>
            <w:pPr>
              <w:pStyle w:val="Compact"/>
              <w:jc w:val="left"/>
            </w:pPr>
            <w:r>
              <w:t xml:space="preserve">Windows</w:t>
            </w:r>
          </w:p>
        </w:tc>
        <w:tc>
          <w:tcPr/>
          <w:p>
            <w:pPr>
              <w:pStyle w:val="Compact"/>
              <w:jc w:val="left"/>
            </w:pPr>
            <w:r>
              <w:rPr>
                <w:rStyle w:val="VerbatimChar"/>
              </w:rPr>
              <w:t xml:space="preserve">python -m venv .venv</w:t>
            </w:r>
          </w:p>
        </w:tc>
        <w:tc>
          <w:tcPr/>
          <w:p>
            <w:pPr>
              <w:pStyle w:val="Compact"/>
              <w:jc w:val="left"/>
            </w:pPr>
            <w:r>
              <w:rPr>
                <w:rStyle w:val="VerbatimChar"/>
              </w:rPr>
              <w:t xml:space="preserve">.venv\Scripts\activate</w:t>
            </w:r>
          </w:p>
        </w:tc>
      </w:tr>
    </w:tbl>
    <w:p>
      <w:pPr>
        <w:pStyle w:val="BodyText"/>
      </w:pPr>
      <w:r>
        <w:t xml:space="preserve">Skip this step if you use Anaconda or already manage environments another way.</w:t>
      </w:r>
    </w:p>
    <w:p>
      <w:pPr>
        <w:pStyle w:val="BodyText"/>
      </w:pPr>
      <w:r>
        <w:rPr>
          <w:bCs/>
          <w:b/>
        </w:rPr>
        <w:t xml:space="preserve">3. Install the packages:</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p>
    <w:p>
      <w:pPr>
        <w:pStyle w:val="FirstParagraph"/>
      </w:pPr>
      <w:r>
        <w:t xml:space="preserve">This installs scikit-learn, FastAPI, Uvicorn, Jinja2, pytest and their dependencies. Nothing else is downloaded later.</w:t>
      </w:r>
    </w:p>
    <w:p>
      <w:pPr>
        <w:pStyle w:val="BodyText"/>
      </w:pPr>
      <w:r>
        <w:rPr>
          <w:bCs/>
          <w:b/>
        </w:rPr>
        <w:t xml:space="preserve">4. Create the database:</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app.cli init</w:t>
      </w:r>
    </w:p>
    <w:p>
      <w:pPr>
        <w:pStyle w:val="FirstParagraph"/>
      </w:pPr>
      <w:r>
        <w:t xml:space="preserve">This creates</w:t>
      </w:r>
      <w:r>
        <w:t xml:space="preserve"> </w:t>
      </w:r>
      <w:r>
        <w:rPr>
          <w:rStyle w:val="VerbatimChar"/>
        </w:rPr>
        <w:t xml:space="preserve">reconciliation.db</w:t>
      </w:r>
      <w:r>
        <w:t xml:space="preserve"> </w:t>
      </w:r>
      <w:r>
        <w:t xml:space="preserve">with the chart of accounts, the bank account (Lone Peak Commercial Bank, Operating Checking ending 7310) and four people: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Person</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Maya Castillo</w:t>
            </w:r>
          </w:p>
        </w:tc>
        <w:tc>
          <w:tcPr/>
          <w:p>
            <w:pPr>
              <w:pStyle w:val="Compact"/>
              <w:jc w:val="left"/>
            </w:pPr>
            <w:r>
              <w:t xml:space="preserve">Staff Accountant</w:t>
            </w:r>
          </w:p>
        </w:tc>
      </w:tr>
      <w:tr>
        <w:tc>
          <w:tcPr/>
          <w:p>
            <w:pPr>
              <w:pStyle w:val="Compact"/>
              <w:jc w:val="left"/>
            </w:pPr>
            <w:r>
              <w:t xml:space="preserve">2</w:t>
            </w:r>
          </w:p>
        </w:tc>
        <w:tc>
          <w:tcPr/>
          <w:p>
            <w:pPr>
              <w:pStyle w:val="Compact"/>
              <w:jc w:val="left"/>
            </w:pPr>
            <w:r>
              <w:t xml:space="preserve">Ethan Brooks</w:t>
            </w:r>
          </w:p>
        </w:tc>
        <w:tc>
          <w:tcPr/>
          <w:p>
            <w:pPr>
              <w:pStyle w:val="Compact"/>
              <w:jc w:val="left"/>
            </w:pPr>
            <w:r>
              <w:t xml:space="preserve">Staff Accountant</w:t>
            </w:r>
          </w:p>
        </w:tc>
      </w:tr>
      <w:tr>
        <w:tc>
          <w:tcPr/>
          <w:p>
            <w:pPr>
              <w:pStyle w:val="Compact"/>
              <w:jc w:val="left"/>
            </w:pPr>
            <w:r>
              <w:t xml:space="preserve">3</w:t>
            </w:r>
          </w:p>
        </w:tc>
        <w:tc>
          <w:tcPr/>
          <w:p>
            <w:pPr>
              <w:pStyle w:val="Compact"/>
              <w:jc w:val="left"/>
            </w:pPr>
            <w:r>
              <w:t xml:space="preserve">Priya Raman</w:t>
            </w:r>
          </w:p>
        </w:tc>
        <w:tc>
          <w:tcPr/>
          <w:p>
            <w:pPr>
              <w:pStyle w:val="Compact"/>
              <w:jc w:val="left"/>
            </w:pPr>
            <w:r>
              <w:t xml:space="preserve">Senior Accountant</w:t>
            </w:r>
          </w:p>
        </w:tc>
      </w:tr>
      <w:tr>
        <w:tc>
          <w:tcPr/>
          <w:p>
            <w:pPr>
              <w:pStyle w:val="Compact"/>
              <w:jc w:val="left"/>
            </w:pPr>
            <w:r>
              <w:t xml:space="preserve">4</w:t>
            </w:r>
          </w:p>
        </w:tc>
        <w:tc>
          <w:tcPr/>
          <w:p>
            <w:pPr>
              <w:pStyle w:val="Compact"/>
              <w:jc w:val="left"/>
            </w:pPr>
            <w:r>
              <w:t xml:space="preserve">Daniel Okafor</w:t>
            </w:r>
          </w:p>
        </w:tc>
        <w:tc>
          <w:tcPr/>
          <w:p>
            <w:pPr>
              <w:pStyle w:val="Compact"/>
              <w:jc w:val="left"/>
            </w:pPr>
            <w:r>
              <w:t xml:space="preserve">Controller</w:t>
            </w:r>
          </w:p>
        </w:tc>
      </w:tr>
    </w:tbl>
    <w:p>
      <w:pPr>
        <w:pStyle w:val="BodyText"/>
      </w:pPr>
      <w:r>
        <w:t xml:space="preserve">Running</w:t>
      </w:r>
      <w:r>
        <w:t xml:space="preserve"> </w:t>
      </w:r>
      <w:r>
        <w:rPr>
          <w:rStyle w:val="VerbatimChar"/>
        </w:rPr>
        <w:t xml:space="preserve">init</w:t>
      </w:r>
      <w:r>
        <w:t xml:space="preserve"> </w:t>
      </w:r>
      <w:r>
        <w:t xml:space="preserve">again is safe: it reports that the database already exists and changes nothing.</w:t>
      </w:r>
    </w:p>
    <w:bookmarkEnd w:id="23"/>
    <w:bookmarkStart w:id="24" w:name="check-the-installation"/>
    <w:p>
      <w:pPr>
        <w:pStyle w:val="Heading2"/>
      </w:pPr>
      <w:r>
        <w:t xml:space="preserve">4. Check the Installation</w:t>
      </w:r>
    </w:p>
    <w:tbl>
      <w:tblPr>
        <w:tblStyle w:val="Table"/>
        <w:tblW w:type="pct" w:w="5000"/>
        <w:tblLook w:firstRow="1" w:lastRow="0" w:firstColumn="0" w:lastColumn="0" w:noHBand="0" w:noVBand="0" w:val="0020"/>
        <w:jc w:val="start"/>
      </w:tblPr>
      <w:tblGrid>
        <w:gridCol w:w="1584"/>
        <w:gridCol w:w="2534"/>
        <w:gridCol w:w="3801"/>
      </w:tblGrid>
      <w:tr>
        <w:trPr>
          <w:tblHeader w:val="true"/>
        </w:trPr>
        <w:tc>
          <w:tcPr/>
          <w:p>
            <w:pPr>
              <w:pStyle w:val="Compact"/>
              <w:jc w:val="left"/>
            </w:pPr>
            <w:r>
              <w:t xml:space="preserve">Check</w:t>
            </w:r>
          </w:p>
        </w:tc>
        <w:tc>
          <w:tcPr/>
          <w:p>
            <w:pPr>
              <w:pStyle w:val="Compact"/>
              <w:jc w:val="left"/>
            </w:pPr>
            <w:r>
              <w:t xml:space="preserve">Command</w:t>
            </w:r>
          </w:p>
        </w:tc>
        <w:tc>
          <w:tcPr/>
          <w:p>
            <w:pPr>
              <w:pStyle w:val="Compact"/>
              <w:jc w:val="left"/>
            </w:pPr>
            <w:r>
              <w:t xml:space="preserve">Expected result</w:t>
            </w:r>
          </w:p>
        </w:tc>
      </w:tr>
      <w:tr>
        <w:tc>
          <w:tcPr/>
          <w:p>
            <w:pPr>
              <w:pStyle w:val="Compact"/>
              <w:jc w:val="left"/>
            </w:pPr>
            <w:r>
              <w:t xml:space="preserve">Tests</w:t>
            </w:r>
          </w:p>
        </w:tc>
        <w:tc>
          <w:tcPr/>
          <w:p>
            <w:pPr>
              <w:pStyle w:val="Compact"/>
              <w:jc w:val="left"/>
            </w:pPr>
            <w:r>
              <w:rPr>
                <w:rStyle w:val="VerbatimChar"/>
              </w:rPr>
              <w:t xml:space="preserve">python3 -m pytest -q</w:t>
            </w:r>
          </w:p>
        </w:tc>
        <w:tc>
          <w:tcPr/>
          <w:p>
            <w:pPr>
              <w:pStyle w:val="Compact"/>
              <w:jc w:val="left"/>
            </w:pPr>
            <w:r>
              <w:rPr>
                <w:rStyle w:val="VerbatimChar"/>
              </w:rPr>
              <w:t xml:space="preserve">244 passed</w:t>
            </w:r>
            <w:r>
              <w:t xml:space="preserve"> </w:t>
            </w:r>
            <w:r>
              <w:t xml:space="preserve">(about two minutes)</w:t>
            </w:r>
          </w:p>
        </w:tc>
      </w:tr>
      <w:tr>
        <w:tc>
          <w:tcPr/>
          <w:p>
            <w:pPr>
              <w:pStyle w:val="Compact"/>
              <w:jc w:val="left"/>
            </w:pPr>
            <w:r>
              <w:t xml:space="preserve">Database</w:t>
            </w:r>
          </w:p>
        </w:tc>
        <w:tc>
          <w:tcPr/>
          <w:p>
            <w:pPr>
              <w:pStyle w:val="Compact"/>
              <w:jc w:val="left"/>
            </w:pPr>
            <w:r>
              <w:rPr>
                <w:rStyle w:val="VerbatimChar"/>
              </w:rPr>
              <w:t xml:space="preserve">python3 -m app.cli status</w:t>
            </w:r>
          </w:p>
        </w:tc>
        <w:tc>
          <w:tcPr/>
          <w:p>
            <w:pPr>
              <w:pStyle w:val="Compact"/>
              <w:jc w:val="left"/>
            </w:pPr>
            <w:r>
              <w:rPr>
                <w:rStyle w:val="VerbatimChar"/>
              </w:rPr>
              <w:t xml:space="preserve">No runs yet.</w:t>
            </w:r>
            <w:r>
              <w:t xml:space="preserve"> </w:t>
            </w:r>
            <w:r>
              <w:t xml:space="preserve">on a new install</w:t>
            </w:r>
          </w:p>
        </w:tc>
      </w:tr>
      <w:tr>
        <w:tc>
          <w:tcPr/>
          <w:p>
            <w:pPr>
              <w:pStyle w:val="Compact"/>
              <w:jc w:val="left"/>
            </w:pPr>
            <w:r>
              <w:t xml:space="preserve">Interface</w:t>
            </w:r>
          </w:p>
        </w:tc>
        <w:tc>
          <w:tcPr/>
          <w:p>
            <w:pPr>
              <w:pStyle w:val="Compact"/>
              <w:jc w:val="left"/>
            </w:pPr>
            <w:r>
              <w:rPr>
                <w:rStyle w:val="VerbatimChar"/>
              </w:rPr>
              <w:t xml:space="preserve">python3 -m app.cli serve</w:t>
            </w:r>
          </w:p>
        </w:tc>
        <w:tc>
          <w:tcPr/>
          <w:p>
            <w:pPr>
              <w:pStyle w:val="Compact"/>
              <w:jc w:val="left"/>
            </w:pPr>
            <w:r>
              <w:rPr>
                <w:rStyle w:val="VerbatimChar"/>
              </w:rPr>
              <w:t xml:space="preserve">Reviewer interface: http://127.0.0.1:8000</w:t>
            </w:r>
          </w:p>
        </w:tc>
      </w:tr>
    </w:tbl>
    <w:p>
      <w:pPr>
        <w:pStyle w:val="BodyText"/>
      </w:pPr>
      <w:r>
        <w:t xml:space="preserve">Open</w:t>
      </w:r>
      <w:r>
        <w:t xml:space="preserve"> </w:t>
      </w:r>
      <w:hyperlink r:id="rId20">
        <w:r>
          <w:rPr>
            <w:rStyle w:val="Hyperlink"/>
          </w:rPr>
          <w:t xml:space="preserve">http://127.0.0.1:8000</w:t>
        </w:r>
      </w:hyperlink>
      <w:r>
        <w:t xml:space="preserve">, choose a person from</w:t>
      </w:r>
      <w:r>
        <w:t xml:space="preserve"> </w:t>
      </w:r>
      <w:r>
        <w:rPr>
          <w:bCs/>
          <w:b/>
        </w:rPr>
        <w:t xml:space="preserve">Acting as</w:t>
      </w:r>
      <w:r>
        <w:t xml:space="preserve"> </w:t>
      </w:r>
      <w:r>
        <w:t xml:space="preserve">at the top right, and the Home page appears. Press</w:t>
      </w:r>
      <w:r>
        <w:t xml:space="preserve"> </w:t>
      </w:r>
      <w:r>
        <w:rPr>
          <w:bCs/>
          <w:b/>
        </w:rPr>
        <w:t xml:space="preserve">Ctrl+C</w:t>
      </w:r>
      <w:r>
        <w:t xml:space="preserve"> </w:t>
      </w:r>
      <w:r>
        <w:t xml:space="preserve">in the terminal to stop the interface.</w:t>
      </w:r>
    </w:p>
    <w:bookmarkEnd w:id="24"/>
    <w:bookmarkStart w:id="25" w:name="load-the-sample-month"/>
    <w:p>
      <w:pPr>
        <w:pStyle w:val="Heading2"/>
      </w:pPr>
      <w:r>
        <w:t xml:space="preserve">5. Load the Sample Month</w:t>
      </w:r>
    </w:p>
    <w:p>
      <w:pPr>
        <w:pStyle w:val="FirstParagraph"/>
      </w:pPr>
      <w:r>
        <w:t xml:space="preserve">There are two ways to start August 2026. Both give identical results, because the sample data is generated from a fixed seed.</w:t>
      </w:r>
    </w:p>
    <w:tbl>
      <w:tblPr>
        <w:tblStyle w:val="Table"/>
        <w:tblW w:type="pct" w:w="5000"/>
        <w:tblLook w:firstRow="1" w:lastRow="0" w:firstColumn="0" w:lastColumn="0" w:noHBand="0" w:noVBand="0" w:val="0020"/>
        <w:jc w:val="start"/>
      </w:tblPr>
      <w:tblGrid>
        <w:gridCol w:w="4683"/>
        <w:gridCol w:w="3236"/>
      </w:tblGrid>
      <w:tr>
        <w:trPr>
          <w:tblHeader w:val="true"/>
        </w:trPr>
        <w:tc>
          <w:tcPr/>
          <w:p>
            <w:pPr>
              <w:pStyle w:val="Compact"/>
              <w:jc w:val="left"/>
            </w:pPr>
            <w:r>
              <w:t xml:space="preserve">From the interface</w:t>
            </w:r>
          </w:p>
        </w:tc>
        <w:tc>
          <w:tcPr/>
          <w:p>
            <w:pPr>
              <w:pStyle w:val="Compact"/>
              <w:jc w:val="left"/>
            </w:pPr>
            <w:r>
              <w:t xml:space="preserve">From the command line</w:t>
            </w:r>
          </w:p>
        </w:tc>
      </w:tr>
      <w:tr>
        <w:tc>
          <w:tcPr/>
          <w:p>
            <w:pPr>
              <w:pStyle w:val="Compact"/>
              <w:jc w:val="left"/>
            </w:pPr>
            <w:r>
              <w:t xml:space="preserve">Act as Maya Castillo →</w:t>
            </w:r>
            <w:r>
              <w:t xml:space="preserve"> </w:t>
            </w:r>
            <w:r>
              <w:rPr>
                <w:bCs/>
                <w:b/>
              </w:rPr>
              <w:t xml:space="preserve">New month</w:t>
            </w:r>
            <w:r>
              <w:t xml:space="preserve"> </w:t>
            </w:r>
            <w:r>
              <w:t xml:space="preserve">→</w:t>
            </w:r>
            <w:r>
              <w:t xml:space="preserve"> </w:t>
            </w:r>
            <w:r>
              <w:rPr>
                <w:bCs/>
                <w:b/>
              </w:rPr>
              <w:t xml:space="preserve">Start the month</w:t>
            </w:r>
            <w:r>
              <w:t xml:space="preserve"> </w:t>
            </w:r>
            <w:r>
              <w:t xml:space="preserve">(1 Aug to 31 Aug 2026) → upload the four files from</w:t>
            </w:r>
            <w:r>
              <w:t xml:space="preserve"> </w:t>
            </w:r>
            <w:r>
              <w:rPr>
                <w:rStyle w:val="VerbatimChar"/>
              </w:rPr>
              <w:t xml:space="preserve">data/august_2026/</w:t>
            </w:r>
            <w:r>
              <w:t xml:space="preserve"> </w:t>
            </w:r>
            <w:r>
              <w:t xml:space="preserve">→</w:t>
            </w:r>
            <w:r>
              <w:t xml:space="preserve"> </w:t>
            </w:r>
            <w:r>
              <w:rPr>
                <w:bCs/>
                <w:b/>
              </w:rPr>
              <w:t xml:space="preserve">Check and match</w:t>
            </w:r>
          </w:p>
        </w:tc>
        <w:tc>
          <w:tcPr/>
          <w:p>
            <w:pPr>
              <w:pStyle w:val="Compact"/>
              <w:jc w:val="left"/>
            </w:pPr>
            <w:r>
              <w:rPr>
                <w:rStyle w:val="VerbatimChar"/>
              </w:rPr>
              <w:t xml:space="preserve">python3 -m app.cli run</w:t>
            </w:r>
          </w:p>
        </w:tc>
      </w:tr>
    </w:tbl>
    <w:p>
      <w:pPr>
        <w:pStyle w:val="BodyText"/>
      </w:pPr>
      <w:r>
        <w:t xml:space="preserve">The four files are</w:t>
      </w:r>
      <w:r>
        <w:t xml:space="preserve"> </w:t>
      </w:r>
      <w:r>
        <w:rPr>
          <w:rStyle w:val="VerbatimChar"/>
        </w:rPr>
        <w:t xml:space="preserve">bank_statement.csv</w:t>
      </w:r>
      <w:r>
        <w:t xml:space="preserve">,</w:t>
      </w:r>
      <w:r>
        <w:t xml:space="preserve"> </w:t>
      </w:r>
      <w:r>
        <w:rPr>
          <w:rStyle w:val="VerbatimChar"/>
        </w:rPr>
        <w:t xml:space="preserve">gl_cash_detail.csv</w:t>
      </w:r>
      <w:r>
        <w:t xml:space="preserve">,</w:t>
      </w:r>
      <w:r>
        <w:t xml:space="preserve"> </w:t>
      </w:r>
      <w:r>
        <w:rPr>
          <w:rStyle w:val="VerbatimChar"/>
        </w:rPr>
        <w:t xml:space="preserve">carry_in_items.csv</w:t>
      </w:r>
      <w:r>
        <w:t xml:space="preserve"> </w:t>
      </w:r>
      <w:r>
        <w:t xml:space="preserve">and</w:t>
      </w:r>
      <w:r>
        <w:t xml:space="preserve"> </w:t>
      </w:r>
      <w:r>
        <w:rPr>
          <w:rStyle w:val="VerbatimChar"/>
        </w:rPr>
        <w:t xml:space="preserve">run_control.csv</w:t>
      </w:r>
      <w:r>
        <w:t xml:space="preserve">. After matching, Home shows 1,257 records across five review lists. The User Guide (GDE-02) takes you through the review and the close.</w:t>
      </w:r>
    </w:p>
    <w:bookmarkEnd w:id="25"/>
    <w:bookmarkStart w:id="26" w:name="configuration"/>
    <w:p>
      <w:pPr>
        <w:pStyle w:val="Heading2"/>
      </w:pPr>
      <w:r>
        <w:t xml:space="preserve">6. Configuration</w:t>
      </w:r>
    </w:p>
    <w:p>
      <w:pPr>
        <w:pStyle w:val="FirstParagraph"/>
      </w:pPr>
      <w:r>
        <w:t xml:space="preserve">Settings live in</w:t>
      </w:r>
      <w:r>
        <w:t xml:space="preserve"> </w:t>
      </w:r>
      <w:r>
        <w:rPr>
          <w:rStyle w:val="VerbatimChar"/>
        </w:rPr>
        <w:t xml:space="preserve">config/default.toml</w:t>
      </w:r>
      <w:r>
        <w:t xml:space="preserve">. Do not edit it; put your changes in</w:t>
      </w:r>
      <w:r>
        <w:t xml:space="preserve"> </w:t>
      </w:r>
      <w:r>
        <w:rPr>
          <w:rStyle w:val="VerbatimChar"/>
          <w:bCs/>
          <w:b/>
        </w:rPr>
        <w:t xml:space="preserve">config/local.toml</w:t>
      </w:r>
      <w:r>
        <w:t xml:space="preserve">, which overrides it and is never committed. Only include the settings you change.</w:t>
      </w:r>
    </w:p>
    <w:tbl>
      <w:tblPr>
        <w:tblStyle w:val="Table"/>
        <w:tblW w:type="pct" w:w="5000"/>
        <w:tblLook w:firstRow="1" w:lastRow="0" w:firstColumn="0" w:lastColumn="0" w:noHBand="0" w:noVBand="0" w:val="0020"/>
        <w:jc w:val="start"/>
      </w:tblPr>
      <w:tblGrid>
        <w:gridCol w:w="2615"/>
        <w:gridCol w:w="1270"/>
        <w:gridCol w:w="1569"/>
        <w:gridCol w:w="2465"/>
      </w:tblGrid>
      <w:tr>
        <w:trPr>
          <w:tblHeader w:val="true"/>
        </w:trPr>
        <w:tc>
          <w:tcPr/>
          <w:p>
            <w:pPr>
              <w:pStyle w:val="Compact"/>
              <w:jc w:val="left"/>
            </w:pPr>
            <w:r>
              <w:t xml:space="preserve">Setting</w:t>
            </w:r>
          </w:p>
        </w:tc>
        <w:tc>
          <w:tcPr/>
          <w:p>
            <w:pPr>
              <w:pStyle w:val="Compact"/>
              <w:jc w:val="left"/>
            </w:pPr>
            <w:r>
              <w:t xml:space="preserve">Section</w:t>
            </w:r>
          </w:p>
        </w:tc>
        <w:tc>
          <w:tcPr/>
          <w:p>
            <w:pPr>
              <w:pStyle w:val="Compact"/>
              <w:jc w:val="left"/>
            </w:pPr>
            <w:r>
              <w:t xml:space="preserve">Default</w:t>
            </w:r>
          </w:p>
        </w:tc>
        <w:tc>
          <w:tcPr/>
          <w:p>
            <w:pPr>
              <w:pStyle w:val="Compact"/>
              <w:jc w:val="left"/>
            </w:pPr>
            <w:r>
              <w:t xml:space="preserve">Meaning</w:t>
            </w:r>
          </w:p>
        </w:tc>
      </w:tr>
      <w:tr>
        <w:tc>
          <w:tcPr/>
          <w:p>
            <w:pPr>
              <w:pStyle w:val="Compact"/>
              <w:jc w:val="left"/>
            </w:pPr>
            <w:r>
              <w:rPr>
                <w:rStyle w:val="VerbatimChar"/>
              </w:rPr>
              <w:t xml:space="preserve">senior_approval_amount_cents</w:t>
            </w:r>
          </w:p>
        </w:tc>
        <w:tc>
          <w:tcPr/>
          <w:p>
            <w:pPr>
              <w:pStyle w:val="Compact"/>
              <w:jc w:val="left"/>
            </w:pPr>
            <w:r>
              <w:rPr>
                <w:rStyle w:val="VerbatimChar"/>
              </w:rPr>
              <w:t xml:space="preserve">[parameters]</w:t>
            </w:r>
          </w:p>
        </w:tc>
        <w:tc>
          <w:tcPr/>
          <w:p>
            <w:pPr>
              <w:pStyle w:val="Compact"/>
              <w:jc w:val="left"/>
            </w:pPr>
            <w:r>
              <w:rPr>
                <w:rStyle w:val="VerbatimChar"/>
              </w:rPr>
              <w:t xml:space="preserve">1000000</w:t>
            </w:r>
          </w:p>
        </w:tc>
        <w:tc>
          <w:tcPr/>
          <w:p>
            <w:pPr>
              <w:pStyle w:val="Compact"/>
              <w:jc w:val="left"/>
            </w:pPr>
            <w:r>
              <w:t xml:space="preserve">Items at or above $10,000.00 need a Senior Accountant or the Controller</w:t>
            </w:r>
          </w:p>
        </w:tc>
      </w:tr>
      <w:tr>
        <w:tc>
          <w:tcPr/>
          <w:p>
            <w:pPr>
              <w:pStyle w:val="Compact"/>
              <w:jc w:val="left"/>
            </w:pPr>
            <w:r>
              <w:rPr>
                <w:rStyle w:val="VerbatimChar"/>
              </w:rPr>
              <w:t xml:space="preserve">timing_window_business_days</w:t>
            </w:r>
          </w:p>
        </w:tc>
        <w:tc>
          <w:tcPr/>
          <w:p>
            <w:pPr>
              <w:pStyle w:val="Compact"/>
              <w:jc w:val="left"/>
            </w:pPr>
            <w:r>
              <w:rPr>
                <w:rStyle w:val="VerbatimChar"/>
              </w:rPr>
              <w:t xml:space="preserve">[parameters]</w:t>
            </w:r>
          </w:p>
        </w:tc>
        <w:tc>
          <w:tcPr/>
          <w:p>
            <w:pPr>
              <w:pStyle w:val="Compact"/>
              <w:jc w:val="left"/>
            </w:pPr>
            <w:r>
              <w:rPr>
                <w:rStyle w:val="VerbatimChar"/>
              </w:rPr>
              <w:t xml:space="preserve">3</w:t>
            </w:r>
          </w:p>
        </w:tc>
        <w:tc>
          <w:tcPr/>
          <w:p>
            <w:pPr>
              <w:pStyle w:val="Compact"/>
              <w:jc w:val="left"/>
            </w:pPr>
            <w:r>
              <w:t xml:space="preserve">How far apart bank and book dates may be and still match</w:t>
            </w:r>
          </w:p>
        </w:tc>
      </w:tr>
      <w:tr>
        <w:tc>
          <w:tcPr/>
          <w:p>
            <w:pPr>
              <w:pStyle w:val="Compact"/>
              <w:jc w:val="left"/>
            </w:pPr>
            <w:r>
              <w:rPr>
                <w:rStyle w:val="VerbatimChar"/>
              </w:rPr>
              <w:t xml:space="preserve">outstanding_check_stale_days</w:t>
            </w:r>
          </w:p>
        </w:tc>
        <w:tc>
          <w:tcPr/>
          <w:p>
            <w:pPr>
              <w:pStyle w:val="Compact"/>
              <w:jc w:val="left"/>
            </w:pPr>
            <w:r>
              <w:rPr>
                <w:rStyle w:val="VerbatimChar"/>
              </w:rPr>
              <w:t xml:space="preserve">[parameters]</w:t>
            </w:r>
          </w:p>
        </w:tc>
        <w:tc>
          <w:tcPr/>
          <w:p>
            <w:pPr>
              <w:pStyle w:val="Compact"/>
              <w:jc w:val="left"/>
            </w:pPr>
            <w:r>
              <w:rPr>
                <w:rStyle w:val="VerbatimChar"/>
              </w:rPr>
              <w:t xml:space="preserve">45</w:t>
            </w:r>
          </w:p>
        </w:tc>
        <w:tc>
          <w:tcPr/>
          <w:p>
            <w:pPr>
              <w:pStyle w:val="Compact"/>
              <w:jc w:val="left"/>
            </w:pPr>
            <w:r>
              <w:t xml:space="preserve">Uncleared checks older than this are flagged</w:t>
            </w:r>
          </w:p>
        </w:tc>
      </w:tr>
      <w:tr>
        <w:tc>
          <w:tcPr/>
          <w:p>
            <w:pPr>
              <w:pStyle w:val="Compact"/>
              <w:jc w:val="left"/>
            </w:pPr>
            <w:r>
              <w:rPr>
                <w:rStyle w:val="VerbatimChar"/>
              </w:rPr>
              <w:t xml:space="preserve">database</w:t>
            </w:r>
          </w:p>
        </w:tc>
        <w:tc>
          <w:tcPr/>
          <w:p>
            <w:pPr>
              <w:pStyle w:val="Compact"/>
              <w:jc w:val="left"/>
            </w:pPr>
            <w:r>
              <w:rPr>
                <w:rStyle w:val="VerbatimChar"/>
              </w:rPr>
              <w:t xml:space="preserve">[paths]</w:t>
            </w:r>
          </w:p>
        </w:tc>
        <w:tc>
          <w:tcPr/>
          <w:p>
            <w:pPr>
              <w:pStyle w:val="Compact"/>
              <w:jc w:val="left"/>
            </w:pPr>
            <w:r>
              <w:rPr>
                <w:rStyle w:val="VerbatimChar"/>
              </w:rPr>
              <w:t xml:space="preserve">reconciliation.db</w:t>
            </w:r>
          </w:p>
        </w:tc>
        <w:tc>
          <w:tcPr/>
          <w:p>
            <w:pPr>
              <w:pStyle w:val="Compact"/>
              <w:jc w:val="left"/>
            </w:pPr>
            <w:r>
              <w:t xml:space="preserve">Where the database file lives</w:t>
            </w:r>
          </w:p>
        </w:tc>
      </w:tr>
      <w:tr>
        <w:tc>
          <w:tcPr/>
          <w:p>
            <w:pPr>
              <w:pStyle w:val="Compact"/>
              <w:jc w:val="left"/>
            </w:pPr>
            <w:r>
              <w:rPr>
                <w:rStyle w:val="VerbatimChar"/>
              </w:rPr>
              <w:t xml:space="preserve">report_output</w:t>
            </w:r>
          </w:p>
        </w:tc>
        <w:tc>
          <w:tcPr/>
          <w:p>
            <w:pPr>
              <w:pStyle w:val="Compact"/>
              <w:jc w:val="left"/>
            </w:pPr>
            <w:r>
              <w:rPr>
                <w:rStyle w:val="VerbatimChar"/>
              </w:rPr>
              <w:t xml:space="preserve">[paths]</w:t>
            </w:r>
          </w:p>
        </w:tc>
        <w:tc>
          <w:tcPr/>
          <w:p>
            <w:pPr>
              <w:pStyle w:val="Compact"/>
              <w:jc w:val="left"/>
            </w:pPr>
            <w:r>
              <w:rPr>
                <w:rStyle w:val="VerbatimChar"/>
              </w:rPr>
              <w:t xml:space="preserve">reports</w:t>
            </w:r>
          </w:p>
        </w:tc>
        <w:tc>
          <w:tcPr/>
          <w:p>
            <w:pPr>
              <w:pStyle w:val="Compact"/>
              <w:jc w:val="left"/>
            </w:pPr>
            <w:r>
              <w:t xml:space="preserve">Where report packages are written</w:t>
            </w:r>
          </w:p>
        </w:tc>
      </w:tr>
      <w:tr>
        <w:tc>
          <w:tcPr/>
          <w:p>
            <w:pPr>
              <w:pStyle w:val="Compact"/>
              <w:jc w:val="left"/>
            </w:pPr>
            <w:r>
              <w:rPr>
                <w:rStyle w:val="VerbatimChar"/>
              </w:rPr>
              <w:t xml:space="preserve">enabled</w:t>
            </w:r>
            <w:r>
              <w:t xml:space="preserve">,</w:t>
            </w:r>
            <w:r>
              <w:t xml:space="preserve"> </w:t>
            </w:r>
            <w:r>
              <w:rPr>
                <w:rStyle w:val="VerbatimChar"/>
              </w:rPr>
              <w:t xml:space="preserve">provider</w:t>
            </w:r>
            <w:r>
              <w:t xml:space="preserve">,</w:t>
            </w:r>
            <w:r>
              <w:t xml:space="preserve"> </w:t>
            </w:r>
            <w:r>
              <w:rPr>
                <w:rStyle w:val="VerbatimChar"/>
              </w:rPr>
              <w:t xml:space="preserve">model</w:t>
            </w:r>
          </w:p>
        </w:tc>
        <w:tc>
          <w:tcPr/>
          <w:p>
            <w:pPr>
              <w:pStyle w:val="Compact"/>
              <w:jc w:val="left"/>
            </w:pPr>
            <w:r>
              <w:rPr>
                <w:rStyle w:val="VerbatimChar"/>
              </w:rPr>
              <w:t xml:space="preserve">[genai]</w:t>
            </w:r>
          </w:p>
        </w:tc>
        <w:tc>
          <w:tcPr/>
          <w:p>
            <w:pPr>
              <w:pStyle w:val="Compact"/>
              <w:jc w:val="left"/>
            </w:pPr>
            <w:r>
              <w:t xml:space="preserve">off</w:t>
            </w:r>
          </w:p>
        </w:tc>
        <w:tc>
          <w:tcPr/>
          <w:p>
            <w:pPr>
              <w:pStyle w:val="Compact"/>
              <w:jc w:val="left"/>
            </w:pPr>
            <w:r>
              <w:t xml:space="preserve">Optional AI summaries (section 7)</w:t>
            </w:r>
          </w:p>
        </w:tc>
      </w:tr>
    </w:tbl>
    <w:p>
      <w:pPr>
        <w:pStyle w:val="BodyText"/>
      </w:pPr>
      <w:r>
        <w:t xml:space="preserve">Each month keeps a copy of the settings in force when it was started, so changing a setting later never changes the results of a month already started or closed. All thresholds are listed in the Requirements Specification (PRM-01..10).</w:t>
      </w:r>
    </w:p>
    <w:bookmarkEnd w:id="26"/>
    <w:bookmarkStart w:id="28" w:name="optional-ai-summaries"/>
    <w:p>
      <w:pPr>
        <w:pStyle w:val="Heading2"/>
      </w:pPr>
      <w:r>
        <w:t xml:space="preserve">7. Optional: AI Summaries</w:t>
      </w:r>
    </w:p>
    <w:p>
      <w:pPr>
        <w:pStyle w:val="FirstParagraph"/>
      </w:pPr>
      <w:r>
        <w:t xml:space="preserve">The item page can show a short plain-English summary of the evidence, written by Google Gemini. It is off by default. It only restates evidence already on the page: it never scores, ranks, decides or approves anything, and the system works fully without it.</w:t>
      </w:r>
    </w:p>
    <w:p>
      <w:pPr>
        <w:numPr>
          <w:ilvl w:val="0"/>
          <w:numId w:val="1001"/>
        </w:numPr>
        <w:pStyle w:val="Compact"/>
      </w:pPr>
      <w:r>
        <w:t xml:space="preserve">Get a free API key at</w:t>
      </w:r>
      <w:r>
        <w:t xml:space="preserve"> </w:t>
      </w:r>
      <w:hyperlink r:id="rId27">
        <w:r>
          <w:rPr>
            <w:rStyle w:val="Hyperlink"/>
          </w:rPr>
          <w:t xml:space="preserve">https://aistudio.google.com</w:t>
        </w:r>
      </w:hyperlink>
      <w:r>
        <w:t xml:space="preserve"> </w:t>
      </w:r>
      <w:r>
        <w:t xml:space="preserve">(</w:t>
      </w:r>
      <w:r>
        <w:rPr>
          <w:bCs/>
          <w:b/>
        </w:rPr>
        <w:t xml:space="preserve">Get API key</w:t>
      </w:r>
      <w:r>
        <w:t xml:space="preserve">).</w:t>
      </w:r>
    </w:p>
    <w:p>
      <w:pPr>
        <w:numPr>
          <w:ilvl w:val="0"/>
          <w:numId w:val="1001"/>
        </w:numPr>
        <w:pStyle w:val="Compact"/>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w:t>
      </w:r>
      <w:r>
        <w:t xml:space="preserve"> </w:t>
      </w:r>
      <w:r>
        <w:t xml:space="preserve">in the project folder and paste the key after</w:t>
      </w:r>
      <w:r>
        <w:t xml:space="preserve"> </w:t>
      </w:r>
      <w:r>
        <w:rPr>
          <w:rStyle w:val="VerbatimChar"/>
        </w:rPr>
        <w:t xml:space="preserve">GEMINI_API_KEY=</w:t>
      </w:r>
      <w:r>
        <w:t xml:space="preserve">. Git ignores</w:t>
      </w:r>
      <w:r>
        <w:t xml:space="preserve"> </w:t>
      </w:r>
      <w:r>
        <w:rPr>
          <w:rStyle w:val="VerbatimChar"/>
        </w:rPr>
        <w:t xml:space="preserve">.env</w:t>
      </w:r>
      <w:r>
        <w:t xml:space="preserve">; never commit it.</w:t>
      </w:r>
    </w:p>
    <w:p>
      <w:pPr>
        <w:numPr>
          <w:ilvl w:val="0"/>
          <w:numId w:val="1001"/>
        </w:numPr>
        <w:pStyle w:val="Compact"/>
      </w:pPr>
      <w:r>
        <w:t xml:space="preserve">Add to</w:t>
      </w:r>
      <w:r>
        <w:t xml:space="preserve"> </w:t>
      </w:r>
      <w:r>
        <w:rPr>
          <w:rStyle w:val="VerbatimChar"/>
        </w:rPr>
        <w:t xml:space="preserve">config/local.toml</w:t>
      </w:r>
      <w:r>
        <w:t xml:space="preserve">:</w:t>
      </w:r>
    </w:p>
    <w:p>
      <w:pPr>
        <w:pStyle w:val="SourceCode"/>
      </w:pPr>
      <w:r>
        <w:rPr>
          <w:rStyle w:val="KeywordTok"/>
        </w:rPr>
        <w:t xml:space="preserve">[genai]</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"gemini"</w:t>
      </w:r>
      <w:r>
        <w:br/>
      </w:r>
      <w:r>
        <w:rPr>
          <w:rStyle w:val="DataTypeTok"/>
        </w:rPr>
        <w:t xml:space="preserve">model</w:t>
      </w:r>
      <w:r>
        <w:rPr>
          <w:rStyle w:val="NormalTok"/>
        </w:rPr>
        <w:t xml:space="preserve"> </w:t>
      </w:r>
      <w:r>
        <w:rPr>
          <w:rStyle w:val="OperatorTok"/>
        </w:rPr>
        <w:t xml:space="preserve">=</w:t>
      </w:r>
      <w:r>
        <w:rPr>
          <w:rStyle w:val="NormalTok"/>
        </w:rPr>
        <w:t xml:space="preserve"> </w:t>
      </w:r>
      <w:r>
        <w:rPr>
          <w:rStyle w:val="StringTok"/>
        </w:rPr>
        <w:t xml:space="preserve">"gemini-3.5-flash-lite"</w:t>
      </w:r>
    </w:p>
    <w:p>
      <w:pPr>
        <w:numPr>
          <w:ilvl w:val="0"/>
          <w:numId w:val="1002"/>
        </w:numPr>
        <w:pStyle w:val="Compact"/>
      </w:pPr>
      <w:r>
        <w:t xml:space="preserve">Test it:</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app.infra.genai.gemini</w:t>
      </w:r>
    </w:p>
    <w:p>
      <w:pPr>
        <w:pStyle w:val="FirstParagraph"/>
      </w:pPr>
      <w:r>
        <w:t xml:space="preserve">The command lists the models your key can use and sends one test request. Look for</w:t>
      </w:r>
      <w:r>
        <w:t xml:space="preserve"> </w:t>
      </w:r>
      <w:r>
        <w:rPr>
          <w:rStyle w:val="VerbatimChar"/>
        </w:rPr>
        <w:t xml:space="preserve">generated: True</w:t>
      </w:r>
      <w:r>
        <w:t xml:space="preserve">. If it reports</w:t>
      </w:r>
      <w:r>
        <w:t xml:space="preserve"> </w:t>
      </w:r>
      <w:r>
        <w:rPr>
          <w:rStyle w:val="VerbatimChar"/>
        </w:rPr>
        <w:t xml:space="preserve">HTTP 503</w:t>
      </w:r>
      <w:r>
        <w:t xml:space="preserve"> </w:t>
      </w:r>
      <w:r>
        <w:t xml:space="preserve">the model is busy at Google: try another</w:t>
      </w:r>
      <w:r>
        <w:t xml:space="preserve"> </w:t>
      </w:r>
      <w:r>
        <w:rPr>
          <w:rStyle w:val="VerbatimChar"/>
        </w:rPr>
        <w:t xml:space="preserve">flash</w:t>
      </w:r>
      <w:r>
        <w:t xml:space="preserve"> </w:t>
      </w:r>
      <w:r>
        <w:t xml:space="preserve">or</w:t>
      </w:r>
      <w:r>
        <w:t xml:space="preserve"> </w:t>
      </w:r>
      <w:r>
        <w:rPr>
          <w:rStyle w:val="VerbatimChar"/>
        </w:rPr>
        <w:t xml:space="preserve">flash-lite</w:t>
      </w:r>
      <w:r>
        <w:t xml:space="preserve"> </w:t>
      </w:r>
      <w:r>
        <w:t xml:space="preserve">model from the list.</w:t>
      </w:r>
    </w:p>
    <w:p>
      <w:pPr>
        <w:pStyle w:val="BodyText"/>
      </w:pPr>
      <w:r>
        <w:t xml:space="preserve">The sample data is synthetic. The system refuses to send anything to an external service unless</w:t>
      </w:r>
      <w:r>
        <w:t xml:space="preserve"> </w:t>
      </w:r>
      <w:r>
        <w:rPr>
          <w:rStyle w:val="VerbatimChar"/>
        </w:rPr>
        <w:t xml:space="preserve">data_classification</w:t>
      </w:r>
      <w:r>
        <w:t xml:space="preserve"> </w:t>
      </w:r>
      <w:r>
        <w:t xml:space="preserve">is</w:t>
      </w:r>
      <w:r>
        <w:t xml:space="preserve"> </w:t>
      </w:r>
      <w:r>
        <w:rPr>
          <w:rStyle w:val="VerbatimChar"/>
        </w:rPr>
        <w:t xml:space="preserve">"synthetic"</w:t>
      </w:r>
      <w:r>
        <w:t xml:space="preserve">; do not change that setting for real bank data.</w:t>
      </w:r>
    </w:p>
    <w:bookmarkEnd w:id="28"/>
    <w:bookmarkStart w:id="29" w:name="deployment"/>
    <w:p>
      <w:pPr>
        <w:pStyle w:val="Heading2"/>
      </w:pPr>
      <w:r>
        <w:t xml:space="preserve">8. Deployment</w:t>
      </w:r>
    </w:p>
    <w:p>
      <w:pPr>
        <w:pStyle w:val="FirstParagraph"/>
      </w:pPr>
      <w:r>
        <w:t xml:space="preserve">The system is built for</w:t>
      </w:r>
      <w:r>
        <w:t xml:space="preserve"> </w:t>
      </w:r>
      <w:r>
        <w:rPr>
          <w:bCs/>
          <w:b/>
        </w:rPr>
        <w:t xml:space="preserve">one workstation or a small trusted team on one computer</w:t>
      </w:r>
      <w:r>
        <w:t xml:space="preserve">. Read the limits below before running it anywhere else.</w:t>
      </w:r>
    </w:p>
    <w:tbl>
      <w:tblPr>
        <w:tblStyle w:val="Table"/>
        <w:tblW w:type="pct" w:w="5000"/>
        <w:tblLook w:firstRow="1" w:lastRow="0" w:firstColumn="0" w:lastColumn="0" w:noHBand="0" w:noVBand="0" w:val="0020"/>
        <w:jc w:val="start"/>
      </w:tblPr>
      <w:tblGrid>
        <w:gridCol w:w="1454"/>
        <w:gridCol w:w="6465"/>
      </w:tblGrid>
      <w:tr>
        <w:trPr>
          <w:tblHeader w:val="true"/>
        </w:trPr>
        <w:tc>
          <w:tcPr/>
          <w:p>
            <w:pPr>
              <w:pStyle w:val="Compact"/>
              <w:jc w:val="left"/>
            </w:pPr>
            <w:r>
              <w:t xml:space="preserve">Topic</w:t>
            </w:r>
          </w:p>
        </w:tc>
        <w:tc>
          <w:tcPr/>
          <w:p>
            <w:pPr>
              <w:pStyle w:val="Compact"/>
              <w:jc w:val="left"/>
            </w:pPr>
            <w:r>
              <w:t xml:space="preserve">Guidance</w:t>
            </w:r>
          </w:p>
        </w:tc>
      </w:tr>
      <w:tr>
        <w:tc>
          <w:tcPr/>
          <w:p>
            <w:pPr>
              <w:pStyle w:val="Compact"/>
              <w:jc w:val="left"/>
            </w:pPr>
            <w:r>
              <w:t xml:space="preserve">Who can reach it</w:t>
            </w:r>
          </w:p>
        </w:tc>
        <w:tc>
          <w:tcPr/>
          <w:p>
            <w:pPr>
              <w:pStyle w:val="Compact"/>
              <w:jc w:val="left"/>
            </w:pPr>
            <w:r>
              <w:t xml:space="preserve">By default only the computer it runs on (</w:t>
            </w:r>
            <w:r>
              <w:rPr>
                <w:rStyle w:val="VerbatimChar"/>
              </w:rPr>
              <w:t xml:space="preserve">127.0.0.1</w:t>
            </w:r>
            <w:r>
              <w:t xml:space="preserve">). Keep it that way</w:t>
            </w:r>
          </w:p>
        </w:tc>
      </w:tr>
      <w:tr>
        <w:tc>
          <w:tcPr/>
          <w:p>
            <w:pPr>
              <w:pStyle w:val="Compact"/>
              <w:jc w:val="left"/>
            </w:pPr>
            <w:r>
              <w:t xml:space="preserve">No sign-in</w:t>
            </w:r>
          </w:p>
        </w:tc>
        <w:tc>
          <w:tcPr/>
          <w:p>
            <w:pPr>
              <w:pStyle w:val="Compact"/>
              <w:jc w:val="left"/>
            </w:pPr>
            <w:r>
              <w:t xml:space="preserve">People are chosen from</w:t>
            </w:r>
            <w:r>
              <w:t xml:space="preserve"> </w:t>
            </w:r>
            <w:r>
              <w:rPr>
                <w:bCs/>
                <w:b/>
              </w:rPr>
              <w:t xml:space="preserve">Acting as</w:t>
            </w:r>
            <w:r>
              <w:t xml:space="preserve">, not authenticated. Roles and separation of duties are enforced against the person chosen, but anyone who can open the page can choose any person. Never expose the interface to a network you do not fully trust, and never to the internet</w:t>
            </w:r>
          </w:p>
        </w:tc>
      </w:tr>
      <w:tr>
        <w:tc>
          <w:tcPr/>
          <w:p>
            <w:pPr>
              <w:pStyle w:val="Compact"/>
              <w:jc w:val="left"/>
            </w:pPr>
            <w:r>
              <w:t xml:space="preserve">Shared computer</w:t>
            </w:r>
          </w:p>
        </w:tc>
        <w:tc>
          <w:tcPr/>
          <w:p>
            <w:pPr>
              <w:pStyle w:val="Compact"/>
              <w:jc w:val="left"/>
            </w:pPr>
            <w:r>
              <w:t xml:space="preserve">To let others on a trusted office network reach it:</w:t>
            </w:r>
            <w:r>
              <w:t xml:space="preserve"> </w:t>
            </w:r>
            <w:r>
              <w:rPr>
                <w:rStyle w:val="VerbatimChar"/>
              </w:rPr>
              <w:t xml:space="preserve">python3 -m app.cli serve --host 0.0.0.0 --port 8000</w:t>
            </w:r>
            <w:r>
              <w:t xml:space="preserve">. Only do this behind the organization’s firewall, and only after section 9</w:t>
            </w:r>
          </w:p>
        </w:tc>
      </w:tr>
      <w:tr>
        <w:tc>
          <w:tcPr/>
          <w:p>
            <w:pPr>
              <w:pStyle w:val="Compact"/>
              <w:jc w:val="left"/>
            </w:pPr>
            <w:r>
              <w:t xml:space="preserve">Staying signed in</w:t>
            </w:r>
          </w:p>
        </w:tc>
        <w:tc>
          <w:tcPr/>
          <w:p>
            <w:pPr>
              <w:pStyle w:val="Compact"/>
              <w:jc w:val="left"/>
            </w:pPr>
            <w:r>
              <w:t xml:space="preserve">Restarting the interface clears who people are acting as. To keep the choice across restarts, set a fixed secret first:</w:t>
            </w:r>
            <w:r>
              <w:t xml:space="preserve"> </w:t>
            </w:r>
            <w:r>
              <w:rPr>
                <w:rStyle w:val="VerbatimChar"/>
              </w:rPr>
              <w:t xml:space="preserve">export BANKREC_SESSION_KEY=</w:t>
            </w:r>
            <w:r>
              <w:t xml:space="preserve"> </w:t>
            </w:r>
            <w:r>
              <w:t xml:space="preserve">followed by a long random value (Windows:</w:t>
            </w:r>
            <w:r>
              <w:t xml:space="preserve"> </w:t>
            </w:r>
            <w:r>
              <w:rPr>
                <w:rStyle w:val="VerbatimChar"/>
              </w:rPr>
              <w:t xml:space="preserve">set BANKREC_SESSION_KEY=...</w:t>
            </w:r>
            <w:r>
              <w:t xml:space="preserve">)</w:t>
            </w:r>
          </w:p>
        </w:tc>
      </w:tr>
      <w:tr>
        <w:tc>
          <w:tcPr/>
          <w:p>
            <w:pPr>
              <w:pStyle w:val="Compact"/>
              <w:jc w:val="left"/>
            </w:pPr>
            <w:r>
              <w:t xml:space="preserve">Real bank data</w:t>
            </w:r>
          </w:p>
        </w:tc>
        <w:tc>
          <w:tcPr/>
          <w:p>
            <w:pPr>
              <w:pStyle w:val="Compact"/>
              <w:jc w:val="left"/>
            </w:pPr>
            <w:r>
              <w:t xml:space="preserve">The system has been built and evaluated on synthetic data only. Before using real data, add real authentication, run it on a managed server, and keep AI summaries off</w:t>
            </w:r>
          </w:p>
        </w:tc>
      </w:tr>
      <w:tr>
        <w:tc>
          <w:tcPr/>
          <w:p>
            <w:pPr>
              <w:pStyle w:val="Compact"/>
              <w:jc w:val="left"/>
            </w:pPr>
            <w:r>
              <w:t xml:space="preserve">Database</w:t>
            </w:r>
          </w:p>
        </w:tc>
        <w:tc>
          <w:tcPr/>
          <w:p>
            <w:pPr>
              <w:pStyle w:val="Compact"/>
              <w:jc w:val="left"/>
            </w:pPr>
            <w:r>
              <w:t xml:space="preserve">One SQLite file. One interface process at a time; do not open it from two computers over a shared drive</w:t>
            </w:r>
          </w:p>
        </w:tc>
      </w:tr>
    </w:tbl>
    <w:bookmarkEnd w:id="29"/>
    <w:bookmarkStart w:id="30" w:name="backups-and-records"/>
    <w:p>
      <w:pPr>
        <w:pStyle w:val="Heading2"/>
      </w:pPr>
      <w:r>
        <w:t xml:space="preserve">9. Backups and Records</w:t>
      </w:r>
    </w:p>
    <w:tbl>
      <w:tblPr>
        <w:tblStyle w:val="Table"/>
        <w:tblW w:type="pct" w:w="5000"/>
        <w:tblLook w:firstRow="1" w:lastRow="0" w:firstColumn="0" w:lastColumn="0" w:noHBand="0" w:noVBand="0" w:val="0020"/>
        <w:jc w:val="start"/>
      </w:tblPr>
      <w:tblGrid>
        <w:gridCol w:w="1796"/>
        <w:gridCol w:w="2262"/>
        <w:gridCol w:w="3860"/>
      </w:tblGrid>
      <w:tr>
        <w:trPr>
          <w:tblHeader w:val="true"/>
        </w:trPr>
        <w:tc>
          <w:tcPr/>
          <w:p>
            <w:pPr>
              <w:pStyle w:val="Compact"/>
              <w:jc w:val="left"/>
            </w:pPr>
            <w:r>
              <w:t xml:space="preserve">What</w:t>
            </w:r>
          </w:p>
        </w:tc>
        <w:tc>
          <w:tcPr/>
          <w:p>
            <w:pPr>
              <w:pStyle w:val="Compact"/>
              <w:jc w:val="left"/>
            </w:pPr>
            <w:r>
              <w:t xml:space="preserve">Where</w:t>
            </w:r>
          </w:p>
        </w:tc>
        <w:tc>
          <w:tcPr/>
          <w:p>
            <w:pPr>
              <w:pStyle w:val="Compact"/>
              <w:jc w:val="left"/>
            </w:pPr>
            <w:r>
              <w:t xml:space="preserve">How</w:t>
            </w:r>
          </w:p>
        </w:tc>
      </w:tr>
      <w:tr>
        <w:tc>
          <w:tcPr/>
          <w:p>
            <w:pPr>
              <w:pStyle w:val="Compact"/>
              <w:jc w:val="left"/>
            </w:pPr>
            <w:r>
              <w:t xml:space="preserve">Database</w:t>
            </w:r>
          </w:p>
        </w:tc>
        <w:tc>
          <w:tcPr/>
          <w:p>
            <w:pPr>
              <w:pStyle w:val="Compact"/>
              <w:jc w:val="left"/>
            </w:pPr>
            <w:r>
              <w:rPr>
                <w:rStyle w:val="VerbatimChar"/>
              </w:rPr>
              <w:t xml:space="preserve">reconciliation.db</w:t>
            </w:r>
          </w:p>
        </w:tc>
        <w:tc>
          <w:tcPr/>
          <w:p>
            <w:pPr>
              <w:pStyle w:val="Compact"/>
              <w:jc w:val="left"/>
            </w:pPr>
            <w:r>
              <w:t xml:space="preserve">Stop the interface, then copy the file. Copy</w:t>
            </w:r>
            <w:r>
              <w:t xml:space="preserve"> </w:t>
            </w:r>
            <w:r>
              <w:rPr>
                <w:rStyle w:val="VerbatimChar"/>
              </w:rPr>
              <w:t xml:space="preserve">reconciliation.db-wal</w:t>
            </w:r>
            <w:r>
              <w:t xml:space="preserve"> </w:t>
            </w:r>
            <w:r>
              <w:t xml:space="preserve">too if it exists</w:t>
            </w:r>
          </w:p>
        </w:tc>
      </w:tr>
      <w:tr>
        <w:tc>
          <w:tcPr/>
          <w:p>
            <w:pPr>
              <w:pStyle w:val="Compact"/>
              <w:jc w:val="left"/>
            </w:pPr>
            <w:r>
              <w:t xml:space="preserve">Signed report packages</w:t>
            </w:r>
          </w:p>
        </w:tc>
        <w:tc>
          <w:tcPr/>
          <w:p>
            <w:pPr>
              <w:pStyle w:val="Compact"/>
              <w:jc w:val="left"/>
            </w:pPr>
            <w:r>
              <w:rPr>
                <w:rStyle w:val="VerbatimChar"/>
              </w:rPr>
              <w:t xml:space="preserve">reports/run_&lt;number&gt;/</w:t>
            </w:r>
          </w:p>
        </w:tc>
        <w:tc>
          <w:tcPr/>
          <w:p>
            <w:pPr>
              <w:pStyle w:val="Compact"/>
              <w:jc w:val="left"/>
            </w:pPr>
            <w:r>
              <w:t xml:space="preserve">Copy the whole folder to the archive after each sign-off</w:t>
            </w:r>
          </w:p>
        </w:tc>
      </w:tr>
      <w:tr>
        <w:tc>
          <w:tcPr/>
          <w:p>
            <w:pPr>
              <w:pStyle w:val="Compact"/>
              <w:jc w:val="left"/>
            </w:pPr>
            <w:r>
              <w:t xml:space="preserve">Settings</w:t>
            </w:r>
          </w:p>
        </w:tc>
        <w:tc>
          <w:tcPr/>
          <w:p>
            <w:pPr>
              <w:pStyle w:val="Compact"/>
              <w:jc w:val="left"/>
            </w:pPr>
            <w:r>
              <w:rPr>
                <w:rStyle w:val="VerbatimChar"/>
              </w:rPr>
              <w:t xml:space="preserve">config/local.toml</w:t>
            </w:r>
            <w:r>
              <w:t xml:space="preserve">,</w:t>
            </w:r>
            <w:r>
              <w:t xml:space="preserve"> </w:t>
            </w:r>
            <w:r>
              <w:rPr>
                <w:rStyle w:val="VerbatimChar"/>
              </w:rPr>
              <w:t xml:space="preserve">.env</w:t>
            </w:r>
          </w:p>
        </w:tc>
        <w:tc>
          <w:tcPr/>
          <w:p>
            <w:pPr>
              <w:pStyle w:val="Compact"/>
              <w:jc w:val="left"/>
            </w:pPr>
            <w:r>
              <w:t xml:space="preserve">Keep</w:t>
            </w:r>
            <w:r>
              <w:t xml:space="preserve"> </w:t>
            </w:r>
            <w:r>
              <w:rPr>
                <w:rStyle w:val="VerbatimChar"/>
              </w:rPr>
              <w:t xml:space="preserve">.env</w:t>
            </w:r>
            <w:r>
              <w:t xml:space="preserve"> </w:t>
            </w:r>
            <w:r>
              <w:t xml:space="preserve">out of shared folders; it holds the API key</w:t>
            </w:r>
          </w:p>
        </w:tc>
      </w:tr>
    </w:tbl>
    <w:p>
      <w:pPr>
        <w:pStyle w:val="BodyText"/>
      </w:pPr>
      <w:r>
        <w:t xml:space="preserve">The audit trail lives inside the database. Each sign-off records a fingerprint of the trail (the chain head), and the exported Reconciliation Summary prints it. Keeping that report outside the database is what lets anyone later prove the trail was not rebuilt.</w:t>
      </w:r>
    </w:p>
    <w:bookmarkEnd w:id="30"/>
    <w:bookmarkStart w:id="31" w:name="updating-resetting-and-removing"/>
    <w:p>
      <w:pPr>
        <w:pStyle w:val="Heading2"/>
      </w:pPr>
      <w:r>
        <w:t xml:space="preserve">10. Updating, Resetting and Removing</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Task</w:t>
            </w:r>
          </w:p>
        </w:tc>
        <w:tc>
          <w:tcPr/>
          <w:p>
            <w:pPr>
              <w:pStyle w:val="Compact"/>
              <w:jc w:val="left"/>
            </w:pPr>
            <w:r>
              <w:t xml:space="preserve">Steps</w:t>
            </w:r>
          </w:p>
        </w:tc>
      </w:tr>
      <w:tr>
        <w:tc>
          <w:tcPr/>
          <w:p>
            <w:pPr>
              <w:pStyle w:val="Compact"/>
              <w:jc w:val="left"/>
            </w:pPr>
            <w:r>
              <w:t xml:space="preserve">Update the code</w:t>
            </w:r>
          </w:p>
        </w:tc>
        <w:tc>
          <w:tcPr/>
          <w:p>
            <w:pPr>
              <w:pStyle w:val="Compact"/>
              <w:jc w:val="left"/>
            </w:pPr>
            <w:r>
              <w:t xml:space="preserve">Back up (section 9), then</w:t>
            </w:r>
            <w:r>
              <w:t xml:space="preserve"> </w:t>
            </w:r>
            <w:r>
              <w:rPr>
                <w:rStyle w:val="VerbatimChar"/>
              </w:rPr>
              <w:t xml:space="preserve">git pull</w:t>
            </w:r>
            <w:r>
              <w:t xml:space="preserve"> </w:t>
            </w:r>
            <w:r>
              <w:t xml:space="preserve">and</w:t>
            </w:r>
            <w:r>
              <w:t xml:space="preserve"> </w:t>
            </w:r>
            <w:r>
              <w:rPr>
                <w:rStyle w:val="VerbatimChar"/>
              </w:rPr>
              <w:t xml:space="preserve">python3 -m pip install -r requirements.txt</w:t>
            </w:r>
            <w:r>
              <w:t xml:space="preserve">. Run the tests</w:t>
            </w:r>
          </w:p>
        </w:tc>
      </w:tr>
      <w:tr>
        <w:tc>
          <w:tcPr/>
          <w:p>
            <w:pPr>
              <w:pStyle w:val="Compact"/>
              <w:jc w:val="left"/>
            </w:pPr>
            <w:r>
              <w:t xml:space="preserve">Start again</w:t>
            </w:r>
          </w:p>
        </w:tc>
        <w:tc>
          <w:tcPr/>
          <w:p>
            <w:pPr>
              <w:pStyle w:val="Compact"/>
              <w:jc w:val="left"/>
            </w:pPr>
            <w:r>
              <w:rPr>
                <w:rStyle w:val="VerbatimChar"/>
              </w:rPr>
              <w:t xml:space="preserve">python3 -m app.cli reset --force</w:t>
            </w:r>
            <w:r>
              <w:t xml:space="preserve">, then</w:t>
            </w:r>
            <w:r>
              <w:t xml:space="preserve"> </w:t>
            </w:r>
            <w:r>
              <w:rPr>
                <w:rStyle w:val="VerbatimChar"/>
              </w:rPr>
              <w:t xml:space="preserve">python3 -m app.cli init</w:t>
            </w:r>
            <w:r>
              <w:t xml:space="preserve">. This deletes every month, decision and audit record in the database; back up first</w:t>
            </w:r>
          </w:p>
        </w:tc>
      </w:tr>
      <w:tr>
        <w:tc>
          <w:tcPr/>
          <w:p>
            <w:pPr>
              <w:pStyle w:val="Compact"/>
              <w:jc w:val="left"/>
            </w:pPr>
            <w:r>
              <w:t xml:space="preserve">Remove</w:t>
            </w:r>
          </w:p>
        </w:tc>
        <w:tc>
          <w:tcPr/>
          <w:p>
            <w:pPr>
              <w:pStyle w:val="Compact"/>
              <w:jc w:val="left"/>
            </w:pPr>
            <w:r>
              <w:t xml:space="preserve">Delete the</w:t>
            </w:r>
            <w:r>
              <w:t xml:space="preserve"> </w:t>
            </w:r>
            <w:r>
              <w:rPr>
                <w:rStyle w:val="VerbatimChar"/>
              </w:rPr>
              <w:t xml:space="preserve">bank_reconciliation</w:t>
            </w:r>
            <w:r>
              <w:t xml:space="preserve"> </w:t>
            </w:r>
            <w:r>
              <w:t xml:space="preserve">folder. If you made a</w:t>
            </w:r>
            <w:r>
              <w:t xml:space="preserve"> </w:t>
            </w:r>
            <w:r>
              <w:rPr>
                <w:rStyle w:val="VerbatimChar"/>
              </w:rPr>
              <w:t xml:space="preserve">.venv</w:t>
            </w:r>
            <w:r>
              <w:t xml:space="preserve">, it is inside that folder and goes with it</w:t>
            </w:r>
          </w:p>
        </w:tc>
      </w:tr>
    </w:tbl>
    <w:p>
      <w:pPr>
        <w:pStyle w:val="BodyText"/>
      </w:pPr>
      <w:r>
        <w:t xml:space="preserve">Problems during installation are covered in the FAQ and Troubleshooting guide (GDE-04).</w:t>
      </w:r>
    </w:p>
    <w:bookmarkEnd w:id="31"/>
    <w:bookmarkEnd w:id="32"/>
    <w:sectPr>
      <w:pgSz w:h="15840" w:w="12240"/>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cs="Calibri" w:eastAsia="Calibri" w:hAnsi="Calibri"/>
      <w:sz w:val="20"/>
    </w:rPr>
  </w:style>
  <w:style w:styleId="BodyText" w:type="paragraph">
    <w:name w:val="Body Text"/>
    <w:basedOn w:val="Normal"/>
    <w:link w:val="BodyTextChar"/>
    <w:pPr>
      <w:spacing w:after="80" w:before="80" w:line="240" w:lineRule="auto"/>
    </w:pPr>
    <w:qFormat/>
    <w:rPr>
      <w:rFonts w:ascii="Calibri" w:cs="Calibri" w:eastAsia="Calibri" w:hAnsi="Calibri"/>
      <w:sz w:val="20"/>
    </w:rPr>
  </w:style>
  <w:style w:customStyle="1" w:styleId="FirstParagraph" w:type="paragraph">
    <w:name w:val="First Paragraph"/>
    <w:basedOn w:val="BodyText"/>
    <w:next w:val="BodyText"/>
    <w:qFormat/>
    <w:pPr>
      <w:spacing w:after="80" w:before="80" w:line="240" w:lineRule="auto"/>
    </w:pPr>
    <w:rPr>
      <w:rFonts w:ascii="Calibri" w:cs="Calibri" w:eastAsia="Calibri" w:hAnsi="Calibri"/>
      <w:sz w:val="20"/>
    </w:rPr>
  </w:style>
  <w:style w:customStyle="1" w:styleId="Compact" w:type="paragraph">
    <w:name w:val="Compact"/>
    <w:basedOn w:val="BodyText"/>
    <w:qFormat/>
    <w:pPr>
      <w:spacing w:after="0" w:before="0"/>
    </w:pPr>
    <w:rPr>
      <w:rFonts w:ascii="Calibri" w:cs="Calibri" w:eastAsia="Calibri" w:hAnsi="Calibri"/>
      <w:sz w:val="18"/>
    </w:rPr>
  </w:style>
  <w:style w:styleId="Title" w:type="paragraph">
    <w:name w:val="Title"/>
    <w:basedOn w:val="Normal"/>
    <w:next w:val="BodyText"/>
    <w:qFormat/>
    <w:pPr>
      <w:keepNext/>
      <w:keepLines/>
      <w:spacing w:after="120" w:before="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ind w:firstLine="0" w:left="480" w:right="480"/>
    </w:pPr>
    <w:rPr>
      <w:rFonts w:ascii="Calibri" w:cs="Calibri" w:eastAsia="Calibri" w:hAnsi="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0"/>
        <w:left w:type="dxa" w:w="70"/>
        <w:bottom w:type="dxa" w:w="20"/>
        <w:right w:type="dxa" w:w="70"/>
      </w:tblCellMar>
    </w:tblPr>
    <w:tblStylePr w:type="firstRow">
      <w:rPr>
        <w:b/>
      </w:rPr>
      <w:tcPr>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127.0.0.1:8000" TargetMode="External"/><Relationship Id="rId27" Type="http://schemas.openxmlformats.org/officeDocument/2006/relationships/hyperlink" Target="https://aistudio.google.com"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127.0.0.1:8000" TargetMode="External"/><Relationship Id="rId27" Type="http://schemas.openxmlformats.org/officeDocument/2006/relationships/hyperlink" Target="https://aistudio.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2026-10-15T15:59:36Z</dcterms:created>
  <dcterms:modified xsi:type="dcterms:W3CDTF">2026-10-15T15:59:36Z</dcterms:modified>
</cp:coreProperties>
</file>

<file path=docProps/custom.xml><?xml version="1.0" encoding="utf-8"?>
<Properties xmlns="http://schemas.openxmlformats.org/officeDocument/2006/custom-properties" xmlns:vt="http://schemas.openxmlformats.org/officeDocument/2006/docPropsVTypes"/>
</file>