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5249c99f8e807a2920bef3de016e3f349640f20"/>
    <w:p>
      <w:pPr>
        <w:pStyle w:val="Heading1"/>
      </w:pPr>
      <w:r>
        <w:t xml:space="preserve">Project Proposal — AI-Assisted Bank Reconciliation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(Draft for sponsor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Uday Gunturu, Lead Analyst and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DOC-02 Requirements Specification (planned), DOC-05 System Design (planned)</w:t>
            </w:r>
          </w:p>
        </w:tc>
      </w:tr>
    </w:tbl>
    <w:p>
      <w:pPr>
        <w:pStyle w:val="BlockText"/>
      </w:pPr>
      <w:r>
        <w:rPr>
          <w:bCs/>
          <w:b/>
        </w:rPr>
        <w:t xml:space="preserve">Project principle:</w:t>
      </w:r>
      <w:r>
        <w:t xml:space="preserve"> </w:t>
      </w:r>
      <w:r>
        <w:t xml:space="preserve">AI recommends. Humans authorize. The system documents both.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business problem, stakeholders, scope, assumptions, risks and success criteria for an AI-assisted bank reconciliation system. Once approved, it is the baseline against which all later requirements, design and evaluation work is traced.</w:t>
      </w:r>
    </w:p>
    <w:bookmarkEnd w:id="20"/>
    <w:bookmarkStart w:id="21" w:name="business-context"/>
    <w:p>
      <w:pPr>
        <w:pStyle w:val="Heading2"/>
      </w:pPr>
      <w:r>
        <w:t xml:space="preserve">2. Business Context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Bonneville Provisions Co. (fictional)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 distributor of specialty foods to restaurants and grocers in Utah and Idaho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Headquarters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 Lake City, Utah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Lone Peak Commercial Bank (fictional)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Checking, account ending 7310,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ledger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1010 Cash – Operating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2026 (1–31 August), 21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volume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1,240 bank and ledger transactions 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receipts (ACH, check, card settlement), vendor payments (check, ACH), payroll, bank fees, interest</w:t>
            </w:r>
          </w:p>
        </w:tc>
      </w:tr>
    </w:tbl>
    <w:bookmarkEnd w:id="21"/>
    <w:bookmarkStart w:id="22" w:name="problem-statement"/>
    <w:p>
      <w:pPr>
        <w:pStyle w:val="Heading2"/>
      </w:pPr>
      <w:r>
        <w:t xml:space="preserve">3. Problem Statement</w:t>
      </w:r>
    </w:p>
    <w:p>
      <w:pPr>
        <w:pStyle w:val="FirstParagraph"/>
      </w:pPr>
      <w:r>
        <w:t xml:space="preserve">The monthly reconciliation of the operating account is performed in a spreadsheet. The process works, but it has four structural weaknesses: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is done by amount lookups and manual tick-marks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amounts produce false matches; timing differences and abbreviated bank descriptions are resolved by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no record of who matched what, when, or 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cannot be traced or re-performed during review or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cells are overwritten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Corrections destroy the original value; history cannot be reconstructed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review is a sign-off on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high-value or unusual items are not visibly reviewed; escalation depends on the preparer’s judgment</w:t>
            </w:r>
          </w:p>
        </w:tc>
      </w:tr>
    </w:tbl>
    <w:p>
      <w:pPr>
        <w:pStyle w:val="BodyText"/>
      </w:pPr>
      <w:r>
        <w:t xml:space="preserve">Most of the effort goes to routine one-to-one matches. The judgment-heavy items are timing differences, grouped deposits, bank-originated charges, duplicates and unexplained items. They receive the same undifferentiated treatment as the routine work.</w:t>
      </w:r>
    </w:p>
    <w:bookmarkEnd w:id="22"/>
    <w:bookmarkStart w:id="23" w:name="objective-and-central-question"/>
    <w:p>
      <w:pPr>
        <w:pStyle w:val="Heading2"/>
      </w:pPr>
      <w:r>
        <w:t xml:space="preserve">4. Objective and Central Question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Design, build and evaluate a human-supervised system that recommends bank-to-ledger matches and exception treatments, while preserving accountability, evidence and control.</w:t>
      </w:r>
    </w:p>
    <w:p>
      <w:pPr>
        <w:pStyle w:val="BodyText"/>
      </w:pPr>
      <w:r>
        <w:rPr>
          <w:bCs/>
          <w:b/>
        </w:rPr>
        <w:t xml:space="preserve">Central question:</w:t>
      </w:r>
      <w:r>
        <w:t xml:space="preserve"> </w:t>
      </w:r>
      <w:r>
        <w:t xml:space="preserve">To what extent can a hybrid rules and AI system reduce manual reconciliation effort without increasing the risk of incorrect matches?</w:t>
      </w:r>
    </w:p>
    <w:p>
      <w:pPr>
        <w:pStyle w:val="BodyText"/>
      </w:pPr>
      <w:r>
        <w:t xml:space="preserve">The answer is produced in DOC-07 Evaluation Report by comparing the hybrid system against a rules-only baseline on the same labeled dataset.</w:t>
      </w:r>
    </w:p>
    <w:bookmarkEnd w:id="23"/>
    <w:bookmarkStart w:id="24" w:name="success-criteria"/>
    <w:p>
      <w:pPr>
        <w:pStyle w:val="Heading2"/>
      </w:pPr>
      <w:r>
        <w:t xml:space="preserve">5. Success Criteria</w:t>
      </w:r>
    </w:p>
    <w:p>
      <w:pPr>
        <w:pStyle w:val="FirstParagraph"/>
      </w:pPr>
      <w:r>
        <w:t xml:space="preserve">Control criteria are absolute and must be met. Evaluation criteria require an evidenced answer, not a predetermined result.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reconciliation items carry a recorded human approval before being reported as reconciled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item is reported as reconciled unless all six completion conditions are satisfied; this is enforced in code and verified by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audit events contain every required minimum field (audit completeness)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 hash chain verifies end to end for the demonstration run, and any altered event is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Separation-of-duties rules block every prohibited combination in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seed produces identical data, recommendations, metrics and reports on every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eight matching and exception scenarios (SCN-01..08) are present in the dataset and handled end to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Precision, recall, false automatic match rate, review rate, approval rate and exception accuracy are reported for both rules-only and hybrid, with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beside every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central question is answered with evidence, including error analysis and stated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requirement, rule, scenario and test carries a stable ID traceable across all documents</w:t>
            </w:r>
          </w:p>
        </w:tc>
      </w:tr>
    </w:tbl>
    <w:bookmarkEnd w:id="24"/>
    <w:bookmarkStart w:id="27" w:name="stakeholders"/>
    <w:p>
      <w:pPr>
        <w:pStyle w:val="Heading2"/>
      </w:pPr>
      <w:r>
        <w:t xml:space="preserve">6. Stakeholders</w:t>
      </w:r>
    </w:p>
    <w:bookmarkStart w:id="25" w:name="X8c7e77ab81b320bfc74f0b685bc5d9264b5cebb"/>
    <w:p>
      <w:pPr>
        <w:pStyle w:val="Heading3"/>
      </w:pPr>
      <w:r>
        <w:t xml:space="preserve">6.1 Business stakeholders (fictional organization)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Involvement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Maya Castillo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matching; clear evidence for each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reviewer; approves matches and exceptions; prepares adjustments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Ethan Brooks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reviewer; provides second-person coverage for separation of duties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Raman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 of high-risk items; defensible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Approves escalated and high-risk items; approves adjustments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month-end close; audit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off the reconciliation; closes and reopens the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Harrow &amp; Vance CPAs (fictional)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Traceable, re-performable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of the report package and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Performs validation, normalization, matching and scoring; writes system audit events</w:t>
            </w:r>
          </w:p>
        </w:tc>
      </w:tr>
    </w:tbl>
    <w:bookmarkEnd w:id="25"/>
    <w:bookmarkStart w:id="26" w:name="delivery-stakeholders"/>
    <w:p>
      <w:pPr>
        <w:pStyle w:val="Heading3"/>
      </w:pPr>
      <w:r>
        <w:t xml:space="preserve">6.2 Delivery 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Approves scope and design decisions; weekly progress review; final authority on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Analyst and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Uday Gunturu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Analysis, design, build, testing, documentation, release</w:t>
            </w:r>
          </w:p>
        </w:tc>
      </w:tr>
    </w:tbl>
    <w:bookmarkEnd w:id="26"/>
    <w:bookmarkEnd w:id="27"/>
    <w:bookmarkStart w:id="30" w:name="scope"/>
    <w:p>
      <w:pPr>
        <w:pStyle w:val="Heading2"/>
      </w:pPr>
      <w:r>
        <w:t xml:space="preserve">7. Scope</w:t>
      </w:r>
    </w:p>
    <w:bookmarkStart w:id="28" w:name="in-scope"/>
    <w:p>
      <w:pPr>
        <w:pStyle w:val="Heading3"/>
      </w:pPr>
      <w:r>
        <w:t xml:space="preserve">7.1 In scope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import of the bank statement and GL cash detail; structure, field, record-count, control-total and duplicate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Dates, amounts, descriptions, payee names and references, with original values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exact rules; AI-assisted candidate generation, scoring and ranking for one-to-one, one-to-many and many-to-one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score, rule-based risk level, and plain-language explanation with supporting and conflicting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of unmatched items with a recommended next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queues, approve / reject / modify / escalate / leave unresolved, senior approval, separation of duties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and approved adjustment records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Append-only, hash-chained audit log covering every system and human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close with sign-off and lock; controlled reopening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process reports and the reconciliation report package (13 distinct reports, RPT-01..13)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Labeled synthetic dataset; rules-only baseline versus hybrid comparison</w:t>
            </w:r>
          </w:p>
        </w:tc>
      </w:tr>
    </w:tbl>
    <w:bookmarkEnd w:id="28"/>
    <w:bookmarkStart w:id="29" w:name="out-of-scope-deliberate-no-ops"/>
    <w:p>
      <w:pPr>
        <w:pStyle w:val="Heading3"/>
      </w:pPr>
      <w:r>
        <w:t xml:space="preserve">7.2 Out of scope — deliberate no-ops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Posting journal entries to any accounting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proposes and records adjustments; posting remains a human action outside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file formats MT940, BAI2, OFX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parsing adds no control or matching value; CSV is sufficient (DD-08)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authentication and single sign-on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selector demonstrates role and separation-of-duties enforcement without credential handling (DD-05)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Write-once (WORM)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database triggers and a hash chain with an external anchor; the limitation is stated (DD-06)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accounts, currencies or periods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account and one month is enough to exercise every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bank feeds or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 to demonstrate the workflow; avoids handling real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Retraining from individual reviewer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changes require a separately validated dataset and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Generative AI producing scores, confidence, risk or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 is limited to optional explanatory prose (DD-10)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banking or customer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data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PDF 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are produced as HTML and CSV; PDF is available through the browser’s print function (pending sponsor confirmation)</w:t>
            </w:r>
          </w:p>
        </w:tc>
      </w:tr>
    </w:tbl>
    <w:bookmarkEnd w:id="29"/>
    <w:bookmarkEnd w:id="30"/>
    <w:bookmarkStart w:id="31" w:name="solution-overview"/>
    <w:p>
      <w:pPr>
        <w:pStyle w:val="Heading2"/>
      </w:pPr>
      <w:r>
        <w:t xml:space="preserve">8. Solution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and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Import, validate, record control totals and file 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 fields and keep originals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matches and known bank-originated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the candidates considered per transaction, including capped group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 and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distance, amount, text, reference and relationship-type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Probabilistic, with calibrated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Amount, novelty, duplication and policy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Deterministic, inspectable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and conflicting evidence in plain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Deterministic; optional GenAI prose, labeled as AI-generated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and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Queues, decisions, escalation, separation of 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and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Hash-chained events; reproducible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</w:tr>
    </w:tbl>
    <w:p>
      <w:pPr>
        <w:pStyle w:val="BodyText"/>
      </w:pPr>
      <w:r>
        <w:t xml:space="preserve">Planned technology: Python, FastAPI, Jinja2, SQLAlchemy and SQLite, running locally on macOS. Each additional library is justified in DOC-05.</w:t>
      </w:r>
    </w:p>
    <w:bookmarkEnd w:id="31"/>
    <w:bookmarkStart w:id="35" w:name="current-state-process"/>
    <w:p>
      <w:pPr>
        <w:pStyle w:val="Heading2"/>
      </w:pPr>
      <w:r>
        <w:t xml:space="preserve">9. Current-State Process</w:t>
      </w:r>
    </w:p>
    <w:p>
      <w:pPr>
        <w:pStyle w:val="CaptionedFigure"/>
      </w:pPr>
      <w:r>
        <w:drawing>
          <wp:inline>
            <wp:extent cx="5334000" cy="10227433"/>
            <wp:effectExtent b="0" l="0" r="0" t="0"/>
            <wp:docPr descr="Current-state reconciliation process" title="" id="33" name="Picture"/>
            <a:graphic>
              <a:graphicData uri="http://schemas.openxmlformats.org/drawingml/2006/picture">
                <pic:pic>
                  <pic:nvPicPr>
                    <pic:cNvPr descr="../diagrams/current_state_proces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27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Current-state reconciliation process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the bank statement from online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record of file version or control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GL cash detail for account 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date and filters are not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both into the reconciliation 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values are overwritten during clean-up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by amount lookup and manual tick-marks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matches on repeated amounts; timing gaps and name variations handled from memory (PRB-01)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unmatched items by email and bank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live in email; there is no link to the item (PRB-02)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adjusting entries for fees and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Preparer may also be the 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bank-to-book reconciliation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carry-forward of outstanding items from the prior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review and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Accountant /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of totals, not items (PRB-04)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the spreadsheet on the shared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 edits are possible without a trace (PRB-03)</w:t>
            </w:r>
          </w:p>
        </w:tc>
      </w:tr>
    </w:tbl>
    <w:bookmarkEnd w:id="35"/>
    <w:bookmarkStart w:id="36" w:name="assumptions"/>
    <w:p>
      <w:pPr>
        <w:pStyle w:val="Heading2"/>
      </w:pPr>
      <w:r>
        <w:t xml:space="preserve">10. Assumptions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USD operating account and one GL cash account (1010) are reconciled per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period is one calendar month; business days follow the US federal holiday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 is synthetic, generated from a fixed seed; no real banking or customer data is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bank CSV provides a running balance; opening and closing balances are derivable from the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prior month’s reconciliation is accepted as correct; its outstanding items carry into the current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Amounts are stored as integer cents; there is no foreign 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select their identity from a list; they are assumed to act in good faith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runs locally for a single organization on one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are configurable: senior approval at $10,000 or more, a ±3 business-day timing window, and outstanding checks clearing within 45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matches are limited to 15 candidates and 4 members per group; items beyond the limit are raised as exceptions</w:t>
            </w:r>
          </w:p>
        </w:tc>
      </w:tr>
    </w:tbl>
    <w:bookmarkEnd w:id="36"/>
    <w:bookmarkStart w:id="37" w:name="constraints"/>
    <w:p>
      <w:pPr>
        <w:pStyle w:val="Heading2"/>
      </w:pPr>
      <w:r>
        <w:t xml:space="preserve">11.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free, easily installed tools; no paid services are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macOS with Python; no container or cloud dependency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external GenAI provider is optional, off by default, and may receive synthetic data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reconciliation item requires human approval; confidence prioritizes review and never replaces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never posts journal entries</w:t>
            </w:r>
          </w:p>
        </w:tc>
      </w:tr>
    </w:tbl>
    <w:bookmarkEnd w:id="37"/>
    <w:bookmarkStart w:id="38" w:name="risks"/>
    <w:p>
      <w:pPr>
        <w:pStyle w:val="Heading2"/>
      </w:pPr>
      <w:r>
        <w:t xml:space="preserve">12. Risks</w:t>
      </w:r>
    </w:p>
    <w:p>
      <w:pPr>
        <w:pStyle w:val="FirstParagraph"/>
      </w:pPr>
      <w:r>
        <w:t xml:space="preserve">Scale for likelihood (L) and impact (I): H = high, M = medium, L = low.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Reviewers over-trust AI recommendations and approve incorrect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evidence is always shown; ranked alternatives are visible; confidence bands are labeled; no decision is preselected outside exact batches; approval rates are monitored by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approval becomes rubber-stamping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Batches hold only exact, unflagged items; items can be pulled out of a batch; an approval record is written per item (DD-02,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calibration overfits and overstates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seeded calibration and evaluation datasets; ground truth is read only by the evaluator (DD-11)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data is unrepresentative, so results do not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mix based on common reconciliation patterns; limitation stated in DOC-07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RSK-05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data is sent to an external AI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 off by default; synthetic data only; every call logged (DD-10)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RSK-06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Someone with database access alters the audit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block edits; the hash chain detects tampering; the chain-head hash is printed on the signed summary (DD-06)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RSK-07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 group match is missed because of the search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limit is disclosed; over-limit items are raised as exceptions rather than dropped (DD-07)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RSK-08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of duties is bypassed because the user selector has no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 stated; rules are enforced on the selected identity and recorded in the audit log (DD-05)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RSK-09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Time-per-item cannot be 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as</w:t>
            </w:r>
            <w:r>
              <w:t xml:space="preserve"> </w:t>
            </w:r>
            <w:r>
              <w:t xml:space="preserve">“</w:t>
            </w:r>
            <w:r>
              <w:t xml:space="preserve">not measured</w:t>
            </w:r>
            <w:r>
              <w:t xml:space="preserve">”</w:t>
            </w:r>
            <w:r>
              <w:t xml:space="preserve">; never estimated (DD-04)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RSK-10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sponsor decisions (DD-01, DD-02) delay dependent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designs; decision gates before Weeks 3 and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RSK-11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grows beyond the planned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sponsor review; out-of-scope list in Section 7.2</w:t>
            </w:r>
          </w:p>
        </w:tc>
      </w:tr>
    </w:tbl>
    <w:bookmarkEnd w:id="38"/>
    <w:bookmarkStart w:id="39" w:name="design-decisions-baseline"/>
    <w:p>
      <w:pPr>
        <w:pStyle w:val="Heading2"/>
      </w:pPr>
      <w:r>
        <w:t xml:space="preserve">13. Design Decisions Baseline</w:t>
      </w:r>
    </w:p>
    <w:p>
      <w:pPr>
        <w:pStyle w:val="FirstParagraph"/>
      </w:pPr>
      <w:r>
        <w:t xml:space="preserve">The full rationale is recorded in the design decisions log in DOC-05.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automatic match rate is reported as a hypothetical against a fixed policy defined before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approval: one action writes a separate approval record per item; batches hold exact, unflagged items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rate is 100% by design, with a hypothetical figure alongside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per item comes from UI timestamps on a 50-item sample, two people reported separately; otherwise</w:t>
            </w:r>
            <w:r>
              <w:t xml:space="preserve"> </w:t>
            </w:r>
            <w:r>
              <w:t xml:space="preserve">“</w:t>
            </w:r>
            <w:r>
              <w:t xml:space="preserve">not measured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selector instead of login; four separation-of-duties rules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plus a SHA-256 hash chain with an external anchor; not write-once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search capped at 15 candidates and 4 members; over-limit items raised as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import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1,240 transactions in total; the generator is parameterized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 is optional, off by default, prose only, and labeled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 is limited to confidence calibration; risk is rule-based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bank-to-book reconciliation statement, including prior-period carry-in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</w:t>
            </w:r>
          </w:p>
        </w:tc>
      </w:tr>
    </w:tbl>
    <w:bookmarkEnd w:id="39"/>
    <w:bookmarkStart w:id="40" w:name="deliverables"/>
    <w:p>
      <w:pPr>
        <w:pStyle w:val="Heading2"/>
      </w:pPr>
      <w:r>
        <w:t xml:space="preserve">14. 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Proposal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Specification, with traceability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Specification, with synthetic dataset and ground truth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Design, with design decisions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Plan and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GDE-01..04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&amp; Deployment, User, Developer, FAQ &amp; Troubleshooting guides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application: matching, exception classification, approvals, audit log,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reconciliation package for one complete run (RPT-01..13)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and demonstration of one complete reconciliation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presentation/</w:t>
            </w:r>
          </w:p>
        </w:tc>
      </w:tr>
    </w:tbl>
    <w:p>
      <w:pPr>
        <w:pStyle w:val="BodyText"/>
      </w:pPr>
      <w:r>
        <w:t xml:space="preserve">Every document is delivered in Markdown (</w:t>
      </w:r>
      <w:r>
        <w:rPr>
          <w:rStyle w:val="VerbatimChar"/>
        </w:rPr>
        <w:t xml:space="preserve">markdown/</w:t>
      </w:r>
      <w:r>
        <w:t xml:space="preserve">) and Word (</w:t>
      </w:r>
      <w:r>
        <w:rPr>
          <w:rStyle w:val="VerbatimChar"/>
        </w:rPr>
        <w:t xml:space="preserve">word-files/</w:t>
      </w:r>
      <w:r>
        <w:t xml:space="preserve">).</w:t>
      </w:r>
    </w:p>
    <w:bookmarkEnd w:id="40"/>
    <w:bookmarkStart w:id="41" w:name="milestones"/>
    <w:p>
      <w:pPr>
        <w:pStyle w:val="Heading2"/>
      </w:pPr>
      <w:r>
        <w:t xml:space="preserve">15. 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and requirements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 analysis and labeled dataset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design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DD-02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Rules-only baseline and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recommendation layer evaluated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DD-01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workflow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package and evaluation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v1.0.0 and 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1"/>
    <w:bookmarkStart w:id="42" w:name="items-requiring-sponsor-decision"/>
    <w:p>
      <w:pPr>
        <w:pStyle w:val="Heading2"/>
      </w:pPr>
      <w:r>
        <w:t xml:space="preserve">16. Items Requiring Sponsor Decision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DD-01 and DD-02 as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stated in Section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and length of written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and Word; consolidated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Demonstration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 (10 minutes live, 5 minutes results and questions)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and CSV; PDF through browser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visibility and license at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during build; public under MIT at v1.0.0 if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8-week plan</w:t>
            </w:r>
          </w:p>
        </w:tc>
      </w:tr>
    </w:tbl>
    <w:bookmarkEnd w:id="42"/>
    <w:bookmarkStart w:id="43" w:name="approval"/>
    <w:p>
      <w:pPr>
        <w:pStyle w:val="Heading2"/>
      </w:pPr>
      <w:r>
        <w:t xml:space="preserve">17. Approval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Analyst and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Uday Gunturu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</w:tr>
    </w:tbl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2026-09-22T00:27:33Z</dcterms:created>
  <dcterms:modified xsi:type="dcterms:W3CDTF">2026-09-22T00:27:33Z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