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BIKEWALE VEHICLE MARKET ANALYSIS</w:t>
      </w:r>
    </w:p>
    <w:p>
      <w:pPr>
        <w:jc w:val="center"/>
      </w:pPr>
      <w:r>
        <w:rPr>
          <w:b/>
          <w:sz w:val="32"/>
        </w:rPr>
        <w:t>Final Project Report</w:t>
      </w:r>
    </w:p>
    <w:p>
      <w:pPr>
        <w:jc w:val="center"/>
      </w:pPr>
      <w:r>
        <w:rPr>
          <w:i/>
        </w:rPr>
        <w:br/>
        <w:t>Web Scraping, Data Cleaning, EDA, Visualization &amp; Business Insights</w:t>
      </w:r>
    </w:p>
    <w:p>
      <w:pPr>
        <w:jc w:val="center"/>
      </w:pPr>
      <w:r>
        <w:rPr>
          <w:b/>
        </w:rPr>
        <w:br/>
        <w:t>Author</w:t>
        <w:br/>
      </w:r>
      <w:r>
        <w:t>K. Uday Kiran Reddy</w:t>
      </w:r>
    </w:p>
    <w:p>
      <w:pPr>
        <w:jc w:val="center"/>
      </w:pPr>
      <w:r>
        <w:rPr>
          <w:b/>
        </w:rPr>
        <w:br/>
        <w:t xml:space="preserve">Website: </w:t>
      </w:r>
      <w:r>
        <w:t>BikeWale – https://www.bikewale.com/</w:t>
      </w:r>
    </w:p>
    <w:p>
      <w:r>
        <w:br w:type="page"/>
      </w:r>
    </w:p>
    <w:p>
      <w:pPr>
        <w:pStyle w:val="Heading1"/>
      </w:pPr>
      <w:r>
        <w:t>Executive Summary</w:t>
      </w:r>
    </w:p>
    <w:p>
      <w:r>
        <w:t>This project follows a complete data analytics pipeline for a BikeWale-oriented vehicle dataset: Website Selection → Data Collection → Data Understanding → Data Cleaning → Exploratory Data Analysis → Data Visualization → Business Insights &amp; Recommendations → Presentation. The supplied dataset contains 500 vehicle records and 17 fields. The analysis covers vehicle brands, models, vehicle categories, fuel types, pricing, mileage/range, engine capacity, power, transmission, variants, colors, cities, customer ratings, reviews and model years.</w:t>
      </w:r>
    </w:p>
    <w:p>
      <w:r>
        <w:t>In the supplied dataset, the average ex-showroom price is ₹243,059, the average on-road price is ₹282,119, and the average customer rating is 4.10/5. Petrol vehicles account for 413 records, while electric vehicles account for 87. Suzuki is the most represented brand with 67 records, and Jaipur is the most represented city with 59 records. The findings provide a strong foundation for market segmentation, pricing comparisons and dashboard reporting.</w:t>
      </w:r>
    </w:p>
    <w:p>
      <w:pPr>
        <w:pStyle w:val="Heading1"/>
      </w:pPr>
      <w:r>
        <w:t>1. Project Objective</w:t>
      </w:r>
    </w:p>
    <w:p>
      <w:pPr>
        <w:pStyle w:val="ListBullet"/>
      </w:pPr>
      <w:r>
        <w:t>Collect or structure two-wheeler data associated with an automobile website.</w:t>
      </w:r>
    </w:p>
    <w:p>
      <w:pPr>
        <w:pStyle w:val="ListBullet"/>
      </w:pPr>
      <w:r>
        <w:t>Understand and clean the collected records before analysis.</w:t>
      </w:r>
    </w:p>
    <w:p>
      <w:pPr>
        <w:pStyle w:val="ListBullet"/>
      </w:pPr>
      <w:r>
        <w:t>Perform EDA to identify patterns in price, brands, fuel type, ratings and vehicle specifications.</w:t>
      </w:r>
    </w:p>
    <w:p>
      <w:pPr>
        <w:pStyle w:val="ListBullet"/>
      </w:pPr>
      <w:r>
        <w:t>Create business-focused visualizations and a dashboard-ready summary.</w:t>
      </w:r>
    </w:p>
    <w:p>
      <w:pPr>
        <w:pStyle w:val="ListBullet"/>
      </w:pPr>
      <w:r>
        <w:t>Convert the analytical results into practical recommendations for customers, manufacturers and marketers.</w:t>
      </w:r>
    </w:p>
    <w:p>
      <w:pPr>
        <w:pStyle w:val="Heading1"/>
      </w:pPr>
      <w:r>
        <w:t>2. Project Workflow</w:t>
      </w:r>
    </w:p>
    <w:p>
      <w:r>
        <w:t>Website Selection → Data Collection → Data Understanding → Data Cleaning → Exploratory Data Analysis → Data Visualization → Business Insights &amp; Recommendations → Presentation</w:t>
      </w:r>
    </w:p>
    <w:p>
      <w:pPr>
        <w:pStyle w:val="Heading1"/>
      </w:pPr>
      <w:r>
        <w:t>3. Website Selection and Data Collection</w:t>
      </w:r>
    </w:p>
    <w:p>
      <w:r>
        <w:t>Selected website: BikeWale (https://www.bikewale.com/). BikeWale is the domain selected for the project because vehicle listings provide attributes that are useful for comparing products, prices, specifications and customer feedback.</w:t>
      </w:r>
    </w:p>
    <w:p>
      <w:r>
        <w:t>Web scraping can be implemented in Python using Requests and BeautifulSoup on permitted, publicly accessible pages. Because page structures and access rules can change, the scraper should use current, verified selectors and respect the website’s terms and robots.txt.</w:t>
      </w:r>
    </w:p>
    <w:p>
      <w:pPr>
        <w:pStyle w:val="Heading2"/>
      </w:pPr>
      <w:r>
        <w:t>Sample Python Framework</w:t>
      </w:r>
    </w:p>
    <w:p>
      <w:r>
        <w:rPr>
          <w:rFonts w:ascii="Consolas" w:hAnsi="Consolas"/>
          <w:sz w:val="16"/>
        </w:rPr>
        <w:t>import requests</w:t>
        <w:br/>
        <w:t>from bs4 import BeautifulSoup</w:t>
        <w:br/>
        <w:t>import pandas as pd</w:t>
        <w:br/>
        <w:br/>
        <w:t>url = "YOUR_PERMITTED_BIKEWALE_LISTING_URL"</w:t>
        <w:br/>
        <w:t>headers = {"User-Agent": "Mozilla/5.0"}</w:t>
        <w:br/>
        <w:t>response = requests.get(url, headers=headers, timeout=20)</w:t>
        <w:br/>
        <w:t>soup = BeautifulSoup(response.text, "html.parser")</w:t>
        <w:br/>
        <w:br/>
        <w:t>records = []</w:t>
        <w:br/>
        <w:t>for item in soup.select("YOUR_VEHICLE_SELECTOR"):</w:t>
        <w:br/>
        <w:t xml:space="preserve">    records.append({</w:t>
        <w:br/>
        <w:t xml:space="preserve">        "brand": item.select_one("YOUR_BRAND_SELECTOR").get_text(strip=True),</w:t>
        <w:br/>
        <w:t xml:space="preserve">        "model": item.select_one("YOUR_MODEL_SELECTOR").get_text(strip=True)</w:t>
        <w:br/>
        <w:t xml:space="preserve">    })</w:t>
        <w:br/>
        <w:br/>
        <w:t>df = pd.DataFrame(records)</w:t>
        <w:br/>
        <w:t>df.to_csv("bikewale_raw_data.csv", index=False)</w:t>
      </w:r>
    </w:p>
    <w:p>
      <w:pPr>
        <w:pStyle w:val="Heading1"/>
      </w:pPr>
      <w:r>
        <w:t>4. Data Understanding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Pr>
                <w:b/>
                <w:sz w:val="18"/>
              </w:rPr>
              <w:t>Metric</w:t>
            </w:r>
          </w:p>
        </w:tc>
        <w:tc>
          <w:tcPr>
            <w:tcW w:type="dxa" w:w="5083"/>
            <w:vAlign w:val="center"/>
            <w:shd w:fill="D9EAF7"/>
          </w:tcPr>
          <w:p>
            <w:r>
              <w:rPr>
                <w:b/>
                <w:sz w:val="18"/>
              </w:rPr>
              <w:t>Value</w:t>
            </w:r>
          </w:p>
        </w:tc>
      </w:tr>
      <w:tr>
        <w:tc>
          <w:tcPr>
            <w:tcW w:type="dxa" w:w="5083"/>
            <w:vAlign w:val="center"/>
          </w:tcPr>
          <w:p>
            <w:r>
              <w:rPr>
                <w:b w:val="0"/>
                <w:sz w:val="18"/>
              </w:rPr>
              <w:t>Records</w:t>
            </w:r>
          </w:p>
        </w:tc>
        <w:tc>
          <w:tcPr>
            <w:tcW w:type="dxa" w:w="5083"/>
            <w:vAlign w:val="center"/>
          </w:tcPr>
          <w:p>
            <w:r>
              <w:rPr>
                <w:b w:val="0"/>
                <w:sz w:val="18"/>
              </w:rPr>
              <w:t>500</w:t>
            </w:r>
          </w:p>
        </w:tc>
      </w:tr>
      <w:tr>
        <w:tc>
          <w:tcPr>
            <w:tcW w:type="dxa" w:w="5083"/>
            <w:vAlign w:val="center"/>
          </w:tcPr>
          <w:p>
            <w:r>
              <w:rPr>
                <w:b w:val="0"/>
                <w:sz w:val="18"/>
              </w:rPr>
              <w:t>Columns</w:t>
            </w:r>
          </w:p>
        </w:tc>
        <w:tc>
          <w:tcPr>
            <w:tcW w:type="dxa" w:w="5083"/>
            <w:vAlign w:val="center"/>
          </w:tcPr>
          <w:p>
            <w:r>
              <w:rPr>
                <w:b w:val="0"/>
                <w:sz w:val="18"/>
              </w:rPr>
              <w:t>17</w:t>
            </w:r>
          </w:p>
        </w:tc>
      </w:tr>
      <w:tr>
        <w:tc>
          <w:tcPr>
            <w:tcW w:type="dxa" w:w="5083"/>
            <w:vAlign w:val="center"/>
          </w:tcPr>
          <w:p>
            <w:r>
              <w:rPr>
                <w:b w:val="0"/>
                <w:sz w:val="18"/>
              </w:rPr>
              <w:t>Brands</w:t>
            </w:r>
          </w:p>
        </w:tc>
        <w:tc>
          <w:tcPr>
            <w:tcW w:type="dxa" w:w="5083"/>
            <w:vAlign w:val="center"/>
          </w:tcPr>
          <w:p>
            <w:r>
              <w:rPr>
                <w:b w:val="0"/>
                <w:sz w:val="18"/>
              </w:rPr>
              <w:t>10</w:t>
            </w:r>
          </w:p>
        </w:tc>
      </w:tr>
      <w:tr>
        <w:tc>
          <w:tcPr>
            <w:tcW w:type="dxa" w:w="5083"/>
            <w:vAlign w:val="center"/>
          </w:tcPr>
          <w:p>
            <w:r>
              <w:rPr>
                <w:b w:val="0"/>
                <w:sz w:val="18"/>
              </w:rPr>
              <w:t>Cities</w:t>
            </w:r>
          </w:p>
        </w:tc>
        <w:tc>
          <w:tcPr>
            <w:tcW w:type="dxa" w:w="5083"/>
            <w:vAlign w:val="center"/>
          </w:tcPr>
          <w:p>
            <w:r>
              <w:rPr>
                <w:b w:val="0"/>
                <w:sz w:val="18"/>
              </w:rPr>
              <w:t>10</w:t>
            </w:r>
          </w:p>
        </w:tc>
      </w:tr>
      <w:tr>
        <w:tc>
          <w:tcPr>
            <w:tcW w:type="dxa" w:w="5083"/>
            <w:vAlign w:val="center"/>
          </w:tcPr>
          <w:p>
            <w:r>
              <w:rPr>
                <w:b w:val="0"/>
                <w:sz w:val="18"/>
              </w:rPr>
              <w:t>Petrol records</w:t>
            </w:r>
          </w:p>
        </w:tc>
        <w:tc>
          <w:tcPr>
            <w:tcW w:type="dxa" w:w="5083"/>
            <w:vAlign w:val="center"/>
          </w:tcPr>
          <w:p>
            <w:r>
              <w:rPr>
                <w:b w:val="0"/>
                <w:sz w:val="18"/>
              </w:rPr>
              <w:t>413</w:t>
            </w:r>
          </w:p>
        </w:tc>
      </w:tr>
      <w:tr>
        <w:tc>
          <w:tcPr>
            <w:tcW w:type="dxa" w:w="5083"/>
            <w:vAlign w:val="center"/>
          </w:tcPr>
          <w:p>
            <w:r>
              <w:rPr>
                <w:b w:val="0"/>
                <w:sz w:val="18"/>
              </w:rPr>
              <w:t>Electric records</w:t>
            </w:r>
          </w:p>
        </w:tc>
        <w:tc>
          <w:tcPr>
            <w:tcW w:type="dxa" w:w="5083"/>
            <w:vAlign w:val="center"/>
          </w:tcPr>
          <w:p>
            <w:r>
              <w:rPr>
                <w:b w:val="0"/>
                <w:sz w:val="18"/>
              </w:rPr>
              <w:t>87</w:t>
            </w:r>
          </w:p>
        </w:tc>
      </w:tr>
      <w:tr>
        <w:tc>
          <w:tcPr>
            <w:tcW w:type="dxa" w:w="5083"/>
            <w:vAlign w:val="center"/>
          </w:tcPr>
          <w:p>
            <w:r>
              <w:rPr>
                <w:b w:val="0"/>
                <w:sz w:val="18"/>
              </w:rPr>
              <w:t>Average ex-showroom price</w:t>
            </w:r>
          </w:p>
        </w:tc>
        <w:tc>
          <w:tcPr>
            <w:tcW w:type="dxa" w:w="5083"/>
            <w:vAlign w:val="center"/>
          </w:tcPr>
          <w:p>
            <w:r>
              <w:rPr>
                <w:b w:val="0"/>
                <w:sz w:val="18"/>
              </w:rPr>
              <w:t>₹243,059</w:t>
            </w:r>
          </w:p>
        </w:tc>
      </w:tr>
      <w:tr>
        <w:tc>
          <w:tcPr>
            <w:tcW w:type="dxa" w:w="5083"/>
            <w:vAlign w:val="center"/>
          </w:tcPr>
          <w:p>
            <w:r>
              <w:rPr>
                <w:b w:val="0"/>
                <w:sz w:val="18"/>
              </w:rPr>
              <w:t>Average on-road price</w:t>
            </w:r>
          </w:p>
        </w:tc>
        <w:tc>
          <w:tcPr>
            <w:tcW w:type="dxa" w:w="5083"/>
            <w:vAlign w:val="center"/>
          </w:tcPr>
          <w:p>
            <w:r>
              <w:rPr>
                <w:b w:val="0"/>
                <w:sz w:val="18"/>
              </w:rPr>
              <w:t>₹282,119</w:t>
            </w:r>
          </w:p>
        </w:tc>
      </w:tr>
      <w:tr>
        <w:tc>
          <w:tcPr>
            <w:tcW w:type="dxa" w:w="5083"/>
            <w:vAlign w:val="center"/>
          </w:tcPr>
          <w:p>
            <w:r>
              <w:rPr>
                <w:b w:val="0"/>
                <w:sz w:val="18"/>
              </w:rPr>
              <w:t>Average rating</w:t>
            </w:r>
          </w:p>
        </w:tc>
        <w:tc>
          <w:tcPr>
            <w:tcW w:type="dxa" w:w="5083"/>
            <w:vAlign w:val="center"/>
          </w:tcPr>
          <w:p>
            <w:r>
              <w:rPr>
                <w:b w:val="0"/>
                <w:sz w:val="18"/>
              </w:rPr>
              <w:t>4.10/5</w:t>
            </w:r>
          </w:p>
        </w:tc>
      </w:tr>
      <w:tr>
        <w:tc>
          <w:tcPr>
            <w:tcW w:type="dxa" w:w="5083"/>
            <w:vAlign w:val="center"/>
          </w:tcPr>
          <w:p>
            <w:r>
              <w:rPr>
                <w:b w:val="0"/>
                <w:sz w:val="18"/>
              </w:rPr>
              <w:t>Average mileage/range</w:t>
            </w:r>
          </w:p>
        </w:tc>
        <w:tc>
          <w:tcPr>
            <w:tcW w:type="dxa" w:w="5083"/>
            <w:vAlign w:val="center"/>
          </w:tcPr>
          <w:p>
            <w:r>
              <w:rPr>
                <w:b w:val="0"/>
                <w:sz w:val="18"/>
              </w:rPr>
              <w:t>75.21</w:t>
            </w:r>
          </w:p>
        </w:tc>
      </w:tr>
    </w:tbl>
    <w:p>
      <w:pPr>
        <w:pStyle w:val="Heading1"/>
      </w:pPr>
      <w:r>
        <w:t>5. Data Dictionary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Pr>
                <w:b/>
                <w:sz w:val="18"/>
              </w:rPr>
              <w:t>Field</w:t>
            </w:r>
          </w:p>
        </w:tc>
        <w:tc>
          <w:tcPr>
            <w:tcW w:type="dxa" w:w="3389"/>
            <w:vAlign w:val="center"/>
            <w:shd w:fill="D9EAF7"/>
          </w:tcPr>
          <w:p>
            <w:r>
              <w:rPr>
                <w:b/>
                <w:sz w:val="18"/>
              </w:rPr>
              <w:t>Description</w:t>
            </w:r>
          </w:p>
        </w:tc>
        <w:tc>
          <w:tcPr>
            <w:tcW w:type="dxa" w:w="3389"/>
            <w:vAlign w:val="center"/>
            <w:shd w:fill="D9EAF7"/>
          </w:tcPr>
          <w:p>
            <w:r>
              <w:rPr>
                <w:b/>
                <w:sz w:val="18"/>
              </w:rPr>
              <w:t>Type</w:t>
            </w:r>
          </w:p>
        </w:tc>
      </w:tr>
      <w:tr>
        <w:tc>
          <w:tcPr>
            <w:tcW w:type="dxa" w:w="3389"/>
            <w:vAlign w:val="center"/>
          </w:tcPr>
          <w:p>
            <w:r>
              <w:rPr>
                <w:b w:val="0"/>
                <w:sz w:val="18"/>
              </w:rPr>
              <w:t>vehicle_id</w:t>
            </w:r>
          </w:p>
        </w:tc>
        <w:tc>
          <w:tcPr>
            <w:tcW w:type="dxa" w:w="3389"/>
            <w:vAlign w:val="center"/>
          </w:tcPr>
          <w:p>
            <w:r>
              <w:rPr>
                <w:b w:val="0"/>
                <w:sz w:val="18"/>
              </w:rPr>
              <w:t>Unique vehicle identifier</w:t>
            </w:r>
          </w:p>
        </w:tc>
        <w:tc>
          <w:tcPr>
            <w:tcW w:type="dxa" w:w="3389"/>
            <w:vAlign w:val="center"/>
          </w:tcPr>
          <w:p>
            <w:r>
              <w:rPr>
                <w:b w:val="0"/>
                <w:sz w:val="18"/>
              </w:rPr>
              <w:t>Integer</w:t>
            </w:r>
          </w:p>
        </w:tc>
      </w:tr>
      <w:tr>
        <w:tc>
          <w:tcPr>
            <w:tcW w:type="dxa" w:w="3389"/>
            <w:vAlign w:val="center"/>
          </w:tcPr>
          <w:p>
            <w:r>
              <w:rPr>
                <w:b w:val="0"/>
                <w:sz w:val="18"/>
              </w:rPr>
              <w:t>brand</w:t>
            </w:r>
          </w:p>
        </w:tc>
        <w:tc>
          <w:tcPr>
            <w:tcW w:type="dxa" w:w="3389"/>
            <w:vAlign w:val="center"/>
          </w:tcPr>
          <w:p>
            <w:r>
              <w:rPr>
                <w:b w:val="0"/>
                <w:sz w:val="18"/>
              </w:rPr>
              <w:t>Vehicle manufacturer</w:t>
            </w:r>
          </w:p>
        </w:tc>
        <w:tc>
          <w:tcPr>
            <w:tcW w:type="dxa" w:w="3389"/>
            <w:vAlign w:val="center"/>
          </w:tcPr>
          <w:p>
            <w:r>
              <w:rPr>
                <w:b w:val="0"/>
                <w:sz w:val="18"/>
              </w:rPr>
              <w:t>Text</w:t>
            </w:r>
          </w:p>
        </w:tc>
      </w:tr>
      <w:tr>
        <w:tc>
          <w:tcPr>
            <w:tcW w:type="dxa" w:w="3389"/>
            <w:vAlign w:val="center"/>
          </w:tcPr>
          <w:p>
            <w:r>
              <w:rPr>
                <w:b w:val="0"/>
                <w:sz w:val="18"/>
              </w:rPr>
              <w:t>model</w:t>
            </w:r>
          </w:p>
        </w:tc>
        <w:tc>
          <w:tcPr>
            <w:tcW w:type="dxa" w:w="3389"/>
            <w:vAlign w:val="center"/>
          </w:tcPr>
          <w:p>
            <w:r>
              <w:rPr>
                <w:b w:val="0"/>
                <w:sz w:val="18"/>
              </w:rPr>
              <w:t>Vehicle model name</w:t>
            </w:r>
          </w:p>
        </w:tc>
        <w:tc>
          <w:tcPr>
            <w:tcW w:type="dxa" w:w="3389"/>
            <w:vAlign w:val="center"/>
          </w:tcPr>
          <w:p>
            <w:r>
              <w:rPr>
                <w:b w:val="0"/>
                <w:sz w:val="18"/>
              </w:rPr>
              <w:t>Text</w:t>
            </w:r>
          </w:p>
        </w:tc>
      </w:tr>
      <w:tr>
        <w:tc>
          <w:tcPr>
            <w:tcW w:type="dxa" w:w="3389"/>
            <w:vAlign w:val="center"/>
          </w:tcPr>
          <w:p>
            <w:r>
              <w:rPr>
                <w:b w:val="0"/>
                <w:sz w:val="18"/>
              </w:rPr>
              <w:t>vehicle_type</w:t>
            </w:r>
          </w:p>
        </w:tc>
        <w:tc>
          <w:tcPr>
            <w:tcW w:type="dxa" w:w="3389"/>
            <w:vAlign w:val="center"/>
          </w:tcPr>
          <w:p>
            <w:r>
              <w:rPr>
                <w:b w:val="0"/>
                <w:sz w:val="18"/>
              </w:rPr>
              <w:t>Vehicle category</w:t>
            </w:r>
          </w:p>
        </w:tc>
        <w:tc>
          <w:tcPr>
            <w:tcW w:type="dxa" w:w="3389"/>
            <w:vAlign w:val="center"/>
          </w:tcPr>
          <w:p>
            <w:r>
              <w:rPr>
                <w:b w:val="0"/>
                <w:sz w:val="18"/>
              </w:rPr>
              <w:t>Text</w:t>
            </w:r>
          </w:p>
        </w:tc>
      </w:tr>
      <w:tr>
        <w:tc>
          <w:tcPr>
            <w:tcW w:type="dxa" w:w="3389"/>
            <w:vAlign w:val="center"/>
          </w:tcPr>
          <w:p>
            <w:r>
              <w:rPr>
                <w:b w:val="0"/>
                <w:sz w:val="18"/>
              </w:rPr>
              <w:t>fuel_type</w:t>
            </w:r>
          </w:p>
        </w:tc>
        <w:tc>
          <w:tcPr>
            <w:tcW w:type="dxa" w:w="3389"/>
            <w:vAlign w:val="center"/>
          </w:tcPr>
          <w:p>
            <w:r>
              <w:rPr>
                <w:b w:val="0"/>
                <w:sz w:val="18"/>
              </w:rPr>
              <w:t>Petrol or Electric</w:t>
            </w:r>
          </w:p>
        </w:tc>
        <w:tc>
          <w:tcPr>
            <w:tcW w:type="dxa" w:w="3389"/>
            <w:vAlign w:val="center"/>
          </w:tcPr>
          <w:p>
            <w:r>
              <w:rPr>
                <w:b w:val="0"/>
                <w:sz w:val="18"/>
              </w:rPr>
              <w:t>Text</w:t>
            </w:r>
          </w:p>
        </w:tc>
      </w:tr>
      <w:tr>
        <w:tc>
          <w:tcPr>
            <w:tcW w:type="dxa" w:w="3389"/>
            <w:vAlign w:val="center"/>
          </w:tcPr>
          <w:p>
            <w:r>
              <w:rPr>
                <w:b w:val="0"/>
                <w:sz w:val="18"/>
              </w:rPr>
              <w:t>ex_showroom_price</w:t>
            </w:r>
          </w:p>
        </w:tc>
        <w:tc>
          <w:tcPr>
            <w:tcW w:type="dxa" w:w="3389"/>
            <w:vAlign w:val="center"/>
          </w:tcPr>
          <w:p>
            <w:r>
              <w:rPr>
                <w:b w:val="0"/>
                <w:sz w:val="18"/>
              </w:rPr>
              <w:t>Ex-showroom price</w:t>
            </w:r>
          </w:p>
        </w:tc>
        <w:tc>
          <w:tcPr>
            <w:tcW w:type="dxa" w:w="3389"/>
            <w:vAlign w:val="center"/>
          </w:tcPr>
          <w:p>
            <w:r>
              <w:rPr>
                <w:b w:val="0"/>
                <w:sz w:val="18"/>
              </w:rPr>
              <w:t>Numeric</w:t>
            </w:r>
          </w:p>
        </w:tc>
      </w:tr>
      <w:tr>
        <w:tc>
          <w:tcPr>
            <w:tcW w:type="dxa" w:w="3389"/>
            <w:vAlign w:val="center"/>
          </w:tcPr>
          <w:p>
            <w:r>
              <w:rPr>
                <w:b w:val="0"/>
                <w:sz w:val="18"/>
              </w:rPr>
              <w:t>on_road_price</w:t>
            </w:r>
          </w:p>
        </w:tc>
        <w:tc>
          <w:tcPr>
            <w:tcW w:type="dxa" w:w="3389"/>
            <w:vAlign w:val="center"/>
          </w:tcPr>
          <w:p>
            <w:r>
              <w:rPr>
                <w:b w:val="0"/>
                <w:sz w:val="18"/>
              </w:rPr>
              <w:t>Estimated on-road price</w:t>
            </w:r>
          </w:p>
        </w:tc>
        <w:tc>
          <w:tcPr>
            <w:tcW w:type="dxa" w:w="3389"/>
            <w:vAlign w:val="center"/>
          </w:tcPr>
          <w:p>
            <w:r>
              <w:rPr>
                <w:b w:val="0"/>
                <w:sz w:val="18"/>
              </w:rPr>
              <w:t>Numeric</w:t>
            </w:r>
          </w:p>
        </w:tc>
      </w:tr>
      <w:tr>
        <w:tc>
          <w:tcPr>
            <w:tcW w:type="dxa" w:w="3389"/>
            <w:vAlign w:val="center"/>
          </w:tcPr>
          <w:p>
            <w:r>
              <w:rPr>
                <w:b w:val="0"/>
                <w:sz w:val="18"/>
              </w:rPr>
              <w:t>mileage_kmpl_or_range_km</w:t>
            </w:r>
          </w:p>
        </w:tc>
        <w:tc>
          <w:tcPr>
            <w:tcW w:type="dxa" w:w="3389"/>
            <w:vAlign w:val="center"/>
          </w:tcPr>
          <w:p>
            <w:r>
              <w:rPr>
                <w:b w:val="0"/>
                <w:sz w:val="18"/>
              </w:rPr>
              <w:t>Mileage or electric range</w:t>
            </w:r>
          </w:p>
        </w:tc>
        <w:tc>
          <w:tcPr>
            <w:tcW w:type="dxa" w:w="3389"/>
            <w:vAlign w:val="center"/>
          </w:tcPr>
          <w:p>
            <w:r>
              <w:rPr>
                <w:b w:val="0"/>
                <w:sz w:val="18"/>
              </w:rPr>
              <w:t>Numeric</w:t>
            </w:r>
          </w:p>
        </w:tc>
      </w:tr>
      <w:tr>
        <w:tc>
          <w:tcPr>
            <w:tcW w:type="dxa" w:w="3389"/>
            <w:vAlign w:val="center"/>
          </w:tcPr>
          <w:p>
            <w:r>
              <w:rPr>
                <w:b w:val="0"/>
                <w:sz w:val="18"/>
              </w:rPr>
              <w:t>engine_cc</w:t>
            </w:r>
          </w:p>
        </w:tc>
        <w:tc>
          <w:tcPr>
            <w:tcW w:type="dxa" w:w="3389"/>
            <w:vAlign w:val="center"/>
          </w:tcPr>
          <w:p>
            <w:r>
              <w:rPr>
                <w:b w:val="0"/>
                <w:sz w:val="18"/>
              </w:rPr>
              <w:t>Engine capacity; 0 represents electric in this dataset</w:t>
            </w:r>
          </w:p>
        </w:tc>
        <w:tc>
          <w:tcPr>
            <w:tcW w:type="dxa" w:w="3389"/>
            <w:vAlign w:val="center"/>
          </w:tcPr>
          <w:p>
            <w:r>
              <w:rPr>
                <w:b w:val="0"/>
                <w:sz w:val="18"/>
              </w:rPr>
              <w:t>Integer</w:t>
            </w:r>
          </w:p>
        </w:tc>
      </w:tr>
      <w:tr>
        <w:tc>
          <w:tcPr>
            <w:tcW w:type="dxa" w:w="3389"/>
            <w:vAlign w:val="center"/>
          </w:tcPr>
          <w:p>
            <w:r>
              <w:rPr>
                <w:b w:val="0"/>
                <w:sz w:val="18"/>
              </w:rPr>
              <w:t>power_bhp</w:t>
            </w:r>
          </w:p>
        </w:tc>
        <w:tc>
          <w:tcPr>
            <w:tcW w:type="dxa" w:w="3389"/>
            <w:vAlign w:val="center"/>
          </w:tcPr>
          <w:p>
            <w:r>
              <w:rPr>
                <w:b w:val="0"/>
                <w:sz w:val="18"/>
              </w:rPr>
              <w:t>Power output</w:t>
            </w:r>
          </w:p>
        </w:tc>
        <w:tc>
          <w:tcPr>
            <w:tcW w:type="dxa" w:w="3389"/>
            <w:vAlign w:val="center"/>
          </w:tcPr>
          <w:p>
            <w:r>
              <w:rPr>
                <w:b w:val="0"/>
                <w:sz w:val="18"/>
              </w:rPr>
              <w:t>Numeric</w:t>
            </w:r>
          </w:p>
        </w:tc>
      </w:tr>
      <w:tr>
        <w:tc>
          <w:tcPr>
            <w:tcW w:type="dxa" w:w="3389"/>
            <w:vAlign w:val="center"/>
          </w:tcPr>
          <w:p>
            <w:r>
              <w:rPr>
                <w:b w:val="0"/>
                <w:sz w:val="18"/>
              </w:rPr>
              <w:t>transmission</w:t>
            </w:r>
          </w:p>
        </w:tc>
        <w:tc>
          <w:tcPr>
            <w:tcW w:type="dxa" w:w="3389"/>
            <w:vAlign w:val="center"/>
          </w:tcPr>
          <w:p>
            <w:r>
              <w:rPr>
                <w:b w:val="0"/>
                <w:sz w:val="18"/>
              </w:rPr>
              <w:t>Manual or Automatic</w:t>
            </w:r>
          </w:p>
        </w:tc>
        <w:tc>
          <w:tcPr>
            <w:tcW w:type="dxa" w:w="3389"/>
            <w:vAlign w:val="center"/>
          </w:tcPr>
          <w:p>
            <w:r>
              <w:rPr>
                <w:b w:val="0"/>
                <w:sz w:val="18"/>
              </w:rPr>
              <w:t>Text</w:t>
            </w:r>
          </w:p>
        </w:tc>
      </w:tr>
      <w:tr>
        <w:tc>
          <w:tcPr>
            <w:tcW w:type="dxa" w:w="3389"/>
            <w:vAlign w:val="center"/>
          </w:tcPr>
          <w:p>
            <w:r>
              <w:rPr>
                <w:b w:val="0"/>
                <w:sz w:val="18"/>
              </w:rPr>
              <w:t>number_of_variants</w:t>
            </w:r>
          </w:p>
        </w:tc>
        <w:tc>
          <w:tcPr>
            <w:tcW w:type="dxa" w:w="3389"/>
            <w:vAlign w:val="center"/>
          </w:tcPr>
          <w:p>
            <w:r>
              <w:rPr>
                <w:b w:val="0"/>
                <w:sz w:val="18"/>
              </w:rPr>
              <w:t>Available variants</w:t>
            </w:r>
          </w:p>
        </w:tc>
        <w:tc>
          <w:tcPr>
            <w:tcW w:type="dxa" w:w="3389"/>
            <w:vAlign w:val="center"/>
          </w:tcPr>
          <w:p>
            <w:r>
              <w:rPr>
                <w:b w:val="0"/>
                <w:sz w:val="18"/>
              </w:rPr>
              <w:t>Integer</w:t>
            </w:r>
          </w:p>
        </w:tc>
      </w:tr>
      <w:tr>
        <w:tc>
          <w:tcPr>
            <w:tcW w:type="dxa" w:w="3389"/>
            <w:vAlign w:val="center"/>
          </w:tcPr>
          <w:p>
            <w:r>
              <w:rPr>
                <w:b w:val="0"/>
                <w:sz w:val="18"/>
              </w:rPr>
              <w:t>number_of_colors</w:t>
            </w:r>
          </w:p>
        </w:tc>
        <w:tc>
          <w:tcPr>
            <w:tcW w:type="dxa" w:w="3389"/>
            <w:vAlign w:val="center"/>
          </w:tcPr>
          <w:p>
            <w:r>
              <w:rPr>
                <w:b w:val="0"/>
                <w:sz w:val="18"/>
              </w:rPr>
              <w:t>Available colors</w:t>
            </w:r>
          </w:p>
        </w:tc>
        <w:tc>
          <w:tcPr>
            <w:tcW w:type="dxa" w:w="3389"/>
            <w:vAlign w:val="center"/>
          </w:tcPr>
          <w:p>
            <w:r>
              <w:rPr>
                <w:b w:val="0"/>
                <w:sz w:val="18"/>
              </w:rPr>
              <w:t>Integer</w:t>
            </w:r>
          </w:p>
        </w:tc>
      </w:tr>
      <w:tr>
        <w:tc>
          <w:tcPr>
            <w:tcW w:type="dxa" w:w="3389"/>
            <w:vAlign w:val="center"/>
          </w:tcPr>
          <w:p>
            <w:r>
              <w:rPr>
                <w:b w:val="0"/>
                <w:sz w:val="18"/>
              </w:rPr>
              <w:t>city</w:t>
            </w:r>
          </w:p>
        </w:tc>
        <w:tc>
          <w:tcPr>
            <w:tcW w:type="dxa" w:w="3389"/>
            <w:vAlign w:val="center"/>
          </w:tcPr>
          <w:p>
            <w:r>
              <w:rPr>
                <w:b w:val="0"/>
                <w:sz w:val="18"/>
              </w:rPr>
              <w:t>City/market represented</w:t>
            </w:r>
          </w:p>
        </w:tc>
        <w:tc>
          <w:tcPr>
            <w:tcW w:type="dxa" w:w="3389"/>
            <w:vAlign w:val="center"/>
          </w:tcPr>
          <w:p>
            <w:r>
              <w:rPr>
                <w:b w:val="0"/>
                <w:sz w:val="18"/>
              </w:rPr>
              <w:t>Text</w:t>
            </w:r>
          </w:p>
        </w:tc>
      </w:tr>
      <w:tr>
        <w:tc>
          <w:tcPr>
            <w:tcW w:type="dxa" w:w="3389"/>
            <w:vAlign w:val="center"/>
          </w:tcPr>
          <w:p>
            <w:r>
              <w:rPr>
                <w:b w:val="0"/>
                <w:sz w:val="18"/>
              </w:rPr>
              <w:t>rating</w:t>
            </w:r>
          </w:p>
        </w:tc>
        <w:tc>
          <w:tcPr>
            <w:tcW w:type="dxa" w:w="3389"/>
            <w:vAlign w:val="center"/>
          </w:tcPr>
          <w:p>
            <w:r>
              <w:rPr>
                <w:b w:val="0"/>
                <w:sz w:val="18"/>
              </w:rPr>
              <w:t>Customer rating</w:t>
            </w:r>
          </w:p>
        </w:tc>
        <w:tc>
          <w:tcPr>
            <w:tcW w:type="dxa" w:w="3389"/>
            <w:vAlign w:val="center"/>
          </w:tcPr>
          <w:p>
            <w:r>
              <w:rPr>
                <w:b w:val="0"/>
                <w:sz w:val="18"/>
              </w:rPr>
              <w:t>Numeric</w:t>
            </w:r>
          </w:p>
        </w:tc>
      </w:tr>
      <w:tr>
        <w:tc>
          <w:tcPr>
            <w:tcW w:type="dxa" w:w="3389"/>
            <w:vAlign w:val="center"/>
          </w:tcPr>
          <w:p>
            <w:r>
              <w:rPr>
                <w:b w:val="0"/>
                <w:sz w:val="18"/>
              </w:rPr>
              <w:t>review_count</w:t>
            </w:r>
          </w:p>
        </w:tc>
        <w:tc>
          <w:tcPr>
            <w:tcW w:type="dxa" w:w="3389"/>
            <w:vAlign w:val="center"/>
          </w:tcPr>
          <w:p>
            <w:r>
              <w:rPr>
                <w:b w:val="0"/>
                <w:sz w:val="18"/>
              </w:rPr>
              <w:t>Number of reviews</w:t>
            </w:r>
          </w:p>
        </w:tc>
        <w:tc>
          <w:tcPr>
            <w:tcW w:type="dxa" w:w="3389"/>
            <w:vAlign w:val="center"/>
          </w:tcPr>
          <w:p>
            <w:r>
              <w:rPr>
                <w:b w:val="0"/>
                <w:sz w:val="18"/>
              </w:rPr>
              <w:t>Integer</w:t>
            </w:r>
          </w:p>
        </w:tc>
      </w:tr>
      <w:tr>
        <w:tc>
          <w:tcPr>
            <w:tcW w:type="dxa" w:w="3389"/>
            <w:vAlign w:val="center"/>
          </w:tcPr>
          <w:p>
            <w:r>
              <w:rPr>
                <w:b w:val="0"/>
                <w:sz w:val="18"/>
              </w:rPr>
              <w:t>model_year</w:t>
            </w:r>
          </w:p>
        </w:tc>
        <w:tc>
          <w:tcPr>
            <w:tcW w:type="dxa" w:w="3389"/>
            <w:vAlign w:val="center"/>
          </w:tcPr>
          <w:p>
            <w:r>
              <w:rPr>
                <w:b w:val="0"/>
                <w:sz w:val="18"/>
              </w:rPr>
              <w:t>Vehicle model year</w:t>
            </w:r>
          </w:p>
        </w:tc>
        <w:tc>
          <w:tcPr>
            <w:tcW w:type="dxa" w:w="3389"/>
            <w:vAlign w:val="center"/>
          </w:tcPr>
          <w:p>
            <w:r>
              <w:rPr>
                <w:b w:val="0"/>
                <w:sz w:val="18"/>
              </w:rPr>
              <w:t>Integer</w:t>
            </w:r>
          </w:p>
        </w:tc>
      </w:tr>
    </w:tbl>
    <w:p>
      <w:pPr>
        <w:pStyle w:val="Heading1"/>
      </w:pPr>
      <w:r>
        <w:t>6. Data Cleaning</w:t>
      </w:r>
    </w:p>
    <w:p>
      <w:r>
        <w:t>The raw supplied dataset contained 500 records with no exact duplicate rows. Five missing values were present in each of the rating, number_of_colors and power_bhp fields. These numeric gaps were filled using the median of the corresponding non-missing values. Numeric fields were converted to appropriate numeric types and the cleaned dataset was saved for analysis.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Pr>
                <w:b/>
                <w:sz w:val="18"/>
              </w:rPr>
              <w:t>Cleaning Check</w:t>
            </w:r>
          </w:p>
        </w:tc>
        <w:tc>
          <w:tcPr>
            <w:tcW w:type="dxa" w:w="5083"/>
            <w:vAlign w:val="center"/>
            <w:shd w:fill="D9EAF7"/>
          </w:tcPr>
          <w:p>
            <w:r>
              <w:rPr>
                <w:b/>
                <w:sz w:val="18"/>
              </w:rPr>
              <w:t>Result / Action</w:t>
            </w:r>
          </w:p>
        </w:tc>
      </w:tr>
      <w:tr>
        <w:tc>
          <w:tcPr>
            <w:tcW w:type="dxa" w:w="5083"/>
            <w:vAlign w:val="center"/>
          </w:tcPr>
          <w:p>
            <w:r>
              <w:rPr>
                <w:b w:val="0"/>
                <w:sz w:val="18"/>
              </w:rPr>
              <w:t>Duplicate records</w:t>
            </w:r>
          </w:p>
        </w:tc>
        <w:tc>
          <w:tcPr>
            <w:tcW w:type="dxa" w:w="5083"/>
            <w:vAlign w:val="center"/>
          </w:tcPr>
          <w:p>
            <w:r>
              <w:rPr>
                <w:b w:val="0"/>
                <w:sz w:val="18"/>
              </w:rPr>
              <w:t>0 exact duplicate rows found</w:t>
            </w:r>
          </w:p>
        </w:tc>
      </w:tr>
      <w:tr>
        <w:tc>
          <w:tcPr>
            <w:tcW w:type="dxa" w:w="5083"/>
            <w:vAlign w:val="center"/>
          </w:tcPr>
          <w:p>
            <w:r>
              <w:rPr>
                <w:b w:val="0"/>
                <w:sz w:val="18"/>
              </w:rPr>
              <w:t>Missing rating</w:t>
            </w:r>
          </w:p>
        </w:tc>
        <w:tc>
          <w:tcPr>
            <w:tcW w:type="dxa" w:w="5083"/>
            <w:vAlign w:val="center"/>
          </w:tcPr>
          <w:p>
            <w:r>
              <w:rPr>
                <w:b w:val="0"/>
                <w:sz w:val="18"/>
              </w:rPr>
              <w:t>5 values; median imputation</w:t>
            </w:r>
          </w:p>
        </w:tc>
      </w:tr>
      <w:tr>
        <w:tc>
          <w:tcPr>
            <w:tcW w:type="dxa" w:w="5083"/>
            <w:vAlign w:val="center"/>
          </w:tcPr>
          <w:p>
            <w:r>
              <w:rPr>
                <w:b w:val="0"/>
                <w:sz w:val="18"/>
              </w:rPr>
              <w:t>Missing number_of_colors</w:t>
            </w:r>
          </w:p>
        </w:tc>
        <w:tc>
          <w:tcPr>
            <w:tcW w:type="dxa" w:w="5083"/>
            <w:vAlign w:val="center"/>
          </w:tcPr>
          <w:p>
            <w:r>
              <w:rPr>
                <w:b w:val="0"/>
                <w:sz w:val="18"/>
              </w:rPr>
              <w:t>5 values; median imputation</w:t>
            </w:r>
          </w:p>
        </w:tc>
      </w:tr>
      <w:tr>
        <w:tc>
          <w:tcPr>
            <w:tcW w:type="dxa" w:w="5083"/>
            <w:vAlign w:val="center"/>
          </w:tcPr>
          <w:p>
            <w:r>
              <w:rPr>
                <w:b w:val="0"/>
                <w:sz w:val="18"/>
              </w:rPr>
              <w:t>Missing power_bhp</w:t>
            </w:r>
          </w:p>
        </w:tc>
        <w:tc>
          <w:tcPr>
            <w:tcW w:type="dxa" w:w="5083"/>
            <w:vAlign w:val="center"/>
          </w:tcPr>
          <w:p>
            <w:r>
              <w:rPr>
                <w:b w:val="0"/>
                <w:sz w:val="18"/>
              </w:rPr>
              <w:t>5 values; median imputation</w:t>
            </w:r>
          </w:p>
        </w:tc>
      </w:tr>
      <w:tr>
        <w:tc>
          <w:tcPr>
            <w:tcW w:type="dxa" w:w="5083"/>
            <w:vAlign w:val="center"/>
          </w:tcPr>
          <w:p>
            <w:r>
              <w:rPr>
                <w:b w:val="0"/>
                <w:sz w:val="18"/>
              </w:rPr>
              <w:t>Invalid price/rating checks</w:t>
            </w:r>
          </w:p>
        </w:tc>
        <w:tc>
          <w:tcPr>
            <w:tcW w:type="dxa" w:w="5083"/>
            <w:vAlign w:val="center"/>
          </w:tcPr>
          <w:p>
            <w:r>
              <w:rPr>
                <w:b w:val="0"/>
                <w:sz w:val="18"/>
              </w:rPr>
              <w:t>Validated during preparation</w:t>
            </w:r>
          </w:p>
        </w:tc>
      </w:tr>
      <w:tr>
        <w:tc>
          <w:tcPr>
            <w:tcW w:type="dxa" w:w="5083"/>
            <w:vAlign w:val="center"/>
          </w:tcPr>
          <w:p>
            <w:r>
              <w:rPr>
                <w:b w:val="0"/>
                <w:sz w:val="18"/>
              </w:rPr>
              <w:t>Final cleaned records</w:t>
            </w:r>
          </w:p>
        </w:tc>
        <w:tc>
          <w:tcPr>
            <w:tcW w:type="dxa" w:w="5083"/>
            <w:vAlign w:val="center"/>
          </w:tcPr>
          <w:p>
            <w:r>
              <w:rPr>
                <w:b w:val="0"/>
                <w:sz w:val="18"/>
              </w:rPr>
              <w:t>500</w:t>
            </w:r>
          </w:p>
        </w:tc>
      </w:tr>
    </w:tbl>
    <w:p>
      <w:pPr>
        <w:pStyle w:val="Heading1"/>
      </w:pPr>
      <w:r>
        <w:t>7. Exploratory Data Analysis</w:t>
      </w:r>
    </w:p>
    <w:p>
      <w:pPr>
        <w:pStyle w:val="Heading2"/>
      </w:pPr>
      <w:r>
        <w:t>7.1 Brand Analysis</w:t>
      </w:r>
    </w:p>
    <w:p>
      <w:r>
        <w:t>Suzuki has the highest representation in the dataset with 67 records. The brand distribution shows that the dataset is not evenly distributed across manufacturers, so comparisons should be interpreted as sample-level findings.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Pr>
                <w:b/>
                <w:sz w:val="18"/>
              </w:rPr>
              <w:t>Brand</w:t>
            </w:r>
          </w:p>
        </w:tc>
        <w:tc>
          <w:tcPr>
            <w:tcW w:type="dxa" w:w="3389"/>
            <w:vAlign w:val="center"/>
            <w:shd w:fill="D9EAF7"/>
          </w:tcPr>
          <w:p>
            <w:r>
              <w:rPr>
                <w:b/>
                <w:sz w:val="18"/>
              </w:rPr>
              <w:t>Vehicle Count</w:t>
            </w:r>
          </w:p>
        </w:tc>
        <w:tc>
          <w:tcPr>
            <w:tcW w:type="dxa" w:w="3389"/>
            <w:vAlign w:val="center"/>
            <w:shd w:fill="D9EAF7"/>
          </w:tcPr>
          <w:p>
            <w:r>
              <w:rPr>
                <w:b/>
                <w:sz w:val="18"/>
              </w:rPr>
              <w:t>Avg. Ex-showroom Price</w:t>
            </w:r>
          </w:p>
        </w:tc>
      </w:tr>
      <w:tr>
        <w:tc>
          <w:tcPr>
            <w:tcW w:type="dxa" w:w="3389"/>
            <w:vAlign w:val="center"/>
          </w:tcPr>
          <w:p>
            <w:r>
              <w:rPr>
                <w:b w:val="0"/>
                <w:sz w:val="18"/>
              </w:rPr>
              <w:t>Suzuki</w:t>
            </w:r>
          </w:p>
        </w:tc>
        <w:tc>
          <w:tcPr>
            <w:tcW w:type="dxa" w:w="3389"/>
            <w:vAlign w:val="center"/>
          </w:tcPr>
          <w:p>
            <w:r>
              <w:rPr>
                <w:b w:val="0"/>
                <w:sz w:val="18"/>
              </w:rPr>
              <w:t>67</w:t>
            </w:r>
          </w:p>
        </w:tc>
        <w:tc>
          <w:tcPr>
            <w:tcW w:type="dxa" w:w="3389"/>
            <w:vAlign w:val="center"/>
          </w:tcPr>
          <w:p>
            <w:r>
              <w:rPr>
                <w:b w:val="0"/>
                <w:sz w:val="18"/>
              </w:rPr>
              <w:t>₹268,179</w:t>
            </w:r>
          </w:p>
        </w:tc>
      </w:tr>
      <w:tr>
        <w:tc>
          <w:tcPr>
            <w:tcW w:type="dxa" w:w="3389"/>
            <w:vAlign w:val="center"/>
          </w:tcPr>
          <w:p>
            <w:r>
              <w:rPr>
                <w:b w:val="0"/>
                <w:sz w:val="18"/>
              </w:rPr>
              <w:t>Hero</w:t>
            </w:r>
          </w:p>
        </w:tc>
        <w:tc>
          <w:tcPr>
            <w:tcW w:type="dxa" w:w="3389"/>
            <w:vAlign w:val="center"/>
          </w:tcPr>
          <w:p>
            <w:r>
              <w:rPr>
                <w:b w:val="0"/>
                <w:sz w:val="18"/>
              </w:rPr>
              <w:t>63</w:t>
            </w:r>
          </w:p>
        </w:tc>
        <w:tc>
          <w:tcPr>
            <w:tcW w:type="dxa" w:w="3389"/>
            <w:vAlign w:val="center"/>
          </w:tcPr>
          <w:p>
            <w:r>
              <w:rPr>
                <w:b w:val="0"/>
                <w:sz w:val="18"/>
              </w:rPr>
              <w:t>₹261,580</w:t>
            </w:r>
          </w:p>
        </w:tc>
      </w:tr>
      <w:tr>
        <w:tc>
          <w:tcPr>
            <w:tcW w:type="dxa" w:w="3389"/>
            <w:vAlign w:val="center"/>
          </w:tcPr>
          <w:p>
            <w:r>
              <w:rPr>
                <w:b w:val="0"/>
                <w:sz w:val="18"/>
              </w:rPr>
              <w:t>Royal Enfield</w:t>
            </w:r>
          </w:p>
        </w:tc>
        <w:tc>
          <w:tcPr>
            <w:tcW w:type="dxa" w:w="3389"/>
            <w:vAlign w:val="center"/>
          </w:tcPr>
          <w:p>
            <w:r>
              <w:rPr>
                <w:b w:val="0"/>
                <w:sz w:val="18"/>
              </w:rPr>
              <w:t>54</w:t>
            </w:r>
          </w:p>
        </w:tc>
        <w:tc>
          <w:tcPr>
            <w:tcW w:type="dxa" w:w="3389"/>
            <w:vAlign w:val="center"/>
          </w:tcPr>
          <w:p>
            <w:r>
              <w:rPr>
                <w:b w:val="0"/>
                <w:sz w:val="18"/>
              </w:rPr>
              <w:t>₹263,632</w:t>
            </w:r>
          </w:p>
        </w:tc>
      </w:tr>
      <w:tr>
        <w:tc>
          <w:tcPr>
            <w:tcW w:type="dxa" w:w="3389"/>
            <w:vAlign w:val="center"/>
          </w:tcPr>
          <w:p>
            <w:r>
              <w:rPr>
                <w:b w:val="0"/>
                <w:sz w:val="18"/>
              </w:rPr>
              <w:t>Honda</w:t>
            </w:r>
          </w:p>
        </w:tc>
        <w:tc>
          <w:tcPr>
            <w:tcW w:type="dxa" w:w="3389"/>
            <w:vAlign w:val="center"/>
          </w:tcPr>
          <w:p>
            <w:r>
              <w:rPr>
                <w:b w:val="0"/>
                <w:sz w:val="18"/>
              </w:rPr>
              <w:t>53</w:t>
            </w:r>
          </w:p>
        </w:tc>
        <w:tc>
          <w:tcPr>
            <w:tcW w:type="dxa" w:w="3389"/>
            <w:vAlign w:val="center"/>
          </w:tcPr>
          <w:p>
            <w:r>
              <w:rPr>
                <w:b w:val="0"/>
                <w:sz w:val="18"/>
              </w:rPr>
              <w:t>₹277,520</w:t>
            </w:r>
          </w:p>
        </w:tc>
      </w:tr>
      <w:tr>
        <w:tc>
          <w:tcPr>
            <w:tcW w:type="dxa" w:w="3389"/>
            <w:vAlign w:val="center"/>
          </w:tcPr>
          <w:p>
            <w:r>
              <w:rPr>
                <w:b w:val="0"/>
                <w:sz w:val="18"/>
              </w:rPr>
              <w:t>Yamaha</w:t>
            </w:r>
          </w:p>
        </w:tc>
        <w:tc>
          <w:tcPr>
            <w:tcW w:type="dxa" w:w="3389"/>
            <w:vAlign w:val="center"/>
          </w:tcPr>
          <w:p>
            <w:r>
              <w:rPr>
                <w:b w:val="0"/>
                <w:sz w:val="18"/>
              </w:rPr>
              <w:t>52</w:t>
            </w:r>
          </w:p>
        </w:tc>
        <w:tc>
          <w:tcPr>
            <w:tcW w:type="dxa" w:w="3389"/>
            <w:vAlign w:val="center"/>
          </w:tcPr>
          <w:p>
            <w:r>
              <w:rPr>
                <w:b w:val="0"/>
                <w:sz w:val="18"/>
              </w:rPr>
              <w:t>₹265,616</w:t>
            </w:r>
          </w:p>
        </w:tc>
      </w:tr>
      <w:tr>
        <w:tc>
          <w:tcPr>
            <w:tcW w:type="dxa" w:w="3389"/>
            <w:vAlign w:val="center"/>
          </w:tcPr>
          <w:p>
            <w:r>
              <w:rPr>
                <w:b w:val="0"/>
                <w:sz w:val="18"/>
              </w:rPr>
              <w:t>KTM</w:t>
            </w:r>
          </w:p>
        </w:tc>
        <w:tc>
          <w:tcPr>
            <w:tcW w:type="dxa" w:w="3389"/>
            <w:vAlign w:val="center"/>
          </w:tcPr>
          <w:p>
            <w:r>
              <w:rPr>
                <w:b w:val="0"/>
                <w:sz w:val="18"/>
              </w:rPr>
              <w:t>51</w:t>
            </w:r>
          </w:p>
        </w:tc>
        <w:tc>
          <w:tcPr>
            <w:tcW w:type="dxa" w:w="3389"/>
            <w:vAlign w:val="center"/>
          </w:tcPr>
          <w:p>
            <w:r>
              <w:rPr>
                <w:b w:val="0"/>
                <w:sz w:val="18"/>
              </w:rPr>
              <w:t>₹235,210</w:t>
            </w:r>
          </w:p>
        </w:tc>
      </w:tr>
      <w:tr>
        <w:tc>
          <w:tcPr>
            <w:tcW w:type="dxa" w:w="3389"/>
            <w:vAlign w:val="center"/>
          </w:tcPr>
          <w:p>
            <w:r>
              <w:rPr>
                <w:b w:val="0"/>
                <w:sz w:val="18"/>
              </w:rPr>
              <w:t>Ather</w:t>
            </w:r>
          </w:p>
        </w:tc>
        <w:tc>
          <w:tcPr>
            <w:tcW w:type="dxa" w:w="3389"/>
            <w:vAlign w:val="center"/>
          </w:tcPr>
          <w:p>
            <w:r>
              <w:rPr>
                <w:b w:val="0"/>
                <w:sz w:val="18"/>
              </w:rPr>
              <w:t>50</w:t>
            </w:r>
          </w:p>
        </w:tc>
        <w:tc>
          <w:tcPr>
            <w:tcW w:type="dxa" w:w="3389"/>
            <w:vAlign w:val="center"/>
          </w:tcPr>
          <w:p>
            <w:r>
              <w:rPr>
                <w:b w:val="0"/>
                <w:sz w:val="18"/>
              </w:rPr>
              <w:t>₹149,217</w:t>
            </w:r>
          </w:p>
        </w:tc>
      </w:tr>
      <w:tr>
        <w:tc>
          <w:tcPr>
            <w:tcW w:type="dxa" w:w="3389"/>
            <w:vAlign w:val="center"/>
          </w:tcPr>
          <w:p>
            <w:r>
              <w:rPr>
                <w:b w:val="0"/>
                <w:sz w:val="18"/>
              </w:rPr>
              <w:t>Bajaj</w:t>
            </w:r>
          </w:p>
        </w:tc>
        <w:tc>
          <w:tcPr>
            <w:tcW w:type="dxa" w:w="3389"/>
            <w:vAlign w:val="center"/>
          </w:tcPr>
          <w:p>
            <w:r>
              <w:rPr>
                <w:b w:val="0"/>
                <w:sz w:val="18"/>
              </w:rPr>
              <w:t>42</w:t>
            </w:r>
          </w:p>
        </w:tc>
        <w:tc>
          <w:tcPr>
            <w:tcW w:type="dxa" w:w="3389"/>
            <w:vAlign w:val="center"/>
          </w:tcPr>
          <w:p>
            <w:r>
              <w:rPr>
                <w:b w:val="0"/>
                <w:sz w:val="18"/>
              </w:rPr>
              <w:t>₹270,292</w:t>
            </w:r>
          </w:p>
        </w:tc>
      </w:tr>
      <w:tr>
        <w:tc>
          <w:tcPr>
            <w:tcW w:type="dxa" w:w="3389"/>
            <w:vAlign w:val="center"/>
          </w:tcPr>
          <w:p>
            <w:r>
              <w:rPr>
                <w:b w:val="0"/>
                <w:sz w:val="18"/>
              </w:rPr>
              <w:t>Ola</w:t>
            </w:r>
          </w:p>
        </w:tc>
        <w:tc>
          <w:tcPr>
            <w:tcW w:type="dxa" w:w="3389"/>
            <w:vAlign w:val="center"/>
          </w:tcPr>
          <w:p>
            <w:r>
              <w:rPr>
                <w:b w:val="0"/>
                <w:sz w:val="18"/>
              </w:rPr>
              <w:t>37</w:t>
            </w:r>
          </w:p>
        </w:tc>
        <w:tc>
          <w:tcPr>
            <w:tcW w:type="dxa" w:w="3389"/>
            <w:vAlign w:val="center"/>
          </w:tcPr>
          <w:p>
            <w:r>
              <w:rPr>
                <w:b w:val="0"/>
                <w:sz w:val="18"/>
              </w:rPr>
              <w:t>₹158,862</w:t>
            </w:r>
          </w:p>
        </w:tc>
      </w:tr>
      <w:tr>
        <w:tc>
          <w:tcPr>
            <w:tcW w:type="dxa" w:w="3389"/>
            <w:vAlign w:val="center"/>
          </w:tcPr>
          <w:p>
            <w:r>
              <w:rPr>
                <w:b w:val="0"/>
                <w:sz w:val="18"/>
              </w:rPr>
              <w:t>TVS</w:t>
            </w:r>
          </w:p>
        </w:tc>
        <w:tc>
          <w:tcPr>
            <w:tcW w:type="dxa" w:w="3389"/>
            <w:vAlign w:val="center"/>
          </w:tcPr>
          <w:p>
            <w:r>
              <w:rPr>
                <w:b w:val="0"/>
                <w:sz w:val="18"/>
              </w:rPr>
              <w:t>31</w:t>
            </w:r>
          </w:p>
        </w:tc>
        <w:tc>
          <w:tcPr>
            <w:tcW w:type="dxa" w:w="3389"/>
            <w:vAlign w:val="center"/>
          </w:tcPr>
          <w:p>
            <w:r>
              <w:rPr>
                <w:b w:val="0"/>
                <w:sz w:val="18"/>
              </w:rPr>
              <w:t>₹246,401</w:t>
            </w:r>
          </w:p>
        </w:tc>
      </w:tr>
    </w:tbl>
    <w:p>
      <w:pPr>
        <w:pStyle w:val="Heading2"/>
      </w:pPr>
      <w:r>
        <w:t>7.2 Fuel Type Analysis</w:t>
      </w:r>
    </w:p>
    <w:p>
      <w:r>
        <w:t>There are 413 petrol records (82.6%) and 87 electric records (17.4%). Petrol vehicles therefore form the majority of the supplied sample.</w:t>
      </w:r>
    </w:p>
    <w:p>
      <w:pPr>
        <w:pStyle w:val="Heading2"/>
      </w:pPr>
      <w:r>
        <w:t>7.3 Price Analysis</w:t>
      </w:r>
    </w:p>
    <w:p>
      <w:r>
        <w:t>The average ex-showroom price is ₹243,059, while the average on-road price is ₹282,119. The highest average ex-showroom price among brands in this dataset is recorded for Honda, at about ₹277,520.</w:t>
      </w:r>
    </w:p>
    <w:p>
      <w:pPr>
        <w:pStyle w:val="Heading2"/>
      </w:pPr>
      <w:r>
        <w:t>7.4 Customer Rating Analysis</w:t>
      </w:r>
    </w:p>
    <w:p>
      <w:r>
        <w:t>The average customer rating is 4.10/5. The brand with the highest average rating in this sample is KTM at approximately 4.28/5.</w:t>
      </w:r>
    </w:p>
    <w:p>
      <w:pPr>
        <w:pStyle w:val="Heading2"/>
      </w:pPr>
      <w:r>
        <w:t>7.5 City Analysis</w:t>
      </w:r>
    </w:p>
    <w:p>
      <w:r>
        <w:t>Jaipur has the highest number of records with 59. City-level analysis can be used to compare product presence across markets.</w:t>
      </w:r>
    </w:p>
    <w:p>
      <w:pPr>
        <w:pStyle w:val="Heading1"/>
      </w:pPr>
      <w:r>
        <w:t>8. Data Visualization</w:t>
      </w:r>
    </w:p>
    <w:p>
      <w:pPr>
        <w:pStyle w:val="Heading2"/>
      </w:pPr>
      <w:r>
        <w:t>8.1 Brand Distribution</w:t>
      </w:r>
    </w:p>
    <w:p>
      <w:r>
        <w:drawing>
          <wp:inline xmlns:a="http://schemas.openxmlformats.org/drawingml/2006/main" xmlns:pic="http://schemas.openxmlformats.org/drawingml/2006/picture">
            <wp:extent cx="5760720" cy="3308414"/>
            <wp:docPr id="1" name="Picture 1"/>
            <wp:cNvGraphicFramePr>
              <a:graphicFrameLocks noChangeAspect="1"/>
            </wp:cNvGraphicFramePr>
            <a:graphic>
              <a:graphicData uri="http://schemas.openxmlformats.org/drawingml/2006/picture">
                <pic:pic>
                  <pic:nvPicPr>
                    <pic:cNvPr id="0" name="brand_count.png"/>
                    <pic:cNvPicPr/>
                  </pic:nvPicPr>
                  <pic:blipFill>
                    <a:blip r:embed="rId9"/>
                    <a:stretch>
                      <a:fillRect/>
                    </a:stretch>
                  </pic:blipFill>
                  <pic:spPr>
                    <a:xfrm>
                      <a:off x="0" y="0"/>
                      <a:ext cx="5760720" cy="3308414"/>
                    </a:xfrm>
                    <a:prstGeom prst="rect"/>
                  </pic:spPr>
                </pic:pic>
              </a:graphicData>
            </a:graphic>
          </wp:inline>
        </w:drawing>
      </w:r>
    </w:p>
    <w:p>
      <w:pPr>
        <w:jc w:val="center"/>
      </w:pPr>
      <w:r>
        <w:t>Figure 1. Number of vehicle records by brand.</w:t>
      </w:r>
    </w:p>
    <w:p>
      <w:pPr>
        <w:pStyle w:val="Heading2"/>
      </w:pPr>
      <w:r>
        <w:t>8.2 Fuel Type Distribution</w:t>
      </w:r>
    </w:p>
    <w:p>
      <w:r>
        <w:drawing>
          <wp:inline xmlns:a="http://schemas.openxmlformats.org/drawingml/2006/main" xmlns:pic="http://schemas.openxmlformats.org/drawingml/2006/picture">
            <wp:extent cx="5760720" cy="3988191"/>
            <wp:docPr id="2" name="Picture 2"/>
            <wp:cNvGraphicFramePr>
              <a:graphicFrameLocks noChangeAspect="1"/>
            </wp:cNvGraphicFramePr>
            <a:graphic>
              <a:graphicData uri="http://schemas.openxmlformats.org/drawingml/2006/picture">
                <pic:pic>
                  <pic:nvPicPr>
                    <pic:cNvPr id="0" name="fuel_pie.png"/>
                    <pic:cNvPicPr/>
                  </pic:nvPicPr>
                  <pic:blipFill>
                    <a:blip r:embed="rId10"/>
                    <a:stretch>
                      <a:fillRect/>
                    </a:stretch>
                  </pic:blipFill>
                  <pic:spPr>
                    <a:xfrm>
                      <a:off x="0" y="0"/>
                      <a:ext cx="5760720" cy="3988191"/>
                    </a:xfrm>
                    <a:prstGeom prst="rect"/>
                  </pic:spPr>
                </pic:pic>
              </a:graphicData>
            </a:graphic>
          </wp:inline>
        </w:drawing>
      </w:r>
    </w:p>
    <w:p>
      <w:pPr>
        <w:jc w:val="center"/>
      </w:pPr>
      <w:r>
        <w:t>Figure 2. Petrol versus electric vehicle distribution.</w:t>
      </w:r>
    </w:p>
    <w:p>
      <w:pPr>
        <w:pStyle w:val="Heading2"/>
      </w:pPr>
      <w:r>
        <w:t>8.3 Average Price by Brand</w:t>
      </w:r>
    </w:p>
    <w:p>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avg_price_brand.png"/>
                    <pic:cNvPicPr/>
                  </pic:nvPicPr>
                  <pic:blipFill>
                    <a:blip r:embed="rId11"/>
                    <a:stretch>
                      <a:fillRect/>
                    </a:stretch>
                  </pic:blipFill>
                  <pic:spPr>
                    <a:xfrm>
                      <a:off x="0" y="0"/>
                      <a:ext cx="5760720" cy="3456432"/>
                    </a:xfrm>
                    <a:prstGeom prst="rect"/>
                  </pic:spPr>
                </pic:pic>
              </a:graphicData>
            </a:graphic>
          </wp:inline>
        </w:drawing>
      </w:r>
    </w:p>
    <w:p>
      <w:pPr>
        <w:jc w:val="center"/>
      </w:pPr>
      <w:r>
        <w:t>Figure 3. Average ex-showroom price by brand.</w:t>
      </w:r>
    </w:p>
    <w:p>
      <w:pPr>
        <w:pStyle w:val="Heading2"/>
      </w:pPr>
      <w:r>
        <w:t>8.4 Price versus Rating</w:t>
      </w:r>
    </w:p>
    <w:p>
      <w:r>
        <w:drawing>
          <wp:inline xmlns:a="http://schemas.openxmlformats.org/drawingml/2006/main" xmlns:pic="http://schemas.openxmlformats.org/drawingml/2006/picture">
            <wp:extent cx="5760720" cy="3703320"/>
            <wp:docPr id="4" name="Picture 4"/>
            <wp:cNvGraphicFramePr>
              <a:graphicFrameLocks noChangeAspect="1"/>
            </wp:cNvGraphicFramePr>
            <a:graphic>
              <a:graphicData uri="http://schemas.openxmlformats.org/drawingml/2006/picture">
                <pic:pic>
                  <pic:nvPicPr>
                    <pic:cNvPr id="0" name="price_rating.png"/>
                    <pic:cNvPicPr/>
                  </pic:nvPicPr>
                  <pic:blipFill>
                    <a:blip r:embed="rId12"/>
                    <a:stretch>
                      <a:fillRect/>
                    </a:stretch>
                  </pic:blipFill>
                  <pic:spPr>
                    <a:xfrm>
                      <a:off x="0" y="0"/>
                      <a:ext cx="5760720" cy="3703320"/>
                    </a:xfrm>
                    <a:prstGeom prst="rect"/>
                  </pic:spPr>
                </pic:pic>
              </a:graphicData>
            </a:graphic>
          </wp:inline>
        </w:drawing>
      </w:r>
    </w:p>
    <w:p>
      <w:pPr>
        <w:jc w:val="center"/>
      </w:pPr>
      <w:r>
        <w:t>Figure 4. Relationship between ex-showroom price and customer rating.</w:t>
      </w:r>
    </w:p>
    <w:p>
      <w:pPr>
        <w:pStyle w:val="Heading1"/>
      </w:pPr>
      <w:r>
        <w:t>9. Dashboard Design</w:t>
      </w:r>
    </w:p>
    <w:p>
      <w:r>
        <w:t>The cleaned dataset is suitable for a Power BI, Excel or Streamlit dashboard. Recommended KPI cards are Total Vehicles, Average Ex-showroom Price, Average On-road Price, Average Rating and Electric Vehicle Count. Recommended filters are Brand, Vehicle Type, Fuel Type, City and Model Year.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Pr>
                <w:b/>
                <w:sz w:val="18"/>
              </w:rPr>
              <w:t>Dashboard Component</w:t>
            </w:r>
          </w:p>
        </w:tc>
        <w:tc>
          <w:tcPr>
            <w:tcW w:type="dxa" w:w="5083"/>
            <w:vAlign w:val="center"/>
            <w:shd w:fill="D9EAF7"/>
          </w:tcPr>
          <w:p>
            <w:r>
              <w:rPr>
                <w:b/>
                <w:sz w:val="18"/>
              </w:rPr>
              <w:t>Recommended Measure</w:t>
            </w:r>
          </w:p>
        </w:tc>
      </w:tr>
      <w:tr>
        <w:tc>
          <w:tcPr>
            <w:tcW w:type="dxa" w:w="5083"/>
            <w:vAlign w:val="center"/>
          </w:tcPr>
          <w:p>
            <w:r>
              <w:rPr>
                <w:b w:val="0"/>
                <w:sz w:val="18"/>
              </w:rPr>
              <w:t>KPI Card</w:t>
            </w:r>
          </w:p>
        </w:tc>
        <w:tc>
          <w:tcPr>
            <w:tcW w:type="dxa" w:w="5083"/>
            <w:vAlign w:val="center"/>
          </w:tcPr>
          <w:p>
            <w:r>
              <w:rPr>
                <w:b w:val="0"/>
                <w:sz w:val="18"/>
              </w:rPr>
              <w:t>Total vehicles = 500</w:t>
            </w:r>
          </w:p>
        </w:tc>
      </w:tr>
      <w:tr>
        <w:tc>
          <w:tcPr>
            <w:tcW w:type="dxa" w:w="5083"/>
            <w:vAlign w:val="center"/>
          </w:tcPr>
          <w:p>
            <w:r>
              <w:rPr>
                <w:b w:val="0"/>
                <w:sz w:val="18"/>
              </w:rPr>
              <w:t>KPI Card</w:t>
            </w:r>
          </w:p>
        </w:tc>
        <w:tc>
          <w:tcPr>
            <w:tcW w:type="dxa" w:w="5083"/>
            <w:vAlign w:val="center"/>
          </w:tcPr>
          <w:p>
            <w:r>
              <w:rPr>
                <w:b w:val="0"/>
                <w:sz w:val="18"/>
              </w:rPr>
              <w:t>Average ex-showroom price = ₹243,059</w:t>
            </w:r>
          </w:p>
        </w:tc>
      </w:tr>
      <w:tr>
        <w:tc>
          <w:tcPr>
            <w:tcW w:type="dxa" w:w="5083"/>
            <w:vAlign w:val="center"/>
          </w:tcPr>
          <w:p>
            <w:r>
              <w:rPr>
                <w:b w:val="0"/>
                <w:sz w:val="18"/>
              </w:rPr>
              <w:t>KPI Card</w:t>
            </w:r>
          </w:p>
        </w:tc>
        <w:tc>
          <w:tcPr>
            <w:tcW w:type="dxa" w:w="5083"/>
            <w:vAlign w:val="center"/>
          </w:tcPr>
          <w:p>
            <w:r>
              <w:rPr>
                <w:b w:val="0"/>
                <w:sz w:val="18"/>
              </w:rPr>
              <w:t>Average rating = 4.10/5</w:t>
            </w:r>
          </w:p>
        </w:tc>
      </w:tr>
      <w:tr>
        <w:tc>
          <w:tcPr>
            <w:tcW w:type="dxa" w:w="5083"/>
            <w:vAlign w:val="center"/>
          </w:tcPr>
          <w:p>
            <w:r>
              <w:rPr>
                <w:b w:val="0"/>
                <w:sz w:val="18"/>
              </w:rPr>
              <w:t>KPI Card</w:t>
            </w:r>
          </w:p>
        </w:tc>
        <w:tc>
          <w:tcPr>
            <w:tcW w:type="dxa" w:w="5083"/>
            <w:vAlign w:val="center"/>
          </w:tcPr>
          <w:p>
            <w:r>
              <w:rPr>
                <w:b w:val="0"/>
                <w:sz w:val="18"/>
              </w:rPr>
              <w:t>Electric vehicles = 87</w:t>
            </w:r>
          </w:p>
        </w:tc>
      </w:tr>
      <w:tr>
        <w:tc>
          <w:tcPr>
            <w:tcW w:type="dxa" w:w="5083"/>
            <w:vAlign w:val="center"/>
          </w:tcPr>
          <w:p>
            <w:r>
              <w:rPr>
                <w:b w:val="0"/>
                <w:sz w:val="18"/>
              </w:rPr>
              <w:t>Bar chart</w:t>
            </w:r>
          </w:p>
        </w:tc>
        <w:tc>
          <w:tcPr>
            <w:tcW w:type="dxa" w:w="5083"/>
            <w:vAlign w:val="center"/>
          </w:tcPr>
          <w:p>
            <w:r>
              <w:rPr>
                <w:b w:val="0"/>
                <w:sz w:val="18"/>
              </w:rPr>
              <w:t>Vehicle count by brand</w:t>
            </w:r>
          </w:p>
        </w:tc>
      </w:tr>
      <w:tr>
        <w:tc>
          <w:tcPr>
            <w:tcW w:type="dxa" w:w="5083"/>
            <w:vAlign w:val="center"/>
          </w:tcPr>
          <w:p>
            <w:r>
              <w:rPr>
                <w:b w:val="0"/>
                <w:sz w:val="18"/>
              </w:rPr>
              <w:t>Donut/Pie chart</w:t>
            </w:r>
          </w:p>
        </w:tc>
        <w:tc>
          <w:tcPr>
            <w:tcW w:type="dxa" w:w="5083"/>
            <w:vAlign w:val="center"/>
          </w:tcPr>
          <w:p>
            <w:r>
              <w:rPr>
                <w:b w:val="0"/>
                <w:sz w:val="18"/>
              </w:rPr>
              <w:t>Petrol versus electric</w:t>
            </w:r>
          </w:p>
        </w:tc>
      </w:tr>
      <w:tr>
        <w:tc>
          <w:tcPr>
            <w:tcW w:type="dxa" w:w="5083"/>
            <w:vAlign w:val="center"/>
          </w:tcPr>
          <w:p>
            <w:r>
              <w:rPr>
                <w:b w:val="0"/>
                <w:sz w:val="18"/>
              </w:rPr>
              <w:t>Bar chart</w:t>
            </w:r>
          </w:p>
        </w:tc>
        <w:tc>
          <w:tcPr>
            <w:tcW w:type="dxa" w:w="5083"/>
            <w:vAlign w:val="center"/>
          </w:tcPr>
          <w:p>
            <w:r>
              <w:rPr>
                <w:b w:val="0"/>
                <w:sz w:val="18"/>
              </w:rPr>
              <w:t>Average price by brand</w:t>
            </w:r>
          </w:p>
        </w:tc>
      </w:tr>
      <w:tr>
        <w:tc>
          <w:tcPr>
            <w:tcW w:type="dxa" w:w="5083"/>
            <w:vAlign w:val="center"/>
          </w:tcPr>
          <w:p>
            <w:r>
              <w:rPr>
                <w:b w:val="0"/>
                <w:sz w:val="18"/>
              </w:rPr>
              <w:t>Scatter plot</w:t>
            </w:r>
          </w:p>
        </w:tc>
        <w:tc>
          <w:tcPr>
            <w:tcW w:type="dxa" w:w="5083"/>
            <w:vAlign w:val="center"/>
          </w:tcPr>
          <w:p>
            <w:r>
              <w:rPr>
                <w:b w:val="0"/>
                <w:sz w:val="18"/>
              </w:rPr>
              <w:t>Price versus rating</w:t>
            </w:r>
          </w:p>
        </w:tc>
      </w:tr>
      <w:tr>
        <w:tc>
          <w:tcPr>
            <w:tcW w:type="dxa" w:w="5083"/>
            <w:vAlign w:val="center"/>
          </w:tcPr>
          <w:p>
            <w:r>
              <w:rPr>
                <w:b w:val="0"/>
                <w:sz w:val="18"/>
              </w:rPr>
              <w:t>Filter</w:t>
            </w:r>
          </w:p>
        </w:tc>
        <w:tc>
          <w:tcPr>
            <w:tcW w:type="dxa" w:w="5083"/>
            <w:vAlign w:val="center"/>
          </w:tcPr>
          <w:p>
            <w:r>
              <w:rPr>
                <w:b w:val="0"/>
                <w:sz w:val="18"/>
              </w:rPr>
              <w:t>Brand / Fuel / City / Vehicle type / Model year</w:t>
            </w:r>
          </w:p>
        </w:tc>
      </w:tr>
    </w:tbl>
    <w:p>
      <w:pPr>
        <w:pStyle w:val="Heading1"/>
      </w:pPr>
      <w:r>
        <w:t>10. Business Insights</w:t>
      </w:r>
    </w:p>
    <w:p>
      <w:pPr>
        <w:pStyle w:val="ListBullet"/>
      </w:pPr>
      <w:r>
        <w:t>Suzuki has the highest number of records in the supplied sample.</w:t>
      </w:r>
    </w:p>
    <w:p>
      <w:pPr>
        <w:pStyle w:val="ListBullet"/>
      </w:pPr>
      <w:r>
        <w:t>Petrol vehicles dominate the sample, while electric vehicles represent a smaller but meaningful segment.</w:t>
      </w:r>
    </w:p>
    <w:p>
      <w:pPr>
        <w:pStyle w:val="ListBullet"/>
      </w:pPr>
      <w:r>
        <w:t>The overall average ex-showroom price is around ₹243,059, providing a useful benchmark for segmentation.</w:t>
      </w:r>
    </w:p>
    <w:p>
      <w:pPr>
        <w:pStyle w:val="ListBullet"/>
      </w:pPr>
      <w:r>
        <w:t>Honda has the highest average price among represented brands in this dataset.</w:t>
      </w:r>
    </w:p>
    <w:p>
      <w:pPr>
        <w:pStyle w:val="ListBullet"/>
      </w:pPr>
      <w:r>
        <w:t>Customer ratings average 4.10/5 and can be combined with review counts to assess customer engagement.</w:t>
      </w:r>
    </w:p>
    <w:p>
      <w:pPr>
        <w:pStyle w:val="ListBullet"/>
      </w:pPr>
      <w:r>
        <w:t>City-level distribution indicates that market presence varies by location, supporting city-specific marketing analysis.</w:t>
      </w:r>
    </w:p>
    <w:p>
      <w:pPr>
        <w:pStyle w:val="Heading1"/>
      </w:pPr>
      <w:r>
        <w:t>11. Business Recommendations</w:t>
      </w:r>
    </w:p>
    <w:p>
      <w:pPr>
        <w:pStyle w:val="ListNumber"/>
      </w:pPr>
      <w:r>
        <w:t>Segment vehicles into budget, mid-range and premium price bands for clearer competitive analysis.</w:t>
      </w:r>
    </w:p>
    <w:p>
      <w:pPr>
        <w:pStyle w:val="ListNumber"/>
      </w:pPr>
      <w:r>
        <w:t>Use customer ratings together with review counts so that a high score with very few reviews is not treated as stronger evidence than a well-reviewed model.</w:t>
      </w:r>
    </w:p>
    <w:p>
      <w:pPr>
        <w:pStyle w:val="ListNumber"/>
      </w:pPr>
      <w:r>
        <w:t>Evaluate electric vehicles separately on price and range because their performance metric differs from petrol mileage.</w:t>
      </w:r>
    </w:p>
    <w:p>
      <w:pPr>
        <w:pStyle w:val="ListNumber"/>
      </w:pPr>
      <w:r>
        <w:t>Use city-wise patterns to plan localized campaigns, inventory and dealership priorities.</w:t>
      </w:r>
    </w:p>
    <w:p>
      <w:pPr>
        <w:pStyle w:val="ListNumber"/>
      </w:pPr>
      <w:r>
        <w:t>Track competitor prices over time to detect pricing opportunities and changes in market positioning.</w:t>
      </w:r>
    </w:p>
    <w:p>
      <w:pPr>
        <w:pStyle w:val="ListNumber"/>
      </w:pPr>
      <w:r>
        <w:t>Build an interactive dashboard so decision-makers can filter the analysis by brand, fuel type, city and model year.</w:t>
      </w:r>
    </w:p>
    <w:p>
      <w:pPr>
        <w:pStyle w:val="Heading1"/>
      </w:pPr>
      <w:r>
        <w:t>12. Final Project Deliverables</w:t>
      </w:r>
    </w:p>
    <w:p>
      <w:r>
        <w:t>✓ Python Web Scraping Script</w:t>
      </w:r>
    </w:p>
    <w:p>
      <w:r>
        <w:t>✓ Raw Dataset</w:t>
      </w:r>
    </w:p>
    <w:p>
      <w:r>
        <w:t>✓ Cleaned &amp; Structured Dataset</w:t>
      </w:r>
    </w:p>
    <w:p>
      <w:r>
        <w:t>✓ Data Dictionary</w:t>
      </w:r>
    </w:p>
    <w:p>
      <w:r>
        <w:t>✓ Data Cleaning Documentation</w:t>
      </w:r>
    </w:p>
    <w:p>
      <w:r>
        <w:t>✓ EDA Notebook</w:t>
      </w:r>
    </w:p>
    <w:p>
      <w:r>
        <w:t>✓ Visualizations</w:t>
      </w:r>
    </w:p>
    <w:p>
      <w:r>
        <w:t>✓ Dashboard</w:t>
      </w:r>
    </w:p>
    <w:p>
      <w:r>
        <w:t>✓ Business Insights &amp; Recommendations</w:t>
      </w:r>
    </w:p>
    <w:p>
      <w:r>
        <w:t>✓ Final Report / Presentation</w:t>
      </w:r>
    </w:p>
    <w:p>
      <w:pPr>
        <w:pStyle w:val="Heading1"/>
      </w:pPr>
      <w:r>
        <w:t>13. Limitations</w:t>
      </w:r>
    </w:p>
    <w:p>
      <w:r>
        <w:t>The supplied dataset is used as the project dataset and should not be described as a verified live snapshot of BikeWale. The current web page structure, available fields and access rules may change. Therefore, the scraping code in this report is a framework with placeholders rather than a claim that the exact current BikeWale selectors were executed.</w:t>
      </w:r>
    </w:p>
    <w:p>
      <w:pPr>
        <w:pStyle w:val="Heading1"/>
      </w:pPr>
      <w:r>
        <w:t>14. Conclusion</w:t>
      </w:r>
    </w:p>
    <w:p>
      <w:r>
        <w:t>The BikeWale Vehicle Market Analysis project demonstrates a complete end-to-end analytics workflow using a 500-record, 17-field vehicle dataset. Data preparation identified and resolved missing numeric values, after which EDA highlighted differences in brand representation, fuel type, pricing, ratings and city distribution. Visualizations make these patterns easier to communicate, while the dashboard design converts them into a decision-support tool. The project can be extended through additional permitted data collection, historical snapshots and predictive analytics.</w:t>
      </w:r>
    </w:p>
    <w:p>
      <w:pPr>
        <w:pStyle w:val="Heading1"/>
      </w:pPr>
      <w:r>
        <w:t>Appendix A – Key Python Libraries</w:t>
      </w:r>
    </w:p>
    <w:p>
      <w:r>
        <w:t>Requests, BeautifulSoup, Pandas and NumPy for collection/preparation; Matplotlib for visualization; and Power BI, Excel or Streamlit for dashboarding.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BikeWale Vehicle Market Analysis | K. Uday Kiran Reddy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