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IEnumerable&lt;logicProject.Models.EF.FavOrderDetails&gt;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ViewBag.Title = "FavOrderDetails";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&lt;h2&gt;FavOrderDetails&lt;/h2&gt;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&lt;table class="table table-bordered table-responsive"&gt;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&lt;th&gt;Product Description&lt;/th&gt;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&lt;th&gt;Unit of Measure&lt;/th&gt;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&lt;th&gt;Quantity&lt;/th&gt;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@foreach (var a in Model)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&lt;td&gt;@a.Product.Description&lt;/td&gt;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&lt;td&gt;@a.Product.Unit&lt;/td&gt;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&lt;td&gt;@a.FavQty&lt;/td&gt;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@Html.ActionLink("Back to List", "ViewFaveOrder")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&lt;/div&gt;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