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@using logicProject.Models.EF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ViewBag.Title = "StockCardDetails";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var supplierproduct = (List&lt;SupplierProduct&gt;)ViewData["supplierproduct"];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var stockcarddetails = (List&lt;StockTransaction&gt;)ViewData["stockcarddetails"];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&lt;h2&gt;Stock Card Details&lt;/h2&gt;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&lt;dl class="dl-horizontal"&gt;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@Html.DisplayNameFor(model =&gt; model.ProductId)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&lt;/dt&gt;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&lt;dd&gt;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@Html.DisplayFor(model =&gt; model.ProductId)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&lt;/dd&gt;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&lt;dt&gt;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@Html.DisplayNameFor(model =&gt; model.Description)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&lt;/dt&gt;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&lt;dd&gt;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@Html.DisplayFor(model =&gt; model.Description)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&lt;/dd&gt;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&lt;dt&gt;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@Html.DisplayNameFor(model =&gt; model.Bin)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&lt;/dt&gt;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&lt;dd&gt;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@Html.DisplayFor(model =&gt; model.Bin)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&lt;/dd&gt;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&lt;dt&gt;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@Html.DisplayNameFor(model =&gt; model.Unit)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&lt;/dt&gt;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&lt;dd&gt;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@Html.DisplayFor(model =&gt; model.Unit)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&lt;/dd&gt;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&lt;/dl&gt;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&lt;p&gt;Supplier : 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@foreach (var item in supplierproduct)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&lt;li&gt;@Html.DisplayFor(mod =&gt; item.SupplierId)&lt;/li&gt;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Qty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Total Balance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@foreach (var item in stockcarddetails)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@Html.DisplayFor(mod =&gt; item.TranDate)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@Html.DisplayFor(mod =&gt; item.Qty)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@Html.DisplayFor(mod =&gt; item.TotalBalance)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@Html.ActionLink("Back to List", "ProductDetails", new { category = Model.Category })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