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ViewBag.Title = "RequestApproval";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&lt;h2&gt;Approval Form&lt;/h2&gt;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@using (Html.BeginForm("RequestApproval","ApproveRequest",FormMethod.Post))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&lt;table class="table table-bordered table-responsive"&gt;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&lt;th&gt;Description&lt;/th&gt;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&lt;th&gt;Quantity&lt;/th&gt;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&lt;th&gt;Unit of Measure&lt;/th&gt;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@foreach (var a in Model)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&lt;td&gt;@a.Product.Description&lt;/td&gt;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&lt;td&gt;@a.ReqQty&lt;/td&gt;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&lt;td&gt;@a.Product.Unit&lt;/td&gt;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&lt;p&gt;Remarks:@Html.TextArea("remarks",null,new{@class="form-control"})&lt;/p&gt;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&lt;input type="submit" name ="approve" value="Approve" class="btn-app"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&lt;input type="submit" name="reject" value="Reject" class="btn-reject"/&gt;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.btn-app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background-color: green;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padding: 15px 32px;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text-align: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text-decoration: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display: inline-block;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font-size: 16px;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border-radius: 12px;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.btn-reject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background-color: red;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border: none;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white;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padding: 15px 32px;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text-align: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text-decoration: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display: inline-block;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font-size: 16px;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border-radius: 12px;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&lt;/style&gt;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