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Analytical Problem Solving capabilities</w:t>
        <w:br/>
        <w:br/>
        <w:t xml:space="preserve">    Interpersonal and consultative skills</w:t>
        <w:br/>
        <w:br/>
        <w:t xml:space="preserve">    Oral and written communication proficiency</w:t>
        <w:br/>
        <w:br/>
        <w:t xml:space="preserve">    Creative Outlook</w:t>
        <w:br/>
        <w:br/>
        <w:t xml:space="preserve">    Basic software knowledge and skills</w:t>
        <w:br/>
        <w:br/>
        <w:t xml:space="preserve">    Basic programing language knowledge</w:t>
        <w:br/>
        <w:br/>
        <w:t xml:space="preserve">    Understanding of Databases and Networks</w:t>
        <w:br/>
        <w:br/>
        <w:t xml:space="preserve">    Industry knowledge</w:t>
        <w:br/>
        <w:br/>
        <w:t xml:space="preserve">    Business structure understanding</w:t>
        <w:br/>
        <w:br/>
        <w:t xml:space="preserve">    Knowledge of Relevant Tools</w:t>
        <w:br/>
        <w:br/>
        <w:t xml:space="preserve">    Stakeholder Analysis</w:t>
        <w:br/>
        <w:br/>
        <w:t xml:space="preserve">    Cost-Benefit Analysis</w:t>
        <w:br/>
        <w:br/>
        <w:t xml:space="preserve">    Requirements Engineering</w:t>
        <w:br/>
        <w:br/>
        <w:t xml:space="preserve">    Process Modeling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