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endara-university-campus-overview"/>
    <w:p>
      <w:pPr>
        <w:pStyle w:val="Heading1"/>
      </w:pPr>
      <w:r>
        <w:t xml:space="preserve">Cendara University Campus Overview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Founded in 1972, Cendara University spans a 180-acre campus nestled on the eastern edge of Windham City. The campus combines modern innovation with a respect for natural landscapes, offering an environment conducive to academic excellence and community engagement.</w:t>
      </w:r>
    </w:p>
    <w:p>
      <w:r>
        <w:pict>
          <v:rect style="width:0;height:1.5pt" o:hralign="center" o:hrstd="t" o:hr="t"/>
        </w:pict>
      </w:r>
    </w:p>
    <w:bookmarkEnd w:id="20"/>
    <w:bookmarkStart w:id="28" w:name="physical-description-of-facilities"/>
    <w:p>
      <w:pPr>
        <w:pStyle w:val="Heading2"/>
      </w:pPr>
      <w:r>
        <w:t xml:space="preserve">Physical Description of Facilities</w:t>
      </w:r>
    </w:p>
    <w:bookmarkStart w:id="21" w:name="academic-buildings"/>
    <w:p>
      <w:pPr>
        <w:pStyle w:val="Heading3"/>
      </w:pPr>
      <w:r>
        <w:t xml:space="preserve">Academic Buildings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Morgan Academic Complex</w:t>
      </w:r>
      <w:r>
        <w:br/>
      </w:r>
      <w:r>
        <w:rPr>
          <w:iCs/>
          <w:i/>
        </w:rPr>
        <w:t xml:space="preserve">Constructed:</w:t>
      </w:r>
      <w:r>
        <w:t xml:space="preserve"> </w:t>
      </w:r>
      <w:r>
        <w:t xml:space="preserve">1974, Renovated 2017</w:t>
      </w:r>
      <w:r>
        <w:br/>
      </w:r>
      <w:r>
        <w:rPr>
          <w:iCs/>
          <w:i/>
        </w:rPr>
        <w:t xml:space="preserve">Description:</w:t>
      </w:r>
      <w:r>
        <w:t xml:space="preserve"> </w:t>
      </w:r>
      <w:r>
        <w:t xml:space="preserve">Three interconnected wings house 60 classrooms, 7 computer labs, and 15 faculty offices. The complex supports the College of Arts &amp; Humanities and features multimedia-enabled lecture halls (maximum capacity: 250 students each).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Rosenfeld Science Center</w:t>
      </w:r>
      <w:r>
        <w:br/>
      </w:r>
      <w:r>
        <w:rPr>
          <w:iCs/>
          <w:i/>
        </w:rPr>
        <w:t xml:space="preserve">Constructed:</w:t>
      </w:r>
      <w:r>
        <w:t xml:space="preserve"> </w:t>
      </w:r>
      <w:r>
        <w:t xml:space="preserve">1983, Expanded 2015</w:t>
      </w:r>
      <w:r>
        <w:br/>
      </w:r>
      <w:r>
        <w:rPr>
          <w:iCs/>
          <w:i/>
        </w:rPr>
        <w:t xml:space="preserve">Description:</w:t>
      </w:r>
      <w:r>
        <w:t xml:space="preserve"> </w:t>
      </w:r>
      <w:r>
        <w:t xml:space="preserve">A four-story structure dedicated to the Departments of Biology, Chemistry, and Environmental Sciences. Facilities include:</w:t>
      </w:r>
    </w:p>
    <w:p>
      <w:pPr>
        <w:numPr>
          <w:ilvl w:val="1"/>
          <w:numId w:val="1002"/>
        </w:numPr>
        <w:pStyle w:val="Compact"/>
      </w:pPr>
      <w:r>
        <w:t xml:space="preserve">8 research laboratories (BSL-2 and chemistry wet labs)</w:t>
      </w:r>
    </w:p>
    <w:p>
      <w:pPr>
        <w:numPr>
          <w:ilvl w:val="1"/>
          <w:numId w:val="1002"/>
        </w:numPr>
        <w:pStyle w:val="Compact"/>
      </w:pPr>
      <w:r>
        <w:t xml:space="preserve">2 lecture auditoriums (seating 160 and 120)</w:t>
      </w:r>
    </w:p>
    <w:p>
      <w:pPr>
        <w:numPr>
          <w:ilvl w:val="1"/>
          <w:numId w:val="1002"/>
        </w:numPr>
        <w:pStyle w:val="Compact"/>
      </w:pPr>
      <w:r>
        <w:t xml:space="preserve">A rooftop greenhouse (2,500 sq. ft.)</w:t>
      </w:r>
    </w:p>
    <w:p>
      <w:pPr>
        <w:numPr>
          <w:ilvl w:val="1"/>
          <w:numId w:val="1002"/>
        </w:numPr>
        <w:pStyle w:val="Compact"/>
      </w:pPr>
      <w:r>
        <w:t xml:space="preserve">A microscopy imaging core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Helena L. Martin Engineering Hall</w:t>
      </w:r>
      <w:r>
        <w:br/>
      </w:r>
      <w:r>
        <w:rPr>
          <w:iCs/>
          <w:i/>
        </w:rPr>
        <w:t xml:space="preserve">Opened:</w:t>
      </w:r>
      <w:r>
        <w:t xml:space="preserve"> </w:t>
      </w:r>
      <w:r>
        <w:t xml:space="preserve">2005</w:t>
      </w:r>
      <w:r>
        <w:br/>
      </w:r>
      <w:r>
        <w:rPr>
          <w:iCs/>
          <w:i/>
        </w:rPr>
        <w:t xml:space="preserve">Description:</w:t>
      </w:r>
      <w:r>
        <w:t xml:space="preserve"> </w:t>
      </w:r>
      <w:r>
        <w:t xml:space="preserve">Features workshop spaces, prototyping rooms, 12 teaching labs, and a design center supporting civil, electrical, and mechanical engineering programs.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Mendell Business Pavilion</w:t>
      </w:r>
      <w:r>
        <w:br/>
      </w:r>
      <w:r>
        <w:rPr>
          <w:iCs/>
          <w:i/>
        </w:rPr>
        <w:t xml:space="preserve">Constructed:</w:t>
      </w:r>
      <w:r>
        <w:t xml:space="preserve"> </w:t>
      </w:r>
      <w:r>
        <w:t xml:space="preserve">1991</w:t>
      </w:r>
      <w:r>
        <w:br/>
      </w:r>
      <w:r>
        <w:rPr>
          <w:iCs/>
          <w:i/>
        </w:rPr>
        <w:t xml:space="preserve">Highlights:</w:t>
      </w:r>
    </w:p>
    <w:p>
      <w:pPr>
        <w:numPr>
          <w:ilvl w:val="1"/>
          <w:numId w:val="1003"/>
        </w:numPr>
        <w:pStyle w:val="Compact"/>
      </w:pPr>
      <w:r>
        <w:t xml:space="preserve">10 seminar rooms with tiered seating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Real-time financial data lab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Entrepreneurship incubator suite (capacity: 40 student teams)</w:t>
      </w:r>
    </w:p>
    <w:bookmarkEnd w:id="21"/>
    <w:bookmarkStart w:id="22" w:name="libraries"/>
    <w:p>
      <w:pPr>
        <w:pStyle w:val="Heading3"/>
      </w:pPr>
      <w:r>
        <w:t xml:space="preserve">Libraries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Samuelson Library</w:t>
      </w:r>
      <w:r>
        <w:br/>
      </w:r>
      <w:r>
        <w:rPr>
          <w:iCs/>
          <w:i/>
        </w:rPr>
        <w:t xml:space="preserve">Size:</w:t>
      </w:r>
      <w:r>
        <w:t xml:space="preserve"> </w:t>
      </w:r>
      <w:r>
        <w:t xml:space="preserve">150,000 volumes, 23,000 sq. ft.</w:t>
      </w:r>
      <w:r>
        <w:br/>
      </w:r>
      <w:r>
        <w:rPr>
          <w:iCs/>
          <w:i/>
        </w:rPr>
        <w:t xml:space="preserve">Facilities:</w:t>
      </w:r>
    </w:p>
    <w:p>
      <w:pPr>
        <w:numPr>
          <w:ilvl w:val="1"/>
          <w:numId w:val="1005"/>
        </w:numPr>
        <w:pStyle w:val="Compact"/>
      </w:pPr>
      <w:r>
        <w:t xml:space="preserve">Three floors of print collections &amp; digital media rooms</w:t>
      </w:r>
    </w:p>
    <w:p>
      <w:pPr>
        <w:numPr>
          <w:ilvl w:val="1"/>
          <w:numId w:val="1005"/>
        </w:numPr>
        <w:pStyle w:val="Compact"/>
      </w:pPr>
      <w:r>
        <w:t xml:space="preserve">200 personal study carrels and 24 group study rooms</w:t>
      </w:r>
    </w:p>
    <w:p>
      <w:pPr>
        <w:numPr>
          <w:ilvl w:val="1"/>
          <w:numId w:val="1005"/>
        </w:numPr>
        <w:pStyle w:val="Compact"/>
      </w:pPr>
      <w:r>
        <w:t xml:space="preserve">Makerspace (3D printers, VR suites)</w:t>
      </w:r>
    </w:p>
    <w:p>
      <w:pPr>
        <w:numPr>
          <w:ilvl w:val="1"/>
          <w:numId w:val="1005"/>
        </w:numPr>
        <w:pStyle w:val="Compact"/>
      </w:pPr>
      <w:r>
        <w:t xml:space="preserve">Café and quiet reading atrium</w:t>
      </w:r>
    </w:p>
    <w:bookmarkEnd w:id="22"/>
    <w:bookmarkStart w:id="23" w:name="residential-life"/>
    <w:p>
      <w:pPr>
        <w:pStyle w:val="Heading3"/>
      </w:pPr>
      <w:r>
        <w:t xml:space="preserve">Residential Life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Maple Residence Hall</w:t>
      </w:r>
      <w:r>
        <w:br/>
      </w:r>
      <w:r>
        <w:rPr>
          <w:iCs/>
          <w:i/>
        </w:rPr>
        <w:t xml:space="preserve">Capacity</w:t>
      </w:r>
      <w:r>
        <w:t xml:space="preserve">: 385 undergraduate students</w:t>
      </w:r>
      <w:r>
        <w:br/>
      </w:r>
      <w:r>
        <w:rPr>
          <w:iCs/>
          <w:i/>
        </w:rPr>
        <w:t xml:space="preserve">Structure</w:t>
      </w:r>
      <w:r>
        <w:t xml:space="preserve">: Eight floors, co-ed, suite-style living with communal kitchens and lounges per level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Sequoia Apartments</w:t>
      </w:r>
      <w:r>
        <w:br/>
      </w:r>
      <w:r>
        <w:rPr>
          <w:iCs/>
          <w:i/>
        </w:rPr>
        <w:t xml:space="preserve">Capacity</w:t>
      </w:r>
      <w:r>
        <w:t xml:space="preserve">: 164 postgraduates and family housing units (2- and 4-bedroom units)</w:t>
      </w:r>
      <w:r>
        <w:br/>
      </w:r>
      <w:r>
        <w:rPr>
          <w:iCs/>
          <w:i/>
        </w:rPr>
        <w:t xml:space="preserve">Amenities</w:t>
      </w:r>
      <w:r>
        <w:t xml:space="preserve">: Onsite laundry, daycare facility, and fitness center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Aspen Commons</w:t>
      </w:r>
      <w:r>
        <w:br/>
      </w:r>
      <w:r>
        <w:rPr>
          <w:iCs/>
          <w:i/>
        </w:rPr>
        <w:t xml:space="preserve">Capacity</w:t>
      </w:r>
      <w:r>
        <w:t xml:space="preserve">: 190 first-year residents</w:t>
      </w:r>
      <w:r>
        <w:br/>
      </w:r>
      <w:r>
        <w:rPr>
          <w:iCs/>
          <w:i/>
        </w:rPr>
        <w:t xml:space="preserve">Features</w:t>
      </w:r>
      <w:r>
        <w:t xml:space="preserve">: Double rooms, learning communities, faculty-in-residence apartment</w:t>
      </w:r>
    </w:p>
    <w:bookmarkEnd w:id="23"/>
    <w:bookmarkStart w:id="24" w:name="dining-facilities"/>
    <w:p>
      <w:pPr>
        <w:pStyle w:val="Heading3"/>
      </w:pPr>
      <w:r>
        <w:t xml:space="preserve">Dining Facilities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The Grove Dining Hall</w:t>
      </w:r>
      <w:r>
        <w:br/>
      </w:r>
      <w:r>
        <w:rPr>
          <w:iCs/>
          <w:i/>
        </w:rPr>
        <w:t xml:space="preserve">Seating</w:t>
      </w:r>
      <w:r>
        <w:t xml:space="preserve">: 475</w:t>
      </w:r>
      <w:r>
        <w:br/>
      </w:r>
      <w:r>
        <w:rPr>
          <w:iCs/>
          <w:i/>
        </w:rPr>
        <w:t xml:space="preserve">Description</w:t>
      </w:r>
      <w:r>
        <w:t xml:space="preserve">: Central dining area offering all-day buffet, vegan and international stations, and late-night café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Market Street Café</w:t>
      </w:r>
      <w:r>
        <w:br/>
      </w:r>
      <w:r>
        <w:rPr>
          <w:iCs/>
          <w:i/>
        </w:rPr>
        <w:t xml:space="preserve">Location</w:t>
      </w:r>
      <w:r>
        <w:t xml:space="preserve">: Student Center</w:t>
      </w:r>
      <w:r>
        <w:br/>
      </w:r>
      <w:r>
        <w:rPr>
          <w:iCs/>
          <w:i/>
        </w:rPr>
        <w:t xml:space="preserve">Options</w:t>
      </w:r>
      <w:r>
        <w:t xml:space="preserve">: Bistro fare, grab-and-go, espresso bar</w:t>
      </w:r>
    </w:p>
    <w:bookmarkEnd w:id="24"/>
    <w:bookmarkStart w:id="25" w:name="student-life-recreation"/>
    <w:p>
      <w:pPr>
        <w:pStyle w:val="Heading3"/>
      </w:pPr>
      <w:r>
        <w:t xml:space="preserve">Student Life &amp; Recreation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Student Union Center</w:t>
      </w:r>
      <w:r>
        <w:br/>
      </w:r>
      <w:r>
        <w:rPr>
          <w:iCs/>
          <w:i/>
        </w:rPr>
        <w:t xml:space="preserve">Size</w:t>
      </w:r>
      <w:r>
        <w:t xml:space="preserve">: 48,000 sq. ft.</w:t>
      </w:r>
      <w:r>
        <w:br/>
      </w:r>
      <w:r>
        <w:rPr>
          <w:iCs/>
          <w:i/>
        </w:rPr>
        <w:t xml:space="preserve">Facilities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400-person auditorium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Student organization suites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Meeting rooms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Student legal services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Dalton Fitness &amp; Recreation Complex</w:t>
      </w:r>
      <w:r>
        <w:br/>
      </w:r>
      <w:r>
        <w:rPr>
          <w:iCs/>
          <w:i/>
        </w:rPr>
        <w:t xml:space="preserve">Features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Olympic-size swimming pool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Indoor climbing wall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Three multicourt gyms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Cardio &amp; weight areas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Fitness classrooms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Outdoor sand volleyball courts</w:t>
      </w:r>
    </w:p>
    <w:bookmarkEnd w:id="25"/>
    <w:bookmarkStart w:id="26" w:name="arts-performance-spaces"/>
    <w:p>
      <w:pPr>
        <w:pStyle w:val="Heading3"/>
      </w:pPr>
      <w:r>
        <w:t xml:space="preserve">Arts &amp; Performance Spaces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Elena Capri Theater</w:t>
      </w:r>
      <w:r>
        <w:br/>
      </w:r>
      <w:r>
        <w:rPr>
          <w:iCs/>
          <w:i/>
        </w:rPr>
        <w:t xml:space="preserve">Capacity</w:t>
      </w:r>
      <w:r>
        <w:t xml:space="preserve">: 510-seat auditorium for university and community performances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Fine Arts Studios</w:t>
      </w:r>
      <w:r>
        <w:br/>
      </w:r>
      <w:r>
        <w:rPr>
          <w:iCs/>
          <w:i/>
        </w:rPr>
        <w:t xml:space="preserve">Facilities</w:t>
      </w:r>
      <w:r>
        <w:t xml:space="preserve">: Drawing, ceramics, printmaking, and digital media labs</w:t>
      </w:r>
    </w:p>
    <w:bookmarkEnd w:id="26"/>
    <w:bookmarkStart w:id="27" w:name="athletics"/>
    <w:p>
      <w:pPr>
        <w:pStyle w:val="Heading3"/>
      </w:pPr>
      <w:r>
        <w:t xml:space="preserve">Athletics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Pinecrest Stadium</w:t>
      </w:r>
      <w:r>
        <w:br/>
      </w:r>
      <w:r>
        <w:rPr>
          <w:iCs/>
          <w:i/>
        </w:rPr>
        <w:t xml:space="preserve">Seating</w:t>
      </w:r>
      <w:r>
        <w:t xml:space="preserve">: 4,200</w:t>
      </w:r>
      <w:r>
        <w:br/>
      </w:r>
      <w:r>
        <w:rPr>
          <w:iCs/>
          <w:i/>
        </w:rPr>
        <w:t xml:space="preserve">Primary Uses</w:t>
      </w:r>
      <w:r>
        <w:t xml:space="preserve">: Soccer, track and field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Varsity Sports Hall</w:t>
      </w:r>
      <w:r>
        <w:br/>
      </w:r>
      <w:r>
        <w:rPr>
          <w:iCs/>
          <w:i/>
        </w:rPr>
        <w:t xml:space="preserve">Facilities</w:t>
      </w:r>
      <w:r>
        <w:t xml:space="preserve">: Locker rooms, training suites, and offices for 11 varsity teams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grounds-and-outdoor-spaces"/>
    <w:p>
      <w:pPr>
        <w:pStyle w:val="Heading2"/>
      </w:pPr>
      <w:r>
        <w:t xml:space="preserve">Grounds and Outdoor Spaces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Cendara Arboretum</w:t>
      </w:r>
      <w:r>
        <w:t xml:space="preserve"> </w:t>
      </w:r>
      <w:r>
        <w:t xml:space="preserve">(20 acres): Managed collection of native and exotic plants, walking trails, and an outdoor classroom amphitheater.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East Lake</w:t>
      </w:r>
      <w:r>
        <w:t xml:space="preserve">: Man-made, 3-acre lake with surrounding picnic and study areas.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Reflection Garden</w:t>
      </w:r>
      <w:r>
        <w:t xml:space="preserve">: Dedicated quiet zone adjacent to Samuelson Library, used for meditation and outdoor study.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Bike &amp; Pedestrian Paths</w:t>
      </w:r>
      <w:r>
        <w:t xml:space="preserve">: Five miles of interconnected, ADA-accessible trails linking all campus sectors.</w:t>
      </w:r>
    </w:p>
    <w:p>
      <w:r>
        <w:pict>
          <v:rect style="width:0;height:1.5pt" o:hralign="center" o:hrstd="t" o:hr="t"/>
        </w:pict>
      </w:r>
    </w:p>
    <w:bookmarkEnd w:id="29"/>
    <w:bookmarkStart w:id="30" w:name="infrastructure-capacity"/>
    <w:p>
      <w:pPr>
        <w:pStyle w:val="Heading2"/>
      </w:pPr>
      <w:r>
        <w:t xml:space="preserve">Infrastructure Capacity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18"/>
        <w:gridCol w:w="2225"/>
        <w:gridCol w:w="30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Facility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Number/Capacity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Utilities &amp; Technologies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 Halls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(60-250 seats 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boards, lecture-capture, audio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Classrooms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Wi-Fi enabled; 75% have projection 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Labs (Research &amp; Teaching)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Fume hoods, BSL-2/BSL-1 compliant, 24/7 HVAC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 Study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outlets, high-speed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1,095 beds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Ethernet, laundry per hall, CCTV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Dining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 simultaneous diners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allergen monitoring, sustainability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Parking Spaces (vehicular)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 charging: 54 stations, LED-lit, patrolled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Bike 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990 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 and open racks throughout campus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Wireless Access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Dual-band, upgraded 2022 for high bandwidth</w:t>
            </w:r>
          </w:p>
        </w:tc>
      </w:tr>
    </w:tbl>
    <w:p>
      <w:pPr>
        <w:pStyle w:val="BodyText"/>
      </w:pPr>
      <w:r>
        <w:rPr>
          <w:bCs/>
          <w:b/>
        </w:rPr>
        <w:t xml:space="preserve">Energy:</w:t>
      </w:r>
      <w:r>
        <w:t xml:space="preserve"> </w:t>
      </w:r>
      <w:r>
        <w:t xml:space="preserve">Campus-wide solar generation (18% capacity), backup diesel generators for mission-critical infrastructure.</w:t>
      </w:r>
    </w:p>
    <w:p>
      <w:pPr>
        <w:pStyle w:val="BodyText"/>
      </w:pPr>
      <w:r>
        <w:rPr>
          <w:bCs/>
          <w:b/>
        </w:rPr>
        <w:t xml:space="preserve">Security:</w:t>
      </w:r>
      <w:r>
        <w:t xml:space="preserve"> </w:t>
      </w:r>
      <w:r>
        <w:t xml:space="preserve">Card-access system on all exterior doors, 24/7 monitored emergency phone system, and campus police substation.</w:t>
      </w:r>
    </w:p>
    <w:p>
      <w:pPr>
        <w:pStyle w:val="BodyText"/>
      </w:pPr>
      <w:r>
        <w:rPr>
          <w:bCs/>
          <w:b/>
        </w:rPr>
        <w:t xml:space="preserve">Accessibility:</w:t>
      </w:r>
      <w:r>
        <w:t xml:space="preserve"> </w:t>
      </w:r>
      <w:r>
        <w:t xml:space="preserve">All academic and residential buildings are ADA-compliant; tactile maps available at key locations.</w:t>
      </w:r>
    </w:p>
    <w:p>
      <w:r>
        <w:pict>
          <v:rect style="width:0;height:1.5pt" o:hralign="center" o:hrstd="t" o:hr="t"/>
        </w:pict>
      </w:r>
    </w:p>
    <w:bookmarkEnd w:id="30"/>
    <w:bookmarkStart w:id="31" w:name="recent-and-planned-improvements"/>
    <w:p>
      <w:pPr>
        <w:pStyle w:val="Heading2"/>
      </w:pPr>
      <w:r>
        <w:t xml:space="preserve">Recent and Planned Improvements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2023</w:t>
      </w:r>
      <w:r>
        <w:t xml:space="preserve">: Completion of the GreenTech Building (LEED Platinum, houses Environmental Sustainability Programs)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2024</w:t>
      </w:r>
      <w:r>
        <w:t xml:space="preserve">: Expansion of outdoor Wi-Fi coverage and replacement of all campus lighting with LED fixtures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2025</w:t>
      </w:r>
      <w:r>
        <w:t xml:space="preserve">: Planned construction of the Dr. Maya Singh Health and Wellness Center (mental health, counseling, medical clinic)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Cendara University’s campus infrastructure supports a thriving academic and extracurricular community, prioritizing both technological advancement and sustainability in all future developments.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2025-07-29T15:04:13Z</dcterms:created>
  <dcterms:modified xsi:type="dcterms:W3CDTF">2025-07-29T15:04:13Z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