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be9071d7768f3113d2546e018bbe196c9c33a9"/>
    <w:p>
      <w:pPr>
        <w:pStyle w:val="Heading1"/>
      </w:pPr>
      <w:r>
        <w:t xml:space="preserve">Cendara University Undergraduate and Graduate Fee Structure</w:t>
      </w:r>
    </w:p>
    <w:p>
      <w:pPr>
        <w:pStyle w:val="FirstParagraph"/>
      </w:pPr>
      <w:r>
        <w:t xml:space="preserve">Cendara University is committed to providing a transparent overview of the expected costs associated with enrollment. The fee ranges outlined below are for the academic year 2024–2025 and apply to both domestic and international students. Actual charges may vary based on chosen program, housing selection, dining preference, and individual course loads.</w:t>
      </w:r>
    </w:p>
    <w:p>
      <w:r>
        <w:pict>
          <v:rect style="width:0;height:1.5pt" o:hralign="center" o:hrstd="t" o:hr="t"/>
        </w:pict>
      </w:r>
    </w:p>
    <w:bookmarkStart w:id="20" w:name="tuition"/>
    <w:p>
      <w:pPr>
        <w:pStyle w:val="Heading2"/>
      </w:pPr>
      <w:r>
        <w:t xml:space="preserve">1. Tuition</w:t>
      </w:r>
    </w:p>
    <w:p>
      <w:pPr>
        <w:pStyle w:val="FirstParagraph"/>
      </w:pPr>
      <w:r>
        <w:t xml:space="preserve">Tuition varies by degree level and academic program. The following ranges represent annual full-time enrollment (24–30 credits undergraduate, 18–24 credits graduate):</w:t>
      </w:r>
    </w:p>
    <w:tbl>
      <w:tblPr>
        <w:tblStyle w:val="Table"/>
        <w:tblW w:type="pct" w:w="5000"/>
        <w:tblLook w:firstRow="1" w:lastRow="0" w:firstColumn="0" w:lastColumn="0" w:noHBand="0" w:noVBand="0" w:val="0020"/>
      </w:tblPr>
      <w:tblGrid>
        <w:gridCol w:w="4302"/>
        <w:gridCol w:w="3617"/>
      </w:tblGrid>
      <w:tr>
        <w:trPr>
          <w:tblHeader w:val="true"/>
        </w:trPr>
        <w:tc>
          <w:tcPr/>
          <w:p>
            <w:pPr>
              <w:pStyle w:val="Compact"/>
              <w:jc w:val="left"/>
            </w:pPr>
            <w:r>
              <w:t xml:space="preserve">Program/Degree</w:t>
            </w:r>
          </w:p>
        </w:tc>
        <w:tc>
          <w:tcPr/>
          <w:p>
            <w:pPr>
              <w:pStyle w:val="Compact"/>
              <w:jc w:val="left"/>
            </w:pPr>
            <w:r>
              <w:t xml:space="preserve">Tuition Range (Per Year)</w:t>
            </w:r>
          </w:p>
        </w:tc>
      </w:tr>
      <w:tr>
        <w:tc>
          <w:tcPr/>
          <w:p>
            <w:pPr>
              <w:pStyle w:val="Compact"/>
              <w:jc w:val="left"/>
            </w:pPr>
            <w:r>
              <w:t xml:space="preserve">Bachelor of Arts/Science/Engineering</w:t>
            </w:r>
          </w:p>
        </w:tc>
        <w:tc>
          <w:tcPr/>
          <w:p>
            <w:pPr>
              <w:pStyle w:val="Compact"/>
              <w:jc w:val="left"/>
            </w:pPr>
            <w:r>
              <w:t xml:space="preserve">$24,000 – $29,000</w:t>
            </w:r>
          </w:p>
        </w:tc>
      </w:tr>
      <w:tr>
        <w:tc>
          <w:tcPr/>
          <w:p>
            <w:pPr>
              <w:pStyle w:val="Compact"/>
              <w:jc w:val="left"/>
            </w:pPr>
            <w:r>
              <w:t xml:space="preserve">Bachelor of Business Administration/Nursing</w:t>
            </w:r>
          </w:p>
        </w:tc>
        <w:tc>
          <w:tcPr/>
          <w:p>
            <w:pPr>
              <w:pStyle w:val="Compact"/>
              <w:jc w:val="left"/>
            </w:pPr>
            <w:r>
              <w:t xml:space="preserve">$26,000 – $32,000</w:t>
            </w:r>
          </w:p>
        </w:tc>
      </w:tr>
      <w:tr>
        <w:tc>
          <w:tcPr/>
          <w:p>
            <w:pPr>
              <w:pStyle w:val="Compact"/>
              <w:jc w:val="left"/>
            </w:pPr>
            <w:r>
              <w:t xml:space="preserve">Bachelor of Education</w:t>
            </w:r>
          </w:p>
        </w:tc>
        <w:tc>
          <w:tcPr/>
          <w:p>
            <w:pPr>
              <w:pStyle w:val="Compact"/>
              <w:jc w:val="left"/>
            </w:pPr>
            <w:r>
              <w:t xml:space="preserve">$23,500 – $26,500</w:t>
            </w:r>
          </w:p>
        </w:tc>
      </w:tr>
      <w:tr>
        <w:tc>
          <w:tcPr/>
          <w:p>
            <w:pPr>
              <w:pStyle w:val="Compact"/>
              <w:jc w:val="left"/>
            </w:pPr>
            <w:r>
              <w:t xml:space="preserve">Master of Arts/Science/Engineering</w:t>
            </w:r>
          </w:p>
        </w:tc>
        <w:tc>
          <w:tcPr/>
          <w:p>
            <w:pPr>
              <w:pStyle w:val="Compact"/>
              <w:jc w:val="left"/>
            </w:pPr>
            <w:r>
              <w:t xml:space="preserve">$13,500 – $18,200</w:t>
            </w:r>
          </w:p>
        </w:tc>
      </w:tr>
      <w:tr>
        <w:tc>
          <w:tcPr/>
          <w:p>
            <w:pPr>
              <w:pStyle w:val="Compact"/>
              <w:jc w:val="left"/>
            </w:pPr>
            <w:r>
              <w:t xml:space="preserve">Master of Business Administration/Public Health</w:t>
            </w:r>
          </w:p>
        </w:tc>
        <w:tc>
          <w:tcPr/>
          <w:p>
            <w:pPr>
              <w:pStyle w:val="Compact"/>
              <w:jc w:val="left"/>
            </w:pPr>
            <w:r>
              <w:t xml:space="preserve">$17,800 – $21,400</w:t>
            </w:r>
          </w:p>
        </w:tc>
      </w:tr>
      <w:tr>
        <w:tc>
          <w:tcPr/>
          <w:p>
            <w:pPr>
              <w:pStyle w:val="Compact"/>
              <w:jc w:val="left"/>
            </w:pPr>
            <w:r>
              <w:t xml:space="preserve">Doctor of Philosophy (Ph.D.)</w:t>
            </w:r>
          </w:p>
        </w:tc>
        <w:tc>
          <w:tcPr/>
          <w:p>
            <w:pPr>
              <w:pStyle w:val="Compact"/>
              <w:jc w:val="left"/>
            </w:pPr>
            <w:r>
              <w:t xml:space="preserve">$16,500 – $23,000</w:t>
            </w:r>
          </w:p>
        </w:tc>
      </w:tr>
      <w:tr>
        <w:tc>
          <w:tcPr/>
          <w:p>
            <w:pPr>
              <w:pStyle w:val="Compact"/>
              <w:jc w:val="left"/>
            </w:pPr>
            <w:r>
              <w:t xml:space="preserve">Graduate Certificate Programs</w:t>
            </w:r>
          </w:p>
        </w:tc>
        <w:tc>
          <w:tcPr/>
          <w:p>
            <w:pPr>
              <w:pStyle w:val="Compact"/>
              <w:jc w:val="left"/>
            </w:pPr>
            <w:r>
              <w:t xml:space="preserve">$9,800 – $12,500 (per certificate)</w:t>
            </w:r>
          </w:p>
        </w:tc>
      </w:tr>
    </w:tbl>
    <w:p>
      <w:pPr>
        <w:numPr>
          <w:ilvl w:val="0"/>
          <w:numId w:val="1001"/>
        </w:numPr>
        <w:pStyle w:val="Compact"/>
      </w:pPr>
      <w:r>
        <w:rPr>
          <w:bCs/>
          <w:b/>
        </w:rPr>
        <w:t xml:space="preserve">Part-Time Tuition</w:t>
      </w:r>
      <w:r>
        <w:t xml:space="preserve">: Calculated per credit hour, typically $900 – $1,200/credit (undergraduate); $1,050 – $1,500/credit (graduate)</w:t>
      </w:r>
    </w:p>
    <w:p>
      <w:pPr>
        <w:numPr>
          <w:ilvl w:val="0"/>
          <w:numId w:val="1001"/>
        </w:numPr>
        <w:pStyle w:val="Compact"/>
      </w:pPr>
      <w:r>
        <w:rPr>
          <w:bCs/>
          <w:b/>
        </w:rPr>
        <w:t xml:space="preserve">International students</w:t>
      </w:r>
      <w:r>
        <w:t xml:space="preserve">: Add $2,000 – $5,000 annually for certain programs</w:t>
      </w:r>
    </w:p>
    <w:p>
      <w:r>
        <w:pict>
          <v:rect style="width:0;height:1.5pt" o:hralign="center" o:hrstd="t" o:hr="t"/>
        </w:pict>
      </w:r>
    </w:p>
    <w:bookmarkEnd w:id="20"/>
    <w:bookmarkStart w:id="21" w:name="mandatory-fees"/>
    <w:p>
      <w:pPr>
        <w:pStyle w:val="Heading2"/>
      </w:pPr>
      <w:r>
        <w:t xml:space="preserve">2. Mandatory Fees</w:t>
      </w:r>
    </w:p>
    <w:p>
      <w:pPr>
        <w:pStyle w:val="FirstParagraph"/>
      </w:pPr>
      <w:r>
        <w:t xml:space="preserve">All enrolled students are assessed general fees in addition to tuition.</w:t>
      </w:r>
    </w:p>
    <w:tbl>
      <w:tblPr>
        <w:tblStyle w:val="Table"/>
        <w:tblW w:type="pct" w:w="5000"/>
        <w:tblLook w:firstRow="1" w:lastRow="0" w:firstColumn="0" w:lastColumn="0" w:noHBand="0" w:noVBand="0" w:val="0020"/>
      </w:tblPr>
      <w:tblGrid>
        <w:gridCol w:w="2000"/>
        <w:gridCol w:w="1500"/>
        <w:gridCol w:w="4418"/>
      </w:tblGrid>
      <w:tr>
        <w:trPr>
          <w:tblHeader w:val="true"/>
        </w:trPr>
        <w:tc>
          <w:tcPr/>
          <w:p>
            <w:pPr>
              <w:pStyle w:val="Compact"/>
              <w:jc w:val="left"/>
            </w:pPr>
            <w:r>
              <w:t xml:space="preserve">Fee Category</w:t>
            </w:r>
          </w:p>
        </w:tc>
        <w:tc>
          <w:tcPr/>
          <w:p>
            <w:pPr>
              <w:pStyle w:val="Compact"/>
              <w:jc w:val="left"/>
            </w:pPr>
            <w:r>
              <w:t xml:space="preserve">Annual Range</w:t>
            </w:r>
          </w:p>
        </w:tc>
        <w:tc>
          <w:tcPr/>
          <w:p>
            <w:pPr>
              <w:pStyle w:val="Compact"/>
              <w:jc w:val="left"/>
            </w:pPr>
            <w:r>
              <w:t xml:space="preserve">Description</w:t>
            </w:r>
          </w:p>
        </w:tc>
      </w:tr>
      <w:tr>
        <w:tc>
          <w:tcPr/>
          <w:p>
            <w:pPr>
              <w:pStyle w:val="Compact"/>
              <w:jc w:val="left"/>
            </w:pPr>
            <w:r>
              <w:t xml:space="preserve">Student Activities Fee</w:t>
            </w:r>
          </w:p>
        </w:tc>
        <w:tc>
          <w:tcPr/>
          <w:p>
            <w:pPr>
              <w:pStyle w:val="Compact"/>
              <w:jc w:val="left"/>
            </w:pPr>
            <w:r>
              <w:t xml:space="preserve">$350 – $500</w:t>
            </w:r>
          </w:p>
        </w:tc>
        <w:tc>
          <w:tcPr/>
          <w:p>
            <w:pPr>
              <w:pStyle w:val="Compact"/>
              <w:jc w:val="left"/>
            </w:pPr>
            <w:r>
              <w:t xml:space="preserve">Supports clubs, programming, and student government</w:t>
            </w:r>
          </w:p>
        </w:tc>
      </w:tr>
      <w:tr>
        <w:tc>
          <w:tcPr/>
          <w:p>
            <w:pPr>
              <w:pStyle w:val="Compact"/>
              <w:jc w:val="left"/>
            </w:pPr>
            <w:r>
              <w:t xml:space="preserve">Technology Fee</w:t>
            </w:r>
          </w:p>
        </w:tc>
        <w:tc>
          <w:tcPr/>
          <w:p>
            <w:pPr>
              <w:pStyle w:val="Compact"/>
              <w:jc w:val="left"/>
            </w:pPr>
            <w:r>
              <w:t xml:space="preserve">$250 – $400</w:t>
            </w:r>
          </w:p>
        </w:tc>
        <w:tc>
          <w:tcPr/>
          <w:p>
            <w:pPr>
              <w:pStyle w:val="Compact"/>
              <w:jc w:val="left"/>
            </w:pPr>
            <w:r>
              <w:t xml:space="preserve">Access to campus computing and online resources</w:t>
            </w:r>
          </w:p>
        </w:tc>
      </w:tr>
      <w:tr>
        <w:tc>
          <w:tcPr/>
          <w:p>
            <w:pPr>
              <w:pStyle w:val="Compact"/>
              <w:jc w:val="left"/>
            </w:pPr>
            <w:r>
              <w:t xml:space="preserve">Health Services Fee</w:t>
            </w:r>
          </w:p>
        </w:tc>
        <w:tc>
          <w:tcPr/>
          <w:p>
            <w:pPr>
              <w:pStyle w:val="Compact"/>
              <w:jc w:val="left"/>
            </w:pPr>
            <w:r>
              <w:t xml:space="preserve">$175 – $350</w:t>
            </w:r>
          </w:p>
        </w:tc>
        <w:tc>
          <w:tcPr/>
          <w:p>
            <w:pPr>
              <w:pStyle w:val="Compact"/>
              <w:jc w:val="left"/>
            </w:pPr>
            <w:r>
              <w:t xml:space="preserve">On-campus health clinic, mental health support</w:t>
            </w:r>
          </w:p>
        </w:tc>
      </w:tr>
      <w:tr>
        <w:tc>
          <w:tcPr/>
          <w:p>
            <w:pPr>
              <w:pStyle w:val="Compact"/>
              <w:jc w:val="left"/>
            </w:pPr>
            <w:r>
              <w:t xml:space="preserve">Library Fee</w:t>
            </w:r>
          </w:p>
        </w:tc>
        <w:tc>
          <w:tcPr/>
          <w:p>
            <w:pPr>
              <w:pStyle w:val="Compact"/>
              <w:jc w:val="left"/>
            </w:pPr>
            <w:r>
              <w:t xml:space="preserve">$90 – $140</w:t>
            </w:r>
          </w:p>
        </w:tc>
        <w:tc>
          <w:tcPr/>
          <w:p>
            <w:pPr>
              <w:pStyle w:val="Compact"/>
              <w:jc w:val="left"/>
            </w:pPr>
            <w:r>
              <w:t xml:space="preserve">Library resources and special collections</w:t>
            </w:r>
          </w:p>
        </w:tc>
      </w:tr>
      <w:tr>
        <w:tc>
          <w:tcPr/>
          <w:p>
            <w:pPr>
              <w:pStyle w:val="Compact"/>
              <w:jc w:val="left"/>
            </w:pPr>
            <w:r>
              <w:t xml:space="preserve">Registration Fee</w:t>
            </w:r>
          </w:p>
        </w:tc>
        <w:tc>
          <w:tcPr/>
          <w:p>
            <w:pPr>
              <w:pStyle w:val="Compact"/>
              <w:jc w:val="left"/>
            </w:pPr>
            <w:r>
              <w:t xml:space="preserve">$70 – $120</w:t>
            </w:r>
          </w:p>
        </w:tc>
        <w:tc>
          <w:tcPr/>
          <w:p>
            <w:pPr>
              <w:pStyle w:val="Compact"/>
              <w:jc w:val="left"/>
            </w:pPr>
            <w:r>
              <w:t xml:space="preserve">Course registration and records management</w:t>
            </w:r>
          </w:p>
        </w:tc>
      </w:tr>
      <w:tr>
        <w:tc>
          <w:tcPr/>
          <w:p>
            <w:pPr>
              <w:pStyle w:val="Compact"/>
              <w:jc w:val="left"/>
            </w:pPr>
            <w:r>
              <w:t xml:space="preserve">New Student Orientation</w:t>
            </w:r>
          </w:p>
        </w:tc>
        <w:tc>
          <w:tcPr/>
          <w:p>
            <w:pPr>
              <w:pStyle w:val="Compact"/>
              <w:jc w:val="left"/>
            </w:pPr>
            <w:r>
              <w:t xml:space="preserve">$120 – $200</w:t>
            </w:r>
          </w:p>
        </w:tc>
        <w:tc>
          <w:tcPr/>
          <w:p>
            <w:pPr>
              <w:pStyle w:val="Compact"/>
              <w:jc w:val="left"/>
            </w:pPr>
            <w:r>
              <w:t xml:space="preserve">One-time, for all first-time enrollees</w:t>
            </w:r>
          </w:p>
        </w:tc>
      </w:tr>
    </w:tbl>
    <w:p>
      <w:r>
        <w:pict>
          <v:rect style="width:0;height:1.5pt" o:hralign="center" o:hrstd="t" o:hr="t"/>
        </w:pict>
      </w:r>
    </w:p>
    <w:bookmarkEnd w:id="21"/>
    <w:bookmarkStart w:id="22" w:name="room-housing"/>
    <w:p>
      <w:pPr>
        <w:pStyle w:val="Heading2"/>
      </w:pPr>
      <w:r>
        <w:t xml:space="preserve">3. Room (Housing)</w:t>
      </w:r>
    </w:p>
    <w:p>
      <w:pPr>
        <w:pStyle w:val="FirstParagraph"/>
      </w:pPr>
      <w:r>
        <w:t xml:space="preserve">Cendara University offers several on-campus residence options. Costs vary by building, room type, and amenities.</w:t>
      </w:r>
    </w:p>
    <w:tbl>
      <w:tblPr>
        <w:tblStyle w:val="Table"/>
        <w:tblW w:type="pct" w:w="5000"/>
        <w:tblLook w:firstRow="1" w:lastRow="0" w:firstColumn="0" w:lastColumn="0" w:noHBand="0" w:noVBand="0" w:val="0020"/>
      </w:tblPr>
      <w:tblGrid>
        <w:gridCol w:w="3223"/>
        <w:gridCol w:w="1657"/>
        <w:gridCol w:w="3039"/>
      </w:tblGrid>
      <w:tr>
        <w:trPr>
          <w:tblHeader w:val="true"/>
        </w:trPr>
        <w:tc>
          <w:tcPr/>
          <w:p>
            <w:pPr>
              <w:pStyle w:val="Compact"/>
              <w:jc w:val="left"/>
            </w:pPr>
            <w:r>
              <w:t xml:space="preserve">Housing Option</w:t>
            </w:r>
          </w:p>
        </w:tc>
        <w:tc>
          <w:tcPr/>
          <w:p>
            <w:pPr>
              <w:pStyle w:val="Compact"/>
              <w:jc w:val="left"/>
            </w:pPr>
            <w:r>
              <w:t xml:space="preserve">Annual Range</w:t>
            </w:r>
          </w:p>
        </w:tc>
        <w:tc>
          <w:tcPr/>
          <w:p>
            <w:pPr>
              <w:pStyle w:val="Compact"/>
              <w:jc w:val="left"/>
            </w:pPr>
            <w:r>
              <w:t xml:space="preserve">Notes</w:t>
            </w:r>
          </w:p>
        </w:tc>
      </w:tr>
      <w:tr>
        <w:tc>
          <w:tcPr/>
          <w:p>
            <w:pPr>
              <w:pStyle w:val="Compact"/>
              <w:jc w:val="left"/>
            </w:pPr>
            <w:r>
              <w:t xml:space="preserve">Traditional Double</w:t>
            </w:r>
          </w:p>
        </w:tc>
        <w:tc>
          <w:tcPr/>
          <w:p>
            <w:pPr>
              <w:pStyle w:val="Compact"/>
              <w:jc w:val="left"/>
            </w:pPr>
            <w:r>
              <w:t xml:space="preserve">$5,400 – $6,800</w:t>
            </w:r>
          </w:p>
        </w:tc>
        <w:tc>
          <w:tcPr/>
          <w:p>
            <w:pPr>
              <w:pStyle w:val="Compact"/>
              <w:jc w:val="left"/>
            </w:pPr>
            <w:r>
              <w:t xml:space="preserve">Shared room, communal bathroom</w:t>
            </w:r>
          </w:p>
        </w:tc>
      </w:tr>
      <w:tr>
        <w:tc>
          <w:tcPr/>
          <w:p>
            <w:pPr>
              <w:pStyle w:val="Compact"/>
              <w:jc w:val="left"/>
            </w:pPr>
            <w:r>
              <w:t xml:space="preserve">Single (Private)</w:t>
            </w:r>
          </w:p>
        </w:tc>
        <w:tc>
          <w:tcPr/>
          <w:p>
            <w:pPr>
              <w:pStyle w:val="Compact"/>
              <w:jc w:val="left"/>
            </w:pPr>
            <w:r>
              <w:t xml:space="preserve">$7,200 – $9,100</w:t>
            </w:r>
          </w:p>
        </w:tc>
        <w:tc>
          <w:tcPr/>
          <w:p>
            <w:pPr>
              <w:pStyle w:val="Compact"/>
              <w:jc w:val="left"/>
            </w:pPr>
            <w:r>
              <w:t xml:space="preserve">Private room, shared facilities</w:t>
            </w:r>
          </w:p>
        </w:tc>
      </w:tr>
      <w:tr>
        <w:tc>
          <w:tcPr/>
          <w:p>
            <w:pPr>
              <w:pStyle w:val="Compact"/>
              <w:jc w:val="left"/>
            </w:pPr>
            <w:r>
              <w:t xml:space="preserve">Suite-Style (2–4 students)</w:t>
            </w:r>
          </w:p>
        </w:tc>
        <w:tc>
          <w:tcPr/>
          <w:p>
            <w:pPr>
              <w:pStyle w:val="Compact"/>
              <w:jc w:val="left"/>
            </w:pPr>
            <w:r>
              <w:t xml:space="preserve">$8,600 – $10,400</w:t>
            </w:r>
          </w:p>
        </w:tc>
        <w:tc>
          <w:tcPr/>
          <w:p>
            <w:pPr>
              <w:pStyle w:val="Compact"/>
              <w:jc w:val="left"/>
            </w:pPr>
            <w:r>
              <w:t xml:space="preserve">Shared suite, en-suite bathroom</w:t>
            </w:r>
          </w:p>
        </w:tc>
      </w:tr>
      <w:tr>
        <w:tc>
          <w:tcPr/>
          <w:p>
            <w:pPr>
              <w:pStyle w:val="Compact"/>
              <w:jc w:val="left"/>
            </w:pPr>
            <w:r>
              <w:t xml:space="preserve">Apartment (Upperclass/Grad only)</w:t>
            </w:r>
          </w:p>
        </w:tc>
        <w:tc>
          <w:tcPr/>
          <w:p>
            <w:pPr>
              <w:pStyle w:val="Compact"/>
              <w:jc w:val="left"/>
            </w:pPr>
            <w:r>
              <w:t xml:space="preserve">$9,800 – $12,250</w:t>
            </w:r>
          </w:p>
        </w:tc>
        <w:tc>
          <w:tcPr/>
          <w:p>
            <w:pPr>
              <w:pStyle w:val="Compact"/>
              <w:jc w:val="left"/>
            </w:pPr>
            <w:r>
              <w:t xml:space="preserve">Kitchen, living room, private BR</w:t>
            </w:r>
          </w:p>
        </w:tc>
      </w:tr>
    </w:tbl>
    <w:p>
      <w:pPr>
        <w:numPr>
          <w:ilvl w:val="0"/>
          <w:numId w:val="1002"/>
        </w:numPr>
        <w:pStyle w:val="Compact"/>
      </w:pPr>
      <w:r>
        <w:rPr>
          <w:bCs/>
          <w:b/>
        </w:rPr>
        <w:t xml:space="preserve">Utilities and internet included in all campus housing</w:t>
      </w:r>
    </w:p>
    <w:p>
      <w:pPr>
        <w:numPr>
          <w:ilvl w:val="0"/>
          <w:numId w:val="1002"/>
        </w:numPr>
        <w:pStyle w:val="Compact"/>
      </w:pPr>
      <w:r>
        <w:rPr>
          <w:bCs/>
          <w:b/>
        </w:rPr>
        <w:t xml:space="preserve">Limited off-campus housing listings available ($450 – $950/month per person)</w:t>
      </w:r>
    </w:p>
    <w:p>
      <w:r>
        <w:pict>
          <v:rect style="width:0;height:1.5pt" o:hralign="center" o:hrstd="t" o:hr="t"/>
        </w:pict>
      </w:r>
    </w:p>
    <w:bookmarkEnd w:id="22"/>
    <w:bookmarkStart w:id="23" w:name="board-meal-plans"/>
    <w:p>
      <w:pPr>
        <w:pStyle w:val="Heading2"/>
      </w:pPr>
      <w:r>
        <w:t xml:space="preserve">4. Board (Meal Plans)</w:t>
      </w:r>
    </w:p>
    <w:p>
      <w:pPr>
        <w:pStyle w:val="FirstParagraph"/>
      </w:pPr>
      <w:r>
        <w:t xml:space="preserve">Meal plans are required for first- and second-year residents.</w:t>
      </w:r>
    </w:p>
    <w:tbl>
      <w:tblPr>
        <w:tblStyle w:val="Table"/>
        <w:tblW w:type="pct" w:w="5000"/>
        <w:tblLook w:firstRow="1" w:lastRow="0" w:firstColumn="0" w:lastColumn="0" w:noHBand="0" w:noVBand="0" w:val="0020"/>
      </w:tblPr>
      <w:tblGrid>
        <w:gridCol w:w="1844"/>
        <w:gridCol w:w="1952"/>
        <w:gridCol w:w="4122"/>
      </w:tblGrid>
      <w:tr>
        <w:trPr>
          <w:tblHeader w:val="true"/>
        </w:trPr>
        <w:tc>
          <w:tcPr/>
          <w:p>
            <w:pPr>
              <w:pStyle w:val="Compact"/>
              <w:jc w:val="left"/>
            </w:pPr>
            <w:r>
              <w:t xml:space="preserve">Plan Type</w:t>
            </w:r>
          </w:p>
        </w:tc>
        <w:tc>
          <w:tcPr/>
          <w:p>
            <w:pPr>
              <w:pStyle w:val="Compact"/>
              <w:jc w:val="left"/>
            </w:pPr>
            <w:r>
              <w:t xml:space="preserve">Annual Range</w:t>
            </w:r>
          </w:p>
        </w:tc>
        <w:tc>
          <w:tcPr/>
          <w:p>
            <w:pPr>
              <w:pStyle w:val="Compact"/>
              <w:jc w:val="left"/>
            </w:pPr>
            <w:r>
              <w:t xml:space="preserve">Average Meals per Week</w:t>
            </w:r>
          </w:p>
        </w:tc>
      </w:tr>
      <w:tr>
        <w:tc>
          <w:tcPr/>
          <w:p>
            <w:pPr>
              <w:pStyle w:val="Compact"/>
              <w:jc w:val="left"/>
            </w:pPr>
            <w:r>
              <w:t xml:space="preserve">Platinum</w:t>
            </w:r>
          </w:p>
        </w:tc>
        <w:tc>
          <w:tcPr/>
          <w:p>
            <w:pPr>
              <w:pStyle w:val="Compact"/>
              <w:jc w:val="left"/>
            </w:pPr>
            <w:r>
              <w:t xml:space="preserve">$5,200 – $5,850</w:t>
            </w:r>
          </w:p>
        </w:tc>
        <w:tc>
          <w:tcPr/>
          <w:p>
            <w:pPr>
              <w:pStyle w:val="Compact"/>
              <w:jc w:val="left"/>
            </w:pPr>
            <w:r>
              <w:t xml:space="preserve">Unlimited dining hall + retail credit</w:t>
            </w:r>
          </w:p>
        </w:tc>
      </w:tr>
      <w:tr>
        <w:tc>
          <w:tcPr/>
          <w:p>
            <w:pPr>
              <w:pStyle w:val="Compact"/>
              <w:jc w:val="left"/>
            </w:pPr>
            <w:r>
              <w:t xml:space="preserve">Gold</w:t>
            </w:r>
          </w:p>
        </w:tc>
        <w:tc>
          <w:tcPr/>
          <w:p>
            <w:pPr>
              <w:pStyle w:val="Compact"/>
              <w:jc w:val="left"/>
            </w:pPr>
            <w:r>
              <w:t xml:space="preserve">$4,600 – $5,100</w:t>
            </w:r>
          </w:p>
        </w:tc>
        <w:tc>
          <w:tcPr/>
          <w:p>
            <w:pPr>
              <w:pStyle w:val="Compact"/>
              <w:jc w:val="left"/>
            </w:pPr>
            <w:r>
              <w:t xml:space="preserve">14 meals/week + snack credits</w:t>
            </w:r>
          </w:p>
        </w:tc>
      </w:tr>
      <w:tr>
        <w:tc>
          <w:tcPr/>
          <w:p>
            <w:pPr>
              <w:pStyle w:val="Compact"/>
              <w:jc w:val="left"/>
            </w:pPr>
            <w:r>
              <w:t xml:space="preserve">Silver</w:t>
            </w:r>
          </w:p>
        </w:tc>
        <w:tc>
          <w:tcPr/>
          <w:p>
            <w:pPr>
              <w:pStyle w:val="Compact"/>
              <w:jc w:val="left"/>
            </w:pPr>
            <w:r>
              <w:t xml:space="preserve">$3,800 – $4,350</w:t>
            </w:r>
          </w:p>
        </w:tc>
        <w:tc>
          <w:tcPr/>
          <w:p>
            <w:pPr>
              <w:pStyle w:val="Compact"/>
              <w:jc w:val="left"/>
            </w:pPr>
            <w:r>
              <w:t xml:space="preserve">10 meals/week + à la carte access</w:t>
            </w:r>
          </w:p>
        </w:tc>
      </w:tr>
    </w:tbl>
    <w:p>
      <w:pPr>
        <w:numPr>
          <w:ilvl w:val="0"/>
          <w:numId w:val="1003"/>
        </w:numPr>
        <w:pStyle w:val="Compact"/>
      </w:pPr>
      <w:r>
        <w:rPr>
          <w:bCs/>
          <w:b/>
        </w:rPr>
        <w:t xml:space="preserve">Graduate and apartment residents may opt out or select partial plans ($700 – $2,200/year)</w:t>
      </w:r>
    </w:p>
    <w:p>
      <w:r>
        <w:pict>
          <v:rect style="width:0;height:1.5pt" o:hralign="center" o:hrstd="t" o:hr="t"/>
        </w:pict>
      </w:r>
    </w:p>
    <w:bookmarkEnd w:id="23"/>
    <w:bookmarkStart w:id="24" w:name="additionalestimated-expenses"/>
    <w:p>
      <w:pPr>
        <w:pStyle w:val="Heading2"/>
      </w:pPr>
      <w:r>
        <w:t xml:space="preserve">5. Additional/Estimated Expenses</w:t>
      </w:r>
    </w:p>
    <w:p>
      <w:pPr>
        <w:pStyle w:val="FirstParagraph"/>
      </w:pPr>
      <w:r>
        <w:t xml:space="preserve">These costs are estimates and may vary by program or personal choices.</w:t>
      </w:r>
    </w:p>
    <w:tbl>
      <w:tblPr>
        <w:tblStyle w:val="Table"/>
        <w:tblW w:type="pct" w:w="5000"/>
        <w:tblLook w:firstRow="1" w:lastRow="0" w:firstColumn="0" w:lastColumn="0" w:noHBand="0" w:noVBand="0" w:val="0020"/>
      </w:tblPr>
      <w:tblGrid>
        <w:gridCol w:w="2072"/>
        <w:gridCol w:w="1406"/>
        <w:gridCol w:w="4441"/>
      </w:tblGrid>
      <w:tr>
        <w:trPr>
          <w:tblHeader w:val="true"/>
        </w:trPr>
        <w:tc>
          <w:tcPr/>
          <w:p>
            <w:pPr>
              <w:pStyle w:val="Compact"/>
              <w:jc w:val="left"/>
            </w:pPr>
            <w:r>
              <w:t xml:space="preserve">Expense Category</w:t>
            </w:r>
          </w:p>
        </w:tc>
        <w:tc>
          <w:tcPr/>
          <w:p>
            <w:pPr>
              <w:pStyle w:val="Compact"/>
              <w:jc w:val="left"/>
            </w:pPr>
            <w:r>
              <w:t xml:space="preserve">Range (Annual)</w:t>
            </w:r>
          </w:p>
        </w:tc>
        <w:tc>
          <w:tcPr/>
          <w:p>
            <w:pPr>
              <w:pStyle w:val="Compact"/>
              <w:jc w:val="left"/>
            </w:pPr>
            <w:r>
              <w:t xml:space="preserve">Description</w:t>
            </w:r>
          </w:p>
        </w:tc>
      </w:tr>
      <w:tr>
        <w:tc>
          <w:tcPr/>
          <w:p>
            <w:pPr>
              <w:pStyle w:val="Compact"/>
              <w:jc w:val="left"/>
            </w:pPr>
            <w:r>
              <w:t xml:space="preserve">Books &amp; Materials</w:t>
            </w:r>
          </w:p>
        </w:tc>
        <w:tc>
          <w:tcPr/>
          <w:p>
            <w:pPr>
              <w:pStyle w:val="Compact"/>
              <w:jc w:val="left"/>
            </w:pPr>
            <w:r>
              <w:t xml:space="preserve">$950 – $1,400</w:t>
            </w:r>
          </w:p>
        </w:tc>
        <w:tc>
          <w:tcPr/>
          <w:p>
            <w:pPr>
              <w:pStyle w:val="Compact"/>
              <w:jc w:val="left"/>
            </w:pPr>
            <w:r>
              <w:t xml:space="preserve">Varies by discipline and course load</w:t>
            </w:r>
          </w:p>
        </w:tc>
      </w:tr>
      <w:tr>
        <w:tc>
          <w:tcPr/>
          <w:p>
            <w:pPr>
              <w:pStyle w:val="Compact"/>
              <w:jc w:val="left"/>
            </w:pPr>
            <w:r>
              <w:t xml:space="preserve">Course/Lab Fees</w:t>
            </w:r>
          </w:p>
        </w:tc>
        <w:tc>
          <w:tcPr/>
          <w:p>
            <w:pPr>
              <w:pStyle w:val="Compact"/>
              <w:jc w:val="left"/>
            </w:pPr>
            <w:r>
              <w:t xml:space="preserve">$120 – $650</w:t>
            </w:r>
          </w:p>
        </w:tc>
        <w:tc>
          <w:tcPr/>
          <w:p>
            <w:pPr>
              <w:pStyle w:val="Compact"/>
              <w:jc w:val="left"/>
            </w:pPr>
            <w:r>
              <w:t xml:space="preserve">Charged for select courses (labs, art studios, etc.)</w:t>
            </w:r>
          </w:p>
        </w:tc>
      </w:tr>
      <w:tr>
        <w:tc>
          <w:tcPr/>
          <w:p>
            <w:pPr>
              <w:pStyle w:val="Compact"/>
              <w:jc w:val="left"/>
            </w:pPr>
            <w:r>
              <w:t xml:space="preserve">Transportation</w:t>
            </w:r>
          </w:p>
        </w:tc>
        <w:tc>
          <w:tcPr/>
          <w:p>
            <w:pPr>
              <w:pStyle w:val="Compact"/>
              <w:jc w:val="left"/>
            </w:pPr>
            <w:r>
              <w:t xml:space="preserve">$650 – $1,200</w:t>
            </w:r>
          </w:p>
        </w:tc>
        <w:tc>
          <w:tcPr/>
          <w:p>
            <w:pPr>
              <w:pStyle w:val="Compact"/>
              <w:jc w:val="left"/>
            </w:pPr>
            <w:r>
              <w:t xml:space="preserve">Local bus pass, occasional travel, parking if applicable</w:t>
            </w:r>
          </w:p>
        </w:tc>
      </w:tr>
      <w:tr>
        <w:tc>
          <w:tcPr/>
          <w:p>
            <w:pPr>
              <w:pStyle w:val="Compact"/>
              <w:jc w:val="left"/>
            </w:pPr>
            <w:r>
              <w:t xml:space="preserve">Personal/Miscellaneous</w:t>
            </w:r>
          </w:p>
        </w:tc>
        <w:tc>
          <w:tcPr/>
          <w:p>
            <w:pPr>
              <w:pStyle w:val="Compact"/>
              <w:jc w:val="left"/>
            </w:pPr>
            <w:r>
              <w:t xml:space="preserve">$1,300 – $2,100</w:t>
            </w:r>
          </w:p>
        </w:tc>
        <w:tc>
          <w:tcPr/>
          <w:p>
            <w:pPr>
              <w:pStyle w:val="Compact"/>
              <w:jc w:val="left"/>
            </w:pPr>
            <w:r>
              <w:t xml:space="preserve">Clothing, laundry, personal care, entertainment</w:t>
            </w:r>
          </w:p>
        </w:tc>
      </w:tr>
      <w:tr>
        <w:tc>
          <w:tcPr/>
          <w:p>
            <w:pPr>
              <w:pStyle w:val="Compact"/>
              <w:jc w:val="left"/>
            </w:pPr>
            <w:r>
              <w:t xml:space="preserve">Health Insurance</w:t>
            </w:r>
          </w:p>
        </w:tc>
        <w:tc>
          <w:tcPr/>
          <w:p>
            <w:pPr>
              <w:pStyle w:val="Compact"/>
              <w:jc w:val="left"/>
            </w:pPr>
            <w:r>
              <w:t xml:space="preserve">$1,750 – $3,150</w:t>
            </w:r>
          </w:p>
        </w:tc>
        <w:tc>
          <w:tcPr/>
          <w:p>
            <w:pPr>
              <w:pStyle w:val="Compact"/>
              <w:jc w:val="left"/>
            </w:pPr>
            <w:r>
              <w:t xml:space="preserve">Required for those without comparable coverage</w:t>
            </w:r>
          </w:p>
        </w:tc>
      </w:tr>
      <w:tr>
        <w:tc>
          <w:tcPr/>
          <w:p>
            <w:pPr>
              <w:pStyle w:val="Compact"/>
              <w:jc w:val="left"/>
            </w:pPr>
            <w:r>
              <w:t xml:space="preserve">Study Abroad Fees</w:t>
            </w:r>
          </w:p>
        </w:tc>
        <w:tc>
          <w:tcPr/>
          <w:p>
            <w:pPr>
              <w:pStyle w:val="Compact"/>
              <w:jc w:val="left"/>
            </w:pPr>
            <w:r>
              <w:t xml:space="preserve">$1,800 – $6,900</w:t>
            </w:r>
          </w:p>
        </w:tc>
        <w:tc>
          <w:tcPr/>
          <w:p>
            <w:pPr>
              <w:pStyle w:val="Compact"/>
              <w:jc w:val="left"/>
            </w:pPr>
            <w:r>
              <w:t xml:space="preserve">For approved global education program participants</w:t>
            </w:r>
          </w:p>
        </w:tc>
      </w:tr>
      <w:tr>
        <w:tc>
          <w:tcPr/>
          <w:p>
            <w:pPr>
              <w:pStyle w:val="Compact"/>
              <w:jc w:val="left"/>
            </w:pPr>
            <w:r>
              <w:t xml:space="preserve">Graduation Fee</w:t>
            </w:r>
          </w:p>
        </w:tc>
        <w:tc>
          <w:tcPr/>
          <w:p>
            <w:pPr>
              <w:pStyle w:val="Compact"/>
              <w:jc w:val="left"/>
            </w:pPr>
            <w:r>
              <w:t xml:space="preserve">$90 – $200</w:t>
            </w:r>
          </w:p>
        </w:tc>
        <w:tc>
          <w:tcPr/>
          <w:p>
            <w:pPr>
              <w:pStyle w:val="Compact"/>
              <w:jc w:val="left"/>
            </w:pPr>
            <w:r>
              <w:t xml:space="preserve">Assessed in final semester</w:t>
            </w:r>
          </w:p>
        </w:tc>
      </w:tr>
    </w:tbl>
    <w:p>
      <w:r>
        <w:pict>
          <v:rect style="width:0;height:1.5pt" o:hralign="center" o:hrstd="t" o:hr="t"/>
        </w:pict>
      </w:r>
    </w:p>
    <w:bookmarkEnd w:id="24"/>
    <w:bookmarkStart w:id="25" w:name="Xf11719b1ceb9194ec2c0027209eb79e43a5b07d"/>
    <w:p>
      <w:pPr>
        <w:pStyle w:val="Heading2"/>
      </w:pPr>
      <w:r>
        <w:t xml:space="preserve">6. Summary Table: Sample Undergraduate Annual Budget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Category</w:t>
            </w:r>
          </w:p>
        </w:tc>
        <w:tc>
          <w:tcPr/>
          <w:p>
            <w:pPr>
              <w:pStyle w:val="Compact"/>
              <w:jc w:val="left"/>
            </w:pPr>
            <w:r>
              <w:t xml:space="preserve">Estimated Range</w:t>
            </w:r>
          </w:p>
        </w:tc>
      </w:tr>
      <w:tr>
        <w:tc>
          <w:tcPr/>
          <w:p>
            <w:pPr>
              <w:pStyle w:val="Compact"/>
              <w:jc w:val="left"/>
            </w:pPr>
            <w:r>
              <w:t xml:space="preserve">Tuition</w:t>
            </w:r>
          </w:p>
        </w:tc>
        <w:tc>
          <w:tcPr/>
          <w:p>
            <w:pPr>
              <w:pStyle w:val="Compact"/>
              <w:jc w:val="left"/>
            </w:pPr>
            <w:r>
              <w:t xml:space="preserve">$24,000 – $32,000</w:t>
            </w:r>
          </w:p>
        </w:tc>
      </w:tr>
      <w:tr>
        <w:tc>
          <w:tcPr/>
          <w:p>
            <w:pPr>
              <w:pStyle w:val="Compact"/>
              <w:jc w:val="left"/>
            </w:pPr>
            <w:r>
              <w:t xml:space="preserve">Mandatory Fees</w:t>
            </w:r>
          </w:p>
        </w:tc>
        <w:tc>
          <w:tcPr/>
          <w:p>
            <w:pPr>
              <w:pStyle w:val="Compact"/>
              <w:jc w:val="left"/>
            </w:pPr>
            <w:r>
              <w:t xml:space="preserve">$935 – $1,410</w:t>
            </w:r>
          </w:p>
        </w:tc>
      </w:tr>
      <w:tr>
        <w:tc>
          <w:tcPr/>
          <w:p>
            <w:pPr>
              <w:pStyle w:val="Compact"/>
              <w:jc w:val="left"/>
            </w:pPr>
            <w:r>
              <w:t xml:space="preserve">Room (Housing)</w:t>
            </w:r>
          </w:p>
        </w:tc>
        <w:tc>
          <w:tcPr/>
          <w:p>
            <w:pPr>
              <w:pStyle w:val="Compact"/>
              <w:jc w:val="left"/>
            </w:pPr>
            <w:r>
              <w:t xml:space="preserve">$5,400 – $12,250</w:t>
            </w:r>
          </w:p>
        </w:tc>
      </w:tr>
      <w:tr>
        <w:tc>
          <w:tcPr/>
          <w:p>
            <w:pPr>
              <w:pStyle w:val="Compact"/>
              <w:jc w:val="left"/>
            </w:pPr>
            <w:r>
              <w:t xml:space="preserve">Board (Meal Plan)</w:t>
            </w:r>
          </w:p>
        </w:tc>
        <w:tc>
          <w:tcPr/>
          <w:p>
            <w:pPr>
              <w:pStyle w:val="Compact"/>
              <w:jc w:val="left"/>
            </w:pPr>
            <w:r>
              <w:t xml:space="preserve">$3,800 – $5,850</w:t>
            </w:r>
          </w:p>
        </w:tc>
      </w:tr>
      <w:tr>
        <w:tc>
          <w:tcPr/>
          <w:p>
            <w:pPr>
              <w:pStyle w:val="Compact"/>
              <w:jc w:val="left"/>
            </w:pPr>
            <w:r>
              <w:t xml:space="preserve">Books &amp; Supplies</w:t>
            </w:r>
          </w:p>
        </w:tc>
        <w:tc>
          <w:tcPr/>
          <w:p>
            <w:pPr>
              <w:pStyle w:val="Compact"/>
              <w:jc w:val="left"/>
            </w:pPr>
            <w:r>
              <w:t xml:space="preserve">$950 – $1,400</w:t>
            </w:r>
          </w:p>
        </w:tc>
      </w:tr>
      <w:tr>
        <w:tc>
          <w:tcPr/>
          <w:p>
            <w:pPr>
              <w:pStyle w:val="Compact"/>
              <w:jc w:val="left"/>
            </w:pPr>
            <w:r>
              <w:t xml:space="preserve">Personal Expenses</w:t>
            </w:r>
          </w:p>
        </w:tc>
        <w:tc>
          <w:tcPr/>
          <w:p>
            <w:pPr>
              <w:pStyle w:val="Compact"/>
              <w:jc w:val="left"/>
            </w:pPr>
            <w:r>
              <w:t xml:space="preserve">$1,300 – $2,100</w:t>
            </w:r>
          </w:p>
        </w:tc>
      </w:tr>
      <w:tr>
        <w:tc>
          <w:tcPr/>
          <w:p>
            <w:pPr>
              <w:pStyle w:val="Compact"/>
              <w:jc w:val="left"/>
            </w:pPr>
            <w:r>
              <w:t xml:space="preserve">Transportation</w:t>
            </w:r>
          </w:p>
        </w:tc>
        <w:tc>
          <w:tcPr/>
          <w:p>
            <w:pPr>
              <w:pStyle w:val="Compact"/>
              <w:jc w:val="left"/>
            </w:pPr>
            <w:r>
              <w:t xml:space="preserve">$650 – $1,200</w:t>
            </w:r>
          </w:p>
        </w:tc>
      </w:tr>
      <w:tr>
        <w:tc>
          <w:tcPr/>
          <w:p>
            <w:pPr>
              <w:pStyle w:val="Compact"/>
              <w:jc w:val="left"/>
            </w:pPr>
            <w:r>
              <w:t xml:space="preserve">Health Insurance</w:t>
            </w:r>
          </w:p>
        </w:tc>
        <w:tc>
          <w:tcPr/>
          <w:p>
            <w:pPr>
              <w:pStyle w:val="Compact"/>
              <w:jc w:val="left"/>
            </w:pPr>
            <w:r>
              <w:t xml:space="preserve">$1,750 – $3,150</w:t>
            </w:r>
          </w:p>
        </w:tc>
      </w:tr>
      <w:tr>
        <w:tc>
          <w:tcPr/>
          <w:p>
            <w:pPr>
              <w:pStyle w:val="Compact"/>
              <w:jc w:val="left"/>
            </w:pPr>
            <w:r>
              <w:rPr>
                <w:bCs/>
                <w:b/>
              </w:rPr>
              <w:t xml:space="preserve">Estimated Total</w:t>
            </w:r>
          </w:p>
        </w:tc>
        <w:tc>
          <w:tcPr/>
          <w:p>
            <w:pPr>
              <w:pStyle w:val="Compact"/>
              <w:jc w:val="left"/>
            </w:pPr>
            <w:r>
              <w:rPr>
                <w:bCs/>
                <w:b/>
              </w:rPr>
              <w:t xml:space="preserve">$38,785 – $59,360</w:t>
            </w:r>
          </w:p>
        </w:tc>
      </w:tr>
    </w:tbl>
    <w:p>
      <w:r>
        <w:pict>
          <v:rect style="width:0;height:1.5pt" o:hralign="center" o:hrstd="t" o:hr="t"/>
        </w:pict>
      </w:r>
    </w:p>
    <w:bookmarkEnd w:id="25"/>
    <w:bookmarkStart w:id="27" w:name="important-notes"/>
    <w:p>
      <w:pPr>
        <w:pStyle w:val="Heading2"/>
      </w:pPr>
      <w:r>
        <w:t xml:space="preserve">7. Important Notes</w:t>
      </w:r>
    </w:p>
    <w:p>
      <w:pPr>
        <w:numPr>
          <w:ilvl w:val="0"/>
          <w:numId w:val="1004"/>
        </w:numPr>
        <w:pStyle w:val="Compact"/>
      </w:pPr>
      <w:r>
        <w:rPr>
          <w:bCs/>
          <w:b/>
        </w:rPr>
        <w:t xml:space="preserve">Scholarships, grants, and financial aid</w:t>
      </w:r>
      <w:r>
        <w:t xml:space="preserve"> </w:t>
      </w:r>
      <w:r>
        <w:t xml:space="preserve">are available; contact the Office of Financial Assistance for eligibility.</w:t>
      </w:r>
    </w:p>
    <w:p>
      <w:pPr>
        <w:numPr>
          <w:ilvl w:val="0"/>
          <w:numId w:val="1004"/>
        </w:numPr>
        <w:pStyle w:val="Compact"/>
      </w:pPr>
      <w:r>
        <w:t xml:space="preserve">Some specialized programs (e.g., Nursing, Engineering, Study Abroad) may charge additional instructional or experiential fees.</w:t>
      </w:r>
    </w:p>
    <w:p>
      <w:pPr>
        <w:numPr>
          <w:ilvl w:val="0"/>
          <w:numId w:val="1004"/>
        </w:numPr>
        <w:pStyle w:val="Compact"/>
      </w:pPr>
      <w:r>
        <w:t xml:space="preserve">All fees are subject to annual review and adjustment by the Board of Trustees.</w:t>
      </w:r>
    </w:p>
    <w:p>
      <w:pPr>
        <w:numPr>
          <w:ilvl w:val="0"/>
          <w:numId w:val="1004"/>
        </w:numPr>
        <w:pStyle w:val="Compact"/>
      </w:pPr>
      <w:r>
        <w:t xml:space="preserve">Billing is conducted on a semester basis; flexible payment plans are available upon request.</w:t>
      </w:r>
    </w:p>
    <w:p>
      <w:pPr>
        <w:numPr>
          <w:ilvl w:val="0"/>
          <w:numId w:val="1004"/>
        </w:numPr>
        <w:pStyle w:val="Compact"/>
      </w:pPr>
      <w:r>
        <w:t xml:space="preserve">Questions about campus fees should be addressed to bursar@cendara.edu.</w:t>
      </w:r>
    </w:p>
    <w:p>
      <w:r>
        <w:pict>
          <v:rect style="width:0;height:1.5pt" o:hralign="center" o:hrstd="t" o:hr="t"/>
        </w:pict>
      </w:r>
    </w:p>
    <w:p>
      <w:pPr>
        <w:pStyle w:val="FirstParagraph"/>
      </w:pPr>
      <w:r>
        <w:t xml:space="preserve">For complete policy details, including payment deadlines and refund schedules, please refer to the</w:t>
      </w:r>
      <w:r>
        <w:t xml:space="preserve"> </w:t>
      </w:r>
      <w:hyperlink r:id="rId26">
        <w:r>
          <w:rPr>
            <w:rStyle w:val="Hyperlink"/>
          </w:rPr>
          <w:t xml:space="preserve">Cendara University Student Accounts Handbook</w:t>
        </w:r>
      </w:hyperlink>
      <w:r>
        <w:t xml:space="preserve">.</w:t>
      </w:r>
    </w:p>
    <w:p>
      <w:r>
        <w:pict>
          <v:rect style="width:0;height:1.5pt" o:hralign="center" o:hrstd="t" o:hr="t"/>
        </w:pic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ccounts.cendara.edu/handbook" TargetMode="External" /></Relationships>
</file>

<file path=word/_rels/footnotes.xml.rels><?xml version="1.0" encoding="UTF-8"?><Relationships xmlns="http://schemas.openxmlformats.org/package/2006/relationships"><Relationship Type="http://schemas.openxmlformats.org/officeDocument/2006/relationships/hyperlink" Id="rId26" Target="https://accounts.cendara.edu/hand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2025-07-29T15:05:14Z</dcterms:created>
  <dcterms:modified xsi:type="dcterms:W3CDTF">2025-07-29T15:05:14Z</dcterms:modified>
</cp:coreProperties>
</file>

<file path=docProps/custom.xml><?xml version="1.0" encoding="utf-8"?>
<Properties xmlns="http://schemas.openxmlformats.org/officeDocument/2006/custom-properties" xmlns:vt="http://schemas.openxmlformats.org/officeDocument/2006/docPropsVTypes"/>
</file>