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928d0ec3ea1049441052de9952161df6db2199"/>
    <w:p>
      <w:pPr>
        <w:pStyle w:val="Heading1"/>
      </w:pPr>
      <w:r>
        <w:t xml:space="preserve">Cendara University Affiliations &amp; Exchange Programs</w:t>
      </w:r>
    </w:p>
    <w:p>
      <w:r>
        <w:pict>
          <v:rect style="width:0;height:1.5pt" o:hralign="center" o:hrstd="t" o:hr="t"/>
        </w:pict>
      </w:r>
    </w:p>
    <w:bookmarkStart w:id="22" w:name="international-university-partnerships"/>
    <w:p>
      <w:pPr>
        <w:pStyle w:val="Heading2"/>
      </w:pPr>
      <w:r>
        <w:t xml:space="preserve">1. International University Partnerships</w:t>
      </w:r>
    </w:p>
    <w:p>
      <w:pPr>
        <w:pStyle w:val="FirstParagraph"/>
      </w:pPr>
      <w:r>
        <w:t xml:space="preserve">Cendara University maintains robust institutional affiliations with leading universities and educational organizations around the world. These partnerships facilitate academic collaboration, research initiatives, faculty exchanges, and student mobility.</w:t>
      </w:r>
    </w:p>
    <w:bookmarkStart w:id="20" w:name="a.-active-affiliations"/>
    <w:p>
      <w:pPr>
        <w:pStyle w:val="Heading3"/>
      </w:pPr>
      <w:r>
        <w:t xml:space="preserve">A. Active Affiliations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4"/>
        <w:gridCol w:w="948"/>
        <w:gridCol w:w="2175"/>
        <w:gridCol w:w="892"/>
        <w:gridCol w:w="14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Partner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 School of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&amp; Faculty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Informatics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Institute of Social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Consortium, Joint Seminars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Sociology, Public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Asia University Consortium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Japan, S.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Degree Programs, Summer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Pontifica Universidad del 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Study Abroad, Joint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Université de la Loire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Sabbatical Exchange, 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Humanities, Linguistics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Victoria State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Abroad, Joint Research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Marine Biology</w:t>
            </w:r>
          </w:p>
        </w:tc>
      </w:tr>
    </w:tbl>
    <w:bookmarkEnd w:id="20"/>
    <w:bookmarkStart w:id="21" w:name="b.-academic-networks"/>
    <w:p>
      <w:pPr>
        <w:pStyle w:val="Heading3"/>
      </w:pPr>
      <w:r>
        <w:t xml:space="preserve">B. Academic Networks</w:t>
      </w:r>
    </w:p>
    <w:p>
      <w:pPr>
        <w:pStyle w:val="FirstParagraph"/>
      </w:pPr>
      <w:r>
        <w:t xml:space="preserve">Cendara University is an active member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Education Connect (GEC):</w:t>
      </w:r>
      <w:r>
        <w:t xml:space="preserve"> </w:t>
      </w:r>
      <w:r>
        <w:t xml:space="preserve">A network of 250+ universities fostering global teaching and learning innovation.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Consortium for Sustainability R&amp;D:</w:t>
      </w:r>
      <w:r>
        <w:t xml:space="preserve"> </w:t>
      </w:r>
      <w:r>
        <w:t xml:space="preserve">Focused on climate resilience and environmental sciences.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Intercollegiate Language Partners (ILP):</w:t>
      </w:r>
      <w:r>
        <w:t xml:space="preserve"> </w:t>
      </w:r>
      <w:r>
        <w:t xml:space="preserve">Collaborative projects in translation, interpretation, and cross-cultural communication.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student-exchange-programs"/>
    <w:p>
      <w:pPr>
        <w:pStyle w:val="Heading2"/>
      </w:pPr>
      <w:r>
        <w:t xml:space="preserve">2. Student Exchange Programs</w:t>
      </w:r>
    </w:p>
    <w:p>
      <w:pPr>
        <w:pStyle w:val="FirstParagraph"/>
      </w:pPr>
      <w:r>
        <w:t xml:space="preserve">Cendara University’s Office of International Affairs (OIA) manages a diverse portfolio of exchange opportunities for both inbound and outbound students.</w:t>
      </w:r>
    </w:p>
    <w:bookmarkStart w:id="25" w:name="a.-outbound-exchange-programs"/>
    <w:p>
      <w:pPr>
        <w:pStyle w:val="Heading3"/>
      </w:pPr>
      <w:r>
        <w:t xml:space="preserve">A. Outbound Exchange Programs</w:t>
      </w:r>
    </w:p>
    <w:bookmarkStart w:id="23" w:name="semester-year-long-exchanges"/>
    <w:p>
      <w:pPr>
        <w:pStyle w:val="Heading4"/>
      </w:pPr>
      <w:r>
        <w:t xml:space="preserve">Semester &amp; Year-Long Exchanges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Eligibility:</w:t>
      </w:r>
      <w:r>
        <w:t xml:space="preserve"> </w:t>
      </w:r>
      <w:r>
        <w:t xml:space="preserve">Fully enrolled undergraduate or graduate students, minimum GPA 3.0, language proficiency as required by host.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Destinations (2024/25 academic year):</w:t>
      </w:r>
    </w:p>
    <w:p>
      <w:pPr>
        <w:numPr>
          <w:ilvl w:val="1"/>
          <w:numId w:val="1003"/>
        </w:numPr>
        <w:pStyle w:val="Compact"/>
      </w:pPr>
      <w:r>
        <w:t xml:space="preserve">Humboldt School of Technology, Berlin (Engineering)</w:t>
      </w:r>
    </w:p>
    <w:p>
      <w:pPr>
        <w:numPr>
          <w:ilvl w:val="1"/>
          <w:numId w:val="1003"/>
        </w:numPr>
        <w:pStyle w:val="Compact"/>
      </w:pPr>
      <w:r>
        <w:t xml:space="preserve">Royal Institute of Social Sciences, London (Political Science &amp; Sociology)</w:t>
      </w:r>
    </w:p>
    <w:p>
      <w:pPr>
        <w:numPr>
          <w:ilvl w:val="1"/>
          <w:numId w:val="1003"/>
        </w:numPr>
        <w:pStyle w:val="Compact"/>
      </w:pPr>
      <w:r>
        <w:t xml:space="preserve">Université de la Loire, Tours (French Studies, Philosophy)</w:t>
      </w:r>
    </w:p>
    <w:p>
      <w:pPr>
        <w:numPr>
          <w:ilvl w:val="1"/>
          <w:numId w:val="1003"/>
        </w:numPr>
        <w:pStyle w:val="Compact"/>
      </w:pPr>
      <w:r>
        <w:t xml:space="preserve">Victoria State University, Melbourne (Environmental Sciences, Marine Biology)</w:t>
      </w:r>
    </w:p>
    <w:bookmarkEnd w:id="23"/>
    <w:bookmarkStart w:id="24" w:name="summer-programs"/>
    <w:p>
      <w:pPr>
        <w:pStyle w:val="Heading4"/>
      </w:pPr>
      <w:r>
        <w:t xml:space="preserve">Summer Programs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East Asia Cultural Immersion (Seoul, Tokyo):</w:t>
      </w:r>
      <w:r>
        <w:t xml:space="preserve"> </w:t>
      </w:r>
      <w:r>
        <w:t xml:space="preserve">6-week program featuring language courses, company visits, and cultural excursions.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Pontifica Universidad del Sur (Santiago):</w:t>
      </w:r>
      <w:r>
        <w:t xml:space="preserve"> </w:t>
      </w:r>
      <w:r>
        <w:t xml:space="preserve">4-week Sustainability and Community Action project.</w:t>
      </w:r>
    </w:p>
    <w:bookmarkEnd w:id="24"/>
    <w:bookmarkEnd w:id="25"/>
    <w:bookmarkStart w:id="26" w:name="b.-inbound-exchange-opportunities"/>
    <w:p>
      <w:pPr>
        <w:pStyle w:val="Heading3"/>
      </w:pPr>
      <w:r>
        <w:t xml:space="preserve">B. Inbound Exchange Opportunities</w:t>
      </w:r>
    </w:p>
    <w:p>
      <w:pPr>
        <w:pStyle w:val="FirstParagraph"/>
      </w:pPr>
      <w:r>
        <w:t xml:space="preserve">Cendara University welcomes over 70 exchange students annually from partner institutions. The following services are provided:</w:t>
      </w:r>
    </w:p>
    <w:p>
      <w:pPr>
        <w:numPr>
          <w:ilvl w:val="0"/>
          <w:numId w:val="1005"/>
        </w:numPr>
        <w:pStyle w:val="Compact"/>
      </w:pPr>
      <w:r>
        <w:t xml:space="preserve">Pre-arrival orientation</w:t>
      </w:r>
    </w:p>
    <w:p>
      <w:pPr>
        <w:numPr>
          <w:ilvl w:val="0"/>
          <w:numId w:val="1005"/>
        </w:numPr>
        <w:pStyle w:val="Compact"/>
      </w:pPr>
      <w:r>
        <w:t xml:space="preserve">Dedicated exchange student housing in Sterling Residence Hall</w:t>
      </w:r>
    </w:p>
    <w:p>
      <w:pPr>
        <w:numPr>
          <w:ilvl w:val="0"/>
          <w:numId w:val="1005"/>
        </w:numPr>
        <w:pStyle w:val="Compact"/>
      </w:pPr>
      <w:r>
        <w:t xml:space="preserve">Academic advising and language support</w:t>
      </w:r>
    </w:p>
    <w:p>
      <w:pPr>
        <w:numPr>
          <w:ilvl w:val="0"/>
          <w:numId w:val="1005"/>
        </w:numPr>
        <w:pStyle w:val="Compact"/>
      </w:pPr>
      <w:r>
        <w:t xml:space="preserve">Peer mentorship and local culture introduction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aculty-researcher-exchange"/>
    <w:p>
      <w:pPr>
        <w:pStyle w:val="Heading2"/>
      </w:pPr>
      <w:r>
        <w:t xml:space="preserve">3. Faculty &amp; Researcher Exchange</w:t>
      </w:r>
    </w:p>
    <w:p>
      <w:pPr>
        <w:pStyle w:val="FirstParagraph"/>
      </w:pPr>
      <w:r>
        <w:t xml:space="preserve">Faculty and research staff at Cendara University have access 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Sabbatical Placement:</w:t>
      </w:r>
      <w:r>
        <w:t xml:space="preserve"> </w:t>
      </w:r>
      <w:r>
        <w:t xml:space="preserve">Up to 2 semesters at Université de la Loire (Humanities Faculty) or Humboldt School of Technology (STEM departments).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Research Collaboration Grants:</w:t>
      </w:r>
      <w:r>
        <w:t xml:space="preserve"> </w:t>
      </w:r>
      <w:r>
        <w:t xml:space="preserve">Joint funding with partner institutions for bi-annual themed workshops and collaborative research, e.g., the Royal Institute of Social Sciences’ annual Urban Studies Colloquium.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Teaching Fellowships:</w:t>
      </w:r>
      <w:r>
        <w:t xml:space="preserve"> </w:t>
      </w:r>
      <w:r>
        <w:t xml:space="preserve">Visiting faculty positions at East Asia University Consortium with curriculum development roles and teaching assignments.</w:t>
      </w:r>
    </w:p>
    <w:p>
      <w:r>
        <w:pict>
          <v:rect style="width:0;height:1.5pt" o:hralign="center" o:hrstd="t" o:hr="t"/>
        </w:pict>
      </w:r>
    </w:p>
    <w:bookmarkEnd w:id="28"/>
    <w:bookmarkStart w:id="29" w:name="visiting-scholars-program"/>
    <w:p>
      <w:pPr>
        <w:pStyle w:val="Heading2"/>
      </w:pPr>
      <w:r>
        <w:t xml:space="preserve">4. Visiting Scholars Program</w:t>
      </w:r>
    </w:p>
    <w:p>
      <w:pPr>
        <w:pStyle w:val="FirstParagraph"/>
      </w:pPr>
      <w:r>
        <w:t xml:space="preserve">The Visiting Scholars Program offers short-term residencies (2–12 months) for faculty and postdoctoral researchers affiliated with partner universities.</w:t>
      </w:r>
    </w:p>
    <w:p>
      <w:pPr>
        <w:pStyle w:val="BodyText"/>
      </w:pPr>
      <w:r>
        <w:rPr>
          <w:bCs/>
          <w:b/>
        </w:rPr>
        <w:t xml:space="preserve">2023–2024 Recent Visiting Scholars: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70"/>
        <w:gridCol w:w="2029"/>
        <w:gridCol w:w="1505"/>
        <w:gridCol w:w="916"/>
        <w:gridCol w:w="18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Cendara Host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Hanae Sakamoto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University, 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Mar–Aug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Modern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Prof. Rohan Nambiar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State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Marine 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Jan–Jun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Environmental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Inés Villalobos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Pontifica Universidad del 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Sociology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Aug–Dec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Sociology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how-to-apply"/>
    <w:p>
      <w:pPr>
        <w:pStyle w:val="Heading2"/>
      </w:pPr>
      <w:r>
        <w:t xml:space="preserve">5. How to Apply</w:t>
      </w:r>
    </w:p>
    <w:p>
      <w:pPr>
        <w:pStyle w:val="FirstParagraph"/>
      </w:pPr>
      <w:r>
        <w:rPr>
          <w:bCs/>
          <w:b/>
        </w:rPr>
        <w:t xml:space="preserve">For Cendara University Students:</w:t>
      </w:r>
    </w:p>
    <w:p>
      <w:pPr>
        <w:numPr>
          <w:ilvl w:val="0"/>
          <w:numId w:val="1007"/>
        </w:numPr>
        <w:pStyle w:val="Compact"/>
      </w:pPr>
      <w:r>
        <w:t xml:space="preserve">Attend a mandatory Exchange Program Information Session (monthly, OIA Conference Room).</w:t>
      </w:r>
    </w:p>
    <w:p>
      <w:pPr>
        <w:numPr>
          <w:ilvl w:val="0"/>
          <w:numId w:val="1007"/>
        </w:numPr>
        <w:pStyle w:val="Compact"/>
      </w:pPr>
      <w:r>
        <w:t xml:space="preserve">Consult with academic advisors for course and credit transfer planning.</w:t>
      </w:r>
    </w:p>
    <w:p>
      <w:pPr>
        <w:numPr>
          <w:ilvl w:val="0"/>
          <w:numId w:val="1007"/>
        </w:numPr>
        <w:pStyle w:val="Compact"/>
      </w:pPr>
      <w:r>
        <w:t xml:space="preserve">Submit complete application and supporting materials (transcript, personal statement, recommendation letter) by</w:t>
      </w:r>
      <w:r>
        <w:t xml:space="preserve"> </w:t>
      </w:r>
      <w:r>
        <w:rPr>
          <w:bCs/>
          <w:b/>
        </w:rPr>
        <w:t xml:space="preserve">March 1 (Fall)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October 1 (Spring)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For Inbound Students:</w:t>
      </w:r>
    </w:p>
    <w:p>
      <w:pPr>
        <w:numPr>
          <w:ilvl w:val="0"/>
          <w:numId w:val="1008"/>
        </w:numPr>
        <w:pStyle w:val="Compact"/>
      </w:pPr>
      <w:r>
        <w:t xml:space="preserve">Must be nominated by partner institution coordinator.</w:t>
      </w:r>
    </w:p>
    <w:p>
      <w:pPr>
        <w:numPr>
          <w:ilvl w:val="0"/>
          <w:numId w:val="1008"/>
        </w:numPr>
        <w:pStyle w:val="Compact"/>
      </w:pPr>
      <w:r>
        <w:t xml:space="preserve">Submit online application via Cendara University OIA Portal.</w:t>
      </w:r>
    </w:p>
    <w:p>
      <w:pPr>
        <w:numPr>
          <w:ilvl w:val="0"/>
          <w:numId w:val="1008"/>
        </w:numPr>
        <w:pStyle w:val="Compact"/>
      </w:pPr>
      <w:r>
        <w:t xml:space="preserve">Provide proof of English proficiency (TOEFL iBT ≥ 80 or IELTS ≥ 6.0 unless enrolled in English-medium program).</w:t>
      </w:r>
    </w:p>
    <w:p>
      <w:pPr>
        <w:pStyle w:val="FirstParagraph"/>
      </w:pPr>
      <w:r>
        <w:rPr>
          <w:bCs/>
          <w:b/>
        </w:rPr>
        <w:t xml:space="preserve">For Faculty/Researchers:</w:t>
      </w:r>
    </w:p>
    <w:p>
      <w:pPr>
        <w:numPr>
          <w:ilvl w:val="0"/>
          <w:numId w:val="1009"/>
        </w:numPr>
        <w:pStyle w:val="Compact"/>
      </w:pPr>
      <w:r>
        <w:t xml:space="preserve">Contact departmental international liaison for available placements.</w:t>
      </w:r>
    </w:p>
    <w:p>
      <w:pPr>
        <w:numPr>
          <w:ilvl w:val="0"/>
          <w:numId w:val="1009"/>
        </w:numPr>
        <w:pStyle w:val="Compact"/>
      </w:pPr>
      <w:r>
        <w:t xml:space="preserve">Prepare research proposal or teaching plan.</w:t>
      </w:r>
    </w:p>
    <w:p>
      <w:pPr>
        <w:numPr>
          <w:ilvl w:val="0"/>
          <w:numId w:val="1009"/>
        </w:numPr>
        <w:pStyle w:val="Compact"/>
      </w:pPr>
      <w:r>
        <w:t xml:space="preserve">Attach CV and evidence of institutional support from home university.</w:t>
      </w:r>
    </w:p>
    <w:p>
      <w:r>
        <w:pict>
          <v:rect style="width:0;height:1.5pt" o:hralign="center" o:hrstd="t" o:hr="t"/>
        </w:pict>
      </w:r>
    </w:p>
    <w:bookmarkEnd w:id="30"/>
    <w:bookmarkStart w:id="31" w:name="contact-additional-information"/>
    <w:p>
      <w:pPr>
        <w:pStyle w:val="Heading2"/>
      </w:pPr>
      <w:r>
        <w:t xml:space="preserve">6. Contact &amp; Additional Information</w:t>
      </w:r>
    </w:p>
    <w:p>
      <w:pPr>
        <w:pStyle w:val="FirstParagraph"/>
      </w:pPr>
      <w:r>
        <w:rPr>
          <w:bCs/>
          <w:b/>
        </w:rPr>
        <w:t xml:space="preserve">Cendara University Office of International Affairs</w:t>
      </w:r>
    </w:p>
    <w:p>
      <w:pPr>
        <w:numPr>
          <w:ilvl w:val="0"/>
          <w:numId w:val="1010"/>
        </w:numPr>
        <w:pStyle w:val="Compact"/>
      </w:pPr>
      <w:r>
        <w:t xml:space="preserve">Email: international.affairs@cendara.edu</w:t>
      </w:r>
    </w:p>
    <w:p>
      <w:pPr>
        <w:numPr>
          <w:ilvl w:val="0"/>
          <w:numId w:val="1010"/>
        </w:numPr>
        <w:pStyle w:val="Compact"/>
      </w:pPr>
      <w:r>
        <w:t xml:space="preserve">Phone: +1 (839) 452-0108</w:t>
      </w:r>
    </w:p>
    <w:p>
      <w:pPr>
        <w:numPr>
          <w:ilvl w:val="0"/>
          <w:numId w:val="1010"/>
        </w:numPr>
        <w:pStyle w:val="Compact"/>
      </w:pPr>
      <w:r>
        <w:t xml:space="preserve">Location: Hathaway Building, Room 210, Cendara University Main Campus</w:t>
      </w:r>
    </w:p>
    <w:p>
      <w:pPr>
        <w:numPr>
          <w:ilvl w:val="0"/>
          <w:numId w:val="1010"/>
        </w:numPr>
        <w:pStyle w:val="Compact"/>
      </w:pPr>
      <w:r>
        <w:t xml:space="preserve">Exchange Program Coordinator: Ms. Leila Campos</w:t>
      </w:r>
    </w:p>
    <w:p>
      <w:pPr>
        <w:numPr>
          <w:ilvl w:val="0"/>
          <w:numId w:val="1010"/>
        </w:numPr>
        <w:pStyle w:val="Compact"/>
      </w:pPr>
      <w:r>
        <w:t xml:space="preserve">Website: https://www.cendara.edu/international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complete list of partner institutions and detailed program guides, visit the Office of International Affairs or consult the Exchange Handbook (2024 edition).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2025-07-29T15:06:10Z</dcterms:created>
  <dcterms:modified xsi:type="dcterms:W3CDTF">2025-07-29T15:06:10Z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