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endara-university-student-handbook"/>
    <w:p>
      <w:pPr>
        <w:pStyle w:val="Heading1"/>
      </w:pPr>
      <w:r>
        <w:t xml:space="preserve">Cendara University Student Handbook</w:t>
      </w:r>
    </w:p>
    <w:bookmarkStart w:id="20" w:name="table-of-contents"/>
    <w:p>
      <w:pPr>
        <w:pStyle w:val="Heading2"/>
      </w:pPr>
      <w:r>
        <w:t xml:space="preserve">Table of Contents</w:t>
      </w:r>
    </w:p>
    <w:p>
      <w:pPr>
        <w:numPr>
          <w:ilvl w:val="0"/>
          <w:numId w:val="1001"/>
        </w:numPr>
        <w:pStyle w:val="Compact"/>
      </w:pPr>
      <w:hyperlink w:anchor="welcome-message">
        <w:r>
          <w:rPr>
            <w:rStyle w:val="Hyperlink"/>
          </w:rPr>
          <w:t xml:space="preserve">Welcome Message</w:t>
        </w:r>
      </w:hyperlink>
    </w:p>
    <w:p>
      <w:pPr>
        <w:numPr>
          <w:ilvl w:val="0"/>
          <w:numId w:val="1001"/>
        </w:numPr>
        <w:pStyle w:val="Compact"/>
      </w:pPr>
      <w:hyperlink w:anchor="campus-overview">
        <w:r>
          <w:rPr>
            <w:rStyle w:val="Hyperlink"/>
          </w:rPr>
          <w:t xml:space="preserve">Campus Overview</w:t>
        </w:r>
      </w:hyperlink>
    </w:p>
    <w:p>
      <w:pPr>
        <w:numPr>
          <w:ilvl w:val="0"/>
          <w:numId w:val="1001"/>
        </w:numPr>
        <w:pStyle w:val="Compact"/>
      </w:pPr>
      <w:hyperlink w:anchor="academic-policies">
        <w:r>
          <w:rPr>
            <w:rStyle w:val="Hyperlink"/>
          </w:rPr>
          <w:t xml:space="preserve">Academic Policies</w:t>
        </w:r>
      </w:hyperlink>
    </w:p>
    <w:p>
      <w:pPr>
        <w:numPr>
          <w:ilvl w:val="1"/>
          <w:numId w:val="1002"/>
        </w:numPr>
        <w:pStyle w:val="Compact"/>
      </w:pPr>
      <w:r>
        <w:t xml:space="preserve">Academic Standards</w:t>
      </w:r>
    </w:p>
    <w:p>
      <w:pPr>
        <w:numPr>
          <w:ilvl w:val="1"/>
          <w:numId w:val="1002"/>
        </w:numPr>
        <w:pStyle w:val="Compact"/>
      </w:pPr>
      <w:r>
        <w:t xml:space="preserve">Grading System</w:t>
      </w:r>
    </w:p>
    <w:p>
      <w:pPr>
        <w:numPr>
          <w:ilvl w:val="1"/>
          <w:numId w:val="1002"/>
        </w:numPr>
        <w:pStyle w:val="Compact"/>
      </w:pPr>
      <w:r>
        <w:t xml:space="preserve">Attendance Policy</w:t>
      </w:r>
    </w:p>
    <w:p>
      <w:pPr>
        <w:numPr>
          <w:ilvl w:val="1"/>
          <w:numId w:val="1002"/>
        </w:numPr>
        <w:pStyle w:val="Compact"/>
      </w:pPr>
      <w:r>
        <w:t xml:space="preserve">Academic Integrity Policy</w:t>
      </w:r>
    </w:p>
    <w:p>
      <w:pPr>
        <w:numPr>
          <w:ilvl w:val="1"/>
          <w:numId w:val="1002"/>
        </w:numPr>
        <w:pStyle w:val="Compact"/>
      </w:pPr>
      <w:r>
        <w:t xml:space="preserve">Course Registration and Withdrawal</w:t>
      </w:r>
    </w:p>
    <w:p>
      <w:pPr>
        <w:numPr>
          <w:ilvl w:val="0"/>
          <w:numId w:val="1001"/>
        </w:numPr>
        <w:pStyle w:val="Compact"/>
      </w:pPr>
      <w:hyperlink w:anchor="campus-life">
        <w:r>
          <w:rPr>
            <w:rStyle w:val="Hyperlink"/>
          </w:rPr>
          <w:t xml:space="preserve">Campus Life</w:t>
        </w:r>
      </w:hyperlink>
    </w:p>
    <w:p>
      <w:pPr>
        <w:numPr>
          <w:ilvl w:val="1"/>
          <w:numId w:val="1003"/>
        </w:numPr>
        <w:pStyle w:val="Compact"/>
      </w:pPr>
      <w:r>
        <w:t xml:space="preserve">Student Organizations</w:t>
      </w:r>
    </w:p>
    <w:p>
      <w:pPr>
        <w:numPr>
          <w:ilvl w:val="1"/>
          <w:numId w:val="1003"/>
        </w:numPr>
        <w:pStyle w:val="Compact"/>
      </w:pPr>
      <w:r>
        <w:t xml:space="preserve">Residence Life</w:t>
      </w:r>
    </w:p>
    <w:p>
      <w:pPr>
        <w:numPr>
          <w:ilvl w:val="1"/>
          <w:numId w:val="1003"/>
        </w:numPr>
        <w:pStyle w:val="Compact"/>
      </w:pPr>
      <w:r>
        <w:t xml:space="preserve">Dining Services</w:t>
      </w:r>
    </w:p>
    <w:p>
      <w:pPr>
        <w:numPr>
          <w:ilvl w:val="1"/>
          <w:numId w:val="1003"/>
        </w:numPr>
        <w:pStyle w:val="Compact"/>
      </w:pPr>
      <w:r>
        <w:t xml:space="preserve">Campus Events</w:t>
      </w:r>
    </w:p>
    <w:p>
      <w:pPr>
        <w:numPr>
          <w:ilvl w:val="1"/>
          <w:numId w:val="1003"/>
        </w:numPr>
        <w:pStyle w:val="Compact"/>
      </w:pPr>
      <w:r>
        <w:t xml:space="preserve">Athletics &amp; Recreation</w:t>
      </w:r>
    </w:p>
    <w:p>
      <w:pPr>
        <w:numPr>
          <w:ilvl w:val="0"/>
          <w:numId w:val="1001"/>
        </w:numPr>
        <w:pStyle w:val="Compact"/>
      </w:pPr>
      <w:hyperlink w:anchor="student-resources">
        <w:r>
          <w:rPr>
            <w:rStyle w:val="Hyperlink"/>
          </w:rPr>
          <w:t xml:space="preserve">Student Resources</w:t>
        </w:r>
      </w:hyperlink>
    </w:p>
    <w:p>
      <w:pPr>
        <w:numPr>
          <w:ilvl w:val="1"/>
          <w:numId w:val="1004"/>
        </w:numPr>
        <w:pStyle w:val="Compact"/>
      </w:pPr>
      <w:r>
        <w:t xml:space="preserve">Library Services</w:t>
      </w:r>
    </w:p>
    <w:p>
      <w:pPr>
        <w:numPr>
          <w:ilvl w:val="1"/>
          <w:numId w:val="1004"/>
        </w:numPr>
        <w:pStyle w:val="Compact"/>
      </w:pPr>
      <w:r>
        <w:t xml:space="preserve">Health &amp; Wellness Center</w:t>
      </w:r>
    </w:p>
    <w:p>
      <w:pPr>
        <w:numPr>
          <w:ilvl w:val="1"/>
          <w:numId w:val="1004"/>
        </w:numPr>
        <w:pStyle w:val="Compact"/>
      </w:pPr>
      <w:r>
        <w:t xml:space="preserve">Counseling Services</w:t>
      </w:r>
    </w:p>
    <w:p>
      <w:pPr>
        <w:numPr>
          <w:ilvl w:val="1"/>
          <w:numId w:val="1004"/>
        </w:numPr>
        <w:pStyle w:val="Compact"/>
      </w:pPr>
      <w:r>
        <w:t xml:space="preserve">Career Development</w:t>
      </w:r>
    </w:p>
    <w:p>
      <w:pPr>
        <w:numPr>
          <w:ilvl w:val="1"/>
          <w:numId w:val="1004"/>
        </w:numPr>
        <w:pStyle w:val="Compact"/>
      </w:pPr>
      <w:r>
        <w:t xml:space="preserve">Technology Support</w:t>
      </w:r>
    </w:p>
    <w:p>
      <w:pPr>
        <w:numPr>
          <w:ilvl w:val="0"/>
          <w:numId w:val="1001"/>
        </w:numPr>
        <w:pStyle w:val="Compact"/>
      </w:pPr>
      <w:hyperlink w:anchor="code-of-conduct">
        <w:r>
          <w:rPr>
            <w:rStyle w:val="Hyperlink"/>
          </w:rPr>
          <w:t xml:space="preserve">Code of Conduct</w:t>
        </w:r>
      </w:hyperlink>
    </w:p>
    <w:p>
      <w:pPr>
        <w:numPr>
          <w:ilvl w:val="0"/>
          <w:numId w:val="1001"/>
        </w:numPr>
        <w:pStyle w:val="Compact"/>
      </w:pPr>
      <w:hyperlink w:anchor="safety--security">
        <w:r>
          <w:rPr>
            <w:rStyle w:val="Hyperlink"/>
          </w:rPr>
          <w:t xml:space="preserve">Safety &amp; Security</w:t>
        </w:r>
      </w:hyperlink>
    </w:p>
    <w:p>
      <w:pPr>
        <w:numPr>
          <w:ilvl w:val="0"/>
          <w:numId w:val="1001"/>
        </w:numPr>
        <w:pStyle w:val="Compact"/>
      </w:pPr>
      <w:hyperlink w:anchor="diversity--inclusion">
        <w:r>
          <w:rPr>
            <w:rStyle w:val="Hyperlink"/>
          </w:rPr>
          <w:t xml:space="preserve">Diversity &amp; Inclusion</w:t>
        </w:r>
      </w:hyperlink>
    </w:p>
    <w:p>
      <w:pPr>
        <w:numPr>
          <w:ilvl w:val="0"/>
          <w:numId w:val="1001"/>
        </w:numPr>
        <w:pStyle w:val="Compact"/>
      </w:pPr>
      <w:hyperlink w:anchor="important-contacts">
        <w:r>
          <w:rPr>
            <w:rStyle w:val="Hyperlink"/>
          </w:rPr>
          <w:t xml:space="preserve">Important Contacts</w:t>
        </w:r>
      </w:hyperlink>
    </w:p>
    <w:p>
      <w:r>
        <w:pict>
          <v:rect style="width:0;height:1.5pt" o:hralign="center" o:hrstd="t" o:hr="t"/>
        </w:pict>
      </w:r>
    </w:p>
    <w:bookmarkEnd w:id="20"/>
    <w:bookmarkStart w:id="21" w:name="welcome-message"/>
    <w:p>
      <w:pPr>
        <w:pStyle w:val="Heading2"/>
      </w:pPr>
      <w:r>
        <w:t xml:space="preserve">Welcome Message</w:t>
      </w:r>
    </w:p>
    <w:p>
      <w:pPr>
        <w:pStyle w:val="FirstParagraph"/>
      </w:pPr>
      <w:r>
        <w:t xml:space="preserve">Dear Cendara University Students,</w:t>
      </w:r>
    </w:p>
    <w:p>
      <w:pPr>
        <w:pStyle w:val="BodyText"/>
      </w:pPr>
      <w:r>
        <w:t xml:space="preserve">Welcome to Cendara University! We are excited to have you as part of our vibrant, diverse, and innovative community. This handbook is designed to be your guide to campus life, helping you navigate academic expectations, student support resources, community standards, and the myriad opportunities available. If you have any questions, please reach out to Student Affairs at student.affairs@cendara.edu.</w:t>
      </w:r>
    </w:p>
    <w:p>
      <w:pPr>
        <w:pStyle w:val="BodyText"/>
      </w:pPr>
      <w:r>
        <w:t xml:space="preserve">Wishing you a successful year ahead,</w:t>
      </w:r>
    </w:p>
    <w:p>
      <w:pPr>
        <w:pStyle w:val="BodyText"/>
      </w:pPr>
      <w:r>
        <w:rPr>
          <w:bCs/>
          <w:b/>
        </w:rPr>
        <w:t xml:space="preserve">Dr. Susan A. Forelli</w:t>
      </w:r>
      <w:r>
        <w:br/>
      </w:r>
      <w:r>
        <w:t xml:space="preserve">Vice President for Student Affairs</w:t>
      </w:r>
    </w:p>
    <w:p>
      <w:r>
        <w:pict>
          <v:rect style="width:0;height:1.5pt" o:hralign="center" o:hrstd="t" o:hr="t"/>
        </w:pict>
      </w:r>
    </w:p>
    <w:bookmarkEnd w:id="21"/>
    <w:bookmarkStart w:id="22" w:name="campus-overview"/>
    <w:p>
      <w:pPr>
        <w:pStyle w:val="Heading2"/>
      </w:pPr>
      <w:r>
        <w:t xml:space="preserve">Campus Overview</w:t>
      </w:r>
    </w:p>
    <w:p>
      <w:pPr>
        <w:pStyle w:val="FirstParagraph"/>
      </w:pPr>
      <w:r>
        <w:t xml:space="preserve">Cendara University is located in the thriving city of Larkspur, blending urban energy with the serenity of a landscaped, modern campus. Founded in 1927, Cendara is home to over 8,000 undergraduate and graduate students. Our campus includes:</w:t>
      </w:r>
    </w:p>
    <w:p>
      <w:pPr>
        <w:numPr>
          <w:ilvl w:val="0"/>
          <w:numId w:val="1005"/>
        </w:numPr>
        <w:pStyle w:val="Compact"/>
      </w:pPr>
      <w:r>
        <w:rPr>
          <w:bCs/>
          <w:b/>
        </w:rPr>
        <w:t xml:space="preserve">Arches Academic Complex</w:t>
      </w:r>
      <w:r>
        <w:t xml:space="preserve">: Home to the Faculty of Sciences and lecture halls.</w:t>
      </w:r>
    </w:p>
    <w:p>
      <w:pPr>
        <w:numPr>
          <w:ilvl w:val="0"/>
          <w:numId w:val="1005"/>
        </w:numPr>
        <w:pStyle w:val="Compact"/>
      </w:pPr>
      <w:r>
        <w:rPr>
          <w:bCs/>
          <w:b/>
        </w:rPr>
        <w:t xml:space="preserve">Silverleaf Library</w:t>
      </w:r>
      <w:r>
        <w:t xml:space="preserve">: Centrally located with extensive study spaces and digital resources.</w:t>
      </w:r>
    </w:p>
    <w:p>
      <w:pPr>
        <w:numPr>
          <w:ilvl w:val="0"/>
          <w:numId w:val="1005"/>
        </w:numPr>
        <w:pStyle w:val="Compact"/>
      </w:pPr>
      <w:r>
        <w:rPr>
          <w:bCs/>
          <w:b/>
        </w:rPr>
        <w:t xml:space="preserve">Aspen Residence Hall</w:t>
      </w:r>
      <w:r>
        <w:t xml:space="preserve">: A state-of-the-art dormitory for first-year students.</w:t>
      </w:r>
    </w:p>
    <w:p>
      <w:pPr>
        <w:numPr>
          <w:ilvl w:val="0"/>
          <w:numId w:val="1005"/>
        </w:numPr>
        <w:pStyle w:val="Compact"/>
      </w:pPr>
      <w:r>
        <w:rPr>
          <w:bCs/>
          <w:b/>
        </w:rPr>
        <w:t xml:space="preserve">Willows Student Center</w:t>
      </w:r>
      <w:r>
        <w:t xml:space="preserve">: Hub for student organizations and recreational activities.</w:t>
      </w:r>
    </w:p>
    <w:p>
      <w:pPr>
        <w:numPr>
          <w:ilvl w:val="0"/>
          <w:numId w:val="1005"/>
        </w:numPr>
        <w:pStyle w:val="Compact"/>
      </w:pPr>
      <w:r>
        <w:rPr>
          <w:bCs/>
          <w:b/>
        </w:rPr>
        <w:t xml:space="preserve">Cendara Athletics Pavilion</w:t>
      </w:r>
      <w:r>
        <w:t xml:space="preserve">: Fitness center, swimming pool, and courts.</w:t>
      </w:r>
    </w:p>
    <w:p>
      <w:r>
        <w:pict>
          <v:rect style="width:0;height:1.5pt" o:hralign="center" o:hrstd="t" o:hr="t"/>
        </w:pict>
      </w:r>
    </w:p>
    <w:bookmarkEnd w:id="22"/>
    <w:bookmarkStart w:id="28" w:name="academic-policies"/>
    <w:p>
      <w:pPr>
        <w:pStyle w:val="Heading2"/>
      </w:pPr>
      <w:r>
        <w:t xml:space="preserve">Academic Policies</w:t>
      </w:r>
    </w:p>
    <w:bookmarkStart w:id="23" w:name="academic-standards"/>
    <w:p>
      <w:pPr>
        <w:pStyle w:val="Heading3"/>
      </w:pPr>
      <w:r>
        <w:t xml:space="preserve">Academic Standards</w:t>
      </w:r>
    </w:p>
    <w:p>
      <w:pPr>
        <w:pStyle w:val="FirstParagraph"/>
      </w:pPr>
      <w:r>
        <w:t xml:space="preserve">All students must maintain satisfactory academic progress, defined as a minimum cumulative GPA of 2.0 for undergraduates and 3.0 for graduate students, and complete at least 67% of attempted credits per semester.</w:t>
      </w:r>
    </w:p>
    <w:bookmarkEnd w:id="23"/>
    <w:bookmarkStart w:id="24" w:name="grading-system"/>
    <w:p>
      <w:pPr>
        <w:pStyle w:val="Heading3"/>
      </w:pPr>
      <w:r>
        <w:t xml:space="preserve">Grading System</w:t>
      </w:r>
    </w:p>
    <w:p>
      <w:pPr>
        <w:pStyle w:val="FirstParagraph"/>
      </w:pPr>
      <w:r>
        <w:t xml:space="preserve">Cendara University uses the following grading scale: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Grade</w:t>
            </w:r>
          </w:p>
        </w:tc>
        <w:tc>
          <w:tcPr/>
          <w:p>
            <w:pPr>
              <w:pStyle w:val="Compact"/>
              <w:jc w:val="left"/>
            </w:pPr>
            <w:r>
              <w:t xml:space="preserve">Percentage</w:t>
            </w:r>
          </w:p>
        </w:tc>
        <w:tc>
          <w:tcPr/>
          <w:p>
            <w:pPr>
              <w:pStyle w:val="Compact"/>
              <w:jc w:val="left"/>
            </w:pPr>
            <w:r>
              <w:t xml:space="preserve">GPA Points</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93-100%</w:t>
            </w:r>
          </w:p>
        </w:tc>
        <w:tc>
          <w:tcPr/>
          <w:p>
            <w:pPr>
              <w:pStyle w:val="Compact"/>
              <w:jc w:val="left"/>
            </w:pPr>
            <w:r>
              <w:t xml:space="preserve">4.00</w:t>
            </w:r>
          </w:p>
        </w:tc>
        <w:tc>
          <w:tcPr/>
          <w:p>
            <w:pPr>
              <w:pStyle w:val="Compact"/>
              <w:jc w:val="left"/>
            </w:pPr>
            <w:r>
              <w:t xml:space="preserve">Excellent</w:t>
            </w:r>
          </w:p>
        </w:tc>
      </w:tr>
      <w:tr>
        <w:tc>
          <w:tcPr/>
          <w:p>
            <w:pPr>
              <w:pStyle w:val="Compact"/>
              <w:jc w:val="left"/>
            </w:pPr>
            <w:r>
              <w:t xml:space="preserve">A-</w:t>
            </w:r>
          </w:p>
        </w:tc>
        <w:tc>
          <w:tcPr/>
          <w:p>
            <w:pPr>
              <w:pStyle w:val="Compact"/>
              <w:jc w:val="left"/>
            </w:pPr>
            <w:r>
              <w:t xml:space="preserve">90-92%</w:t>
            </w:r>
          </w:p>
        </w:tc>
        <w:tc>
          <w:tcPr/>
          <w:p>
            <w:pPr>
              <w:pStyle w:val="Compact"/>
              <w:jc w:val="left"/>
            </w:pPr>
            <w:r>
              <w:t xml:space="preserve">3.70</w:t>
            </w:r>
          </w:p>
        </w:tc>
        <w:tc>
          <w:tcPr/>
          <w:p>
            <w:pPr>
              <w:pStyle w:val="Compact"/>
            </w:pPr>
          </w:p>
        </w:tc>
      </w:tr>
      <w:tr>
        <w:tc>
          <w:tcPr/>
          <w:p>
            <w:pPr>
              <w:pStyle w:val="Compact"/>
              <w:jc w:val="left"/>
            </w:pPr>
            <w:r>
              <w:t xml:space="preserve">B+</w:t>
            </w:r>
          </w:p>
        </w:tc>
        <w:tc>
          <w:tcPr/>
          <w:p>
            <w:pPr>
              <w:pStyle w:val="Compact"/>
              <w:jc w:val="left"/>
            </w:pPr>
            <w:r>
              <w:t xml:space="preserve">87-89%</w:t>
            </w:r>
          </w:p>
        </w:tc>
        <w:tc>
          <w:tcPr/>
          <w:p>
            <w:pPr>
              <w:pStyle w:val="Compact"/>
              <w:jc w:val="left"/>
            </w:pPr>
            <w:r>
              <w:t xml:space="preserve">3.30</w:t>
            </w:r>
          </w:p>
        </w:tc>
        <w:tc>
          <w:tcPr/>
          <w:p>
            <w:pPr>
              <w:pStyle w:val="Compact"/>
              <w:jc w:val="left"/>
            </w:pPr>
            <w:r>
              <w:t xml:space="preserve">Very Good</w:t>
            </w:r>
          </w:p>
        </w:tc>
      </w:tr>
      <w:tr>
        <w:tc>
          <w:tcPr/>
          <w:p>
            <w:pPr>
              <w:pStyle w:val="Compact"/>
              <w:jc w:val="left"/>
            </w:pPr>
            <w:r>
              <w:t xml:space="preserve">B</w:t>
            </w:r>
          </w:p>
        </w:tc>
        <w:tc>
          <w:tcPr/>
          <w:p>
            <w:pPr>
              <w:pStyle w:val="Compact"/>
              <w:jc w:val="left"/>
            </w:pPr>
            <w:r>
              <w:t xml:space="preserve">83-86%</w:t>
            </w:r>
          </w:p>
        </w:tc>
        <w:tc>
          <w:tcPr/>
          <w:p>
            <w:pPr>
              <w:pStyle w:val="Compact"/>
              <w:jc w:val="left"/>
            </w:pPr>
            <w:r>
              <w:t xml:space="preserve">3.00</w:t>
            </w:r>
          </w:p>
        </w:tc>
        <w:tc>
          <w:tcPr/>
          <w:p>
            <w:pPr>
              <w:pStyle w:val="Compact"/>
              <w:jc w:val="left"/>
            </w:pPr>
            <w:r>
              <w:t xml:space="preserve">Good</w:t>
            </w:r>
          </w:p>
        </w:tc>
      </w:tr>
      <w:tr>
        <w:tc>
          <w:tcPr/>
          <w:p>
            <w:pPr>
              <w:pStyle w:val="Compact"/>
              <w:jc w:val="left"/>
            </w:pPr>
            <w:r>
              <w:t xml:space="preserve">B-</w:t>
            </w:r>
          </w:p>
        </w:tc>
        <w:tc>
          <w:tcPr/>
          <w:p>
            <w:pPr>
              <w:pStyle w:val="Compact"/>
              <w:jc w:val="left"/>
            </w:pPr>
            <w:r>
              <w:t xml:space="preserve">80-82%</w:t>
            </w:r>
          </w:p>
        </w:tc>
        <w:tc>
          <w:tcPr/>
          <w:p>
            <w:pPr>
              <w:pStyle w:val="Compact"/>
              <w:jc w:val="left"/>
            </w:pPr>
            <w:r>
              <w:t xml:space="preserve">2.70</w:t>
            </w:r>
          </w:p>
        </w:tc>
        <w:tc>
          <w:tcPr/>
          <w:p>
            <w:pPr>
              <w:pStyle w:val="Compact"/>
            </w:pPr>
          </w:p>
        </w:tc>
      </w:tr>
      <w:tr>
        <w:tc>
          <w:tcPr/>
          <w:p>
            <w:pPr>
              <w:pStyle w:val="Compact"/>
              <w:jc w:val="left"/>
            </w:pPr>
            <w:r>
              <w:t xml:space="preserve">C+</w:t>
            </w:r>
          </w:p>
        </w:tc>
        <w:tc>
          <w:tcPr/>
          <w:p>
            <w:pPr>
              <w:pStyle w:val="Compact"/>
              <w:jc w:val="left"/>
            </w:pPr>
            <w:r>
              <w:t xml:space="preserve">77-79%</w:t>
            </w:r>
          </w:p>
        </w:tc>
        <w:tc>
          <w:tcPr/>
          <w:p>
            <w:pPr>
              <w:pStyle w:val="Compact"/>
              <w:jc w:val="left"/>
            </w:pPr>
            <w:r>
              <w:t xml:space="preserve">2.30</w:t>
            </w:r>
          </w:p>
        </w:tc>
        <w:tc>
          <w:tcPr/>
          <w:p>
            <w:pPr>
              <w:pStyle w:val="Compact"/>
              <w:jc w:val="left"/>
            </w:pPr>
            <w:r>
              <w:t xml:space="preserve">Satisfactory</w:t>
            </w:r>
          </w:p>
        </w:tc>
      </w:tr>
      <w:tr>
        <w:tc>
          <w:tcPr/>
          <w:p>
            <w:pPr>
              <w:pStyle w:val="Compact"/>
              <w:jc w:val="left"/>
            </w:pPr>
            <w:r>
              <w:t xml:space="preserve">C</w:t>
            </w:r>
          </w:p>
        </w:tc>
        <w:tc>
          <w:tcPr/>
          <w:p>
            <w:pPr>
              <w:pStyle w:val="Compact"/>
              <w:jc w:val="left"/>
            </w:pPr>
            <w:r>
              <w:t xml:space="preserve">73-76%</w:t>
            </w:r>
          </w:p>
        </w:tc>
        <w:tc>
          <w:tcPr/>
          <w:p>
            <w:pPr>
              <w:pStyle w:val="Compact"/>
              <w:jc w:val="left"/>
            </w:pPr>
            <w:r>
              <w:t xml:space="preserve">2.00</w:t>
            </w:r>
          </w:p>
        </w:tc>
        <w:tc>
          <w:tcPr/>
          <w:p>
            <w:pPr>
              <w:pStyle w:val="Compact"/>
            </w:pPr>
          </w:p>
        </w:tc>
      </w:tr>
      <w:tr>
        <w:tc>
          <w:tcPr/>
          <w:p>
            <w:pPr>
              <w:pStyle w:val="Compact"/>
              <w:jc w:val="left"/>
            </w:pPr>
            <w:r>
              <w:t xml:space="preserve">C-</w:t>
            </w:r>
          </w:p>
        </w:tc>
        <w:tc>
          <w:tcPr/>
          <w:p>
            <w:pPr>
              <w:pStyle w:val="Compact"/>
              <w:jc w:val="left"/>
            </w:pPr>
            <w:r>
              <w:t xml:space="preserve">70-72%</w:t>
            </w:r>
          </w:p>
        </w:tc>
        <w:tc>
          <w:tcPr/>
          <w:p>
            <w:pPr>
              <w:pStyle w:val="Compact"/>
              <w:jc w:val="left"/>
            </w:pPr>
            <w:r>
              <w:t xml:space="preserve">1.70</w:t>
            </w:r>
          </w:p>
        </w:tc>
        <w:tc>
          <w:tcPr/>
          <w:p>
            <w:pPr>
              <w:pStyle w:val="Compact"/>
            </w:pPr>
          </w:p>
        </w:tc>
      </w:tr>
      <w:tr>
        <w:tc>
          <w:tcPr/>
          <w:p>
            <w:pPr>
              <w:pStyle w:val="Compact"/>
              <w:jc w:val="left"/>
            </w:pPr>
            <w:r>
              <w:t xml:space="preserve">D</w:t>
            </w:r>
          </w:p>
        </w:tc>
        <w:tc>
          <w:tcPr/>
          <w:p>
            <w:pPr>
              <w:pStyle w:val="Compact"/>
              <w:jc w:val="left"/>
            </w:pPr>
            <w:r>
              <w:t xml:space="preserve">60-69%</w:t>
            </w:r>
          </w:p>
        </w:tc>
        <w:tc>
          <w:tcPr/>
          <w:p>
            <w:pPr>
              <w:pStyle w:val="Compact"/>
              <w:jc w:val="left"/>
            </w:pPr>
            <w:r>
              <w:t xml:space="preserve">1.00</w:t>
            </w:r>
          </w:p>
        </w:tc>
        <w:tc>
          <w:tcPr/>
          <w:p>
            <w:pPr>
              <w:pStyle w:val="Compact"/>
              <w:jc w:val="left"/>
            </w:pPr>
            <w:r>
              <w:t xml:space="preserve">Marginal Pass</w:t>
            </w:r>
          </w:p>
        </w:tc>
      </w:tr>
      <w:tr>
        <w:tc>
          <w:tcPr/>
          <w:p>
            <w:pPr>
              <w:pStyle w:val="Compact"/>
              <w:jc w:val="left"/>
            </w:pPr>
            <w:r>
              <w:t xml:space="preserve">F</w:t>
            </w:r>
          </w:p>
        </w:tc>
        <w:tc>
          <w:tcPr/>
          <w:p>
            <w:pPr>
              <w:pStyle w:val="Compact"/>
              <w:jc w:val="left"/>
            </w:pPr>
            <w:r>
              <w:t xml:space="preserve">0-59%</w:t>
            </w:r>
          </w:p>
        </w:tc>
        <w:tc>
          <w:tcPr/>
          <w:p>
            <w:pPr>
              <w:pStyle w:val="Compact"/>
              <w:jc w:val="left"/>
            </w:pPr>
            <w:r>
              <w:t xml:space="preserve">0.00</w:t>
            </w:r>
          </w:p>
        </w:tc>
        <w:tc>
          <w:tcPr/>
          <w:p>
            <w:pPr>
              <w:pStyle w:val="Compact"/>
              <w:jc w:val="left"/>
            </w:pPr>
            <w:r>
              <w:t xml:space="preserve">Fail</w:t>
            </w:r>
          </w:p>
        </w:tc>
      </w:tr>
    </w:tbl>
    <w:bookmarkEnd w:id="24"/>
    <w:bookmarkStart w:id="25" w:name="attendance-policy"/>
    <w:p>
      <w:pPr>
        <w:pStyle w:val="Heading3"/>
      </w:pPr>
      <w:r>
        <w:t xml:space="preserve">Attendance Policy</w:t>
      </w:r>
    </w:p>
    <w:p>
      <w:pPr>
        <w:pStyle w:val="FirstParagraph"/>
      </w:pPr>
      <w:r>
        <w:t xml:space="preserve">Students are expected to attend all scheduled classes. Absences exceeding 20% of class meetings may result in grade penalties or withdrawal from the course. Medical or emergency absences require official documentation.</w:t>
      </w:r>
    </w:p>
    <w:bookmarkEnd w:id="25"/>
    <w:bookmarkStart w:id="26" w:name="academic-integrity-policy"/>
    <w:p>
      <w:pPr>
        <w:pStyle w:val="Heading3"/>
      </w:pPr>
      <w:r>
        <w:t xml:space="preserve">Academic Integrity Policy</w:t>
      </w:r>
    </w:p>
    <w:p>
      <w:pPr>
        <w:numPr>
          <w:ilvl w:val="0"/>
          <w:numId w:val="1006"/>
        </w:numPr>
        <w:pStyle w:val="Compact"/>
      </w:pPr>
      <w:r>
        <w:rPr>
          <w:bCs/>
          <w:b/>
        </w:rPr>
        <w:t xml:space="preserve">Plagiarism</w:t>
      </w:r>
      <w:r>
        <w:t xml:space="preserve">: All work must be original. Copying or paraphrasing without citation is prohibited.</w:t>
      </w:r>
    </w:p>
    <w:p>
      <w:pPr>
        <w:numPr>
          <w:ilvl w:val="0"/>
          <w:numId w:val="1006"/>
        </w:numPr>
        <w:pStyle w:val="Compact"/>
      </w:pPr>
      <w:r>
        <w:rPr>
          <w:bCs/>
          <w:b/>
        </w:rPr>
        <w:t xml:space="preserve">Cheating</w:t>
      </w:r>
      <w:r>
        <w:t xml:space="preserve">: Using unauthorized materials during exams or assignments is strictly forbidden.</w:t>
      </w:r>
    </w:p>
    <w:p>
      <w:pPr>
        <w:numPr>
          <w:ilvl w:val="0"/>
          <w:numId w:val="1006"/>
        </w:numPr>
        <w:pStyle w:val="Compact"/>
      </w:pPr>
      <w:r>
        <w:rPr>
          <w:bCs/>
          <w:b/>
        </w:rPr>
        <w:t xml:space="preserve">Collaboration</w:t>
      </w:r>
      <w:r>
        <w:t xml:space="preserve">: Only permitted when expressly authorized by the instructor.</w:t>
      </w:r>
    </w:p>
    <w:p>
      <w:pPr>
        <w:numPr>
          <w:ilvl w:val="0"/>
          <w:numId w:val="1006"/>
        </w:numPr>
        <w:pStyle w:val="Compact"/>
      </w:pPr>
      <w:r>
        <w:rPr>
          <w:bCs/>
          <w:b/>
        </w:rPr>
        <w:t xml:space="preserve">Consequences</w:t>
      </w:r>
      <w:r>
        <w:t xml:space="preserve">: Violations may result in a failing grade, formal warning, suspension, or expulsion.</w:t>
      </w:r>
    </w:p>
    <w:bookmarkEnd w:id="26"/>
    <w:bookmarkStart w:id="27" w:name="course-registration-and-withdrawal"/>
    <w:p>
      <w:pPr>
        <w:pStyle w:val="Heading3"/>
      </w:pPr>
      <w:r>
        <w:t xml:space="preserve">Course Registration and Withdrawal</w:t>
      </w:r>
    </w:p>
    <w:p>
      <w:pPr>
        <w:numPr>
          <w:ilvl w:val="0"/>
          <w:numId w:val="1007"/>
        </w:numPr>
        <w:pStyle w:val="Compact"/>
      </w:pPr>
      <w:r>
        <w:t xml:space="preserve">Registration opens twice a year: May 10 for Fall, November 15 for Spring.</w:t>
      </w:r>
    </w:p>
    <w:p>
      <w:pPr>
        <w:numPr>
          <w:ilvl w:val="0"/>
          <w:numId w:val="1007"/>
        </w:numPr>
        <w:pStyle w:val="Compact"/>
      </w:pPr>
      <w:r>
        <w:t xml:space="preserve">Add/Drop Period: First two weeks of the semester.</w:t>
      </w:r>
    </w:p>
    <w:p>
      <w:pPr>
        <w:numPr>
          <w:ilvl w:val="0"/>
          <w:numId w:val="1007"/>
        </w:numPr>
        <w:pStyle w:val="Compact"/>
      </w:pPr>
      <w:r>
        <w:t xml:space="preserve">Withdrawal deadline: End of Week 10. W on transcript, no impact on GPA.</w:t>
      </w:r>
    </w:p>
    <w:p>
      <w:pPr>
        <w:numPr>
          <w:ilvl w:val="0"/>
          <w:numId w:val="1007"/>
        </w:numPr>
        <w:pStyle w:val="Compact"/>
      </w:pPr>
      <w:r>
        <w:t xml:space="preserve">Late withdrawal requests require approval from the Dean of Students.</w:t>
      </w:r>
    </w:p>
    <w:p>
      <w:r>
        <w:pict>
          <v:rect style="width:0;height:1.5pt" o:hralign="center" o:hrstd="t" o:hr="t"/>
        </w:pict>
      </w:r>
    </w:p>
    <w:bookmarkEnd w:id="27"/>
    <w:bookmarkEnd w:id="28"/>
    <w:bookmarkStart w:id="34" w:name="campus-life"/>
    <w:p>
      <w:pPr>
        <w:pStyle w:val="Heading2"/>
      </w:pPr>
      <w:r>
        <w:t xml:space="preserve">Campus Life</w:t>
      </w:r>
    </w:p>
    <w:bookmarkStart w:id="29" w:name="student-organizations"/>
    <w:p>
      <w:pPr>
        <w:pStyle w:val="Heading3"/>
      </w:pPr>
      <w:r>
        <w:t xml:space="preserve">Student Organizations</w:t>
      </w:r>
    </w:p>
    <w:p>
      <w:pPr>
        <w:pStyle w:val="FirstParagraph"/>
      </w:pPr>
      <w:r>
        <w:t xml:space="preserve">Cendara students pursue passions through 90+ clubs and societies, including:</w:t>
      </w:r>
    </w:p>
    <w:p>
      <w:pPr>
        <w:numPr>
          <w:ilvl w:val="0"/>
          <w:numId w:val="1008"/>
        </w:numPr>
        <w:pStyle w:val="Compact"/>
      </w:pPr>
      <w:r>
        <w:rPr>
          <w:bCs/>
          <w:b/>
        </w:rPr>
        <w:t xml:space="preserve">Cendara Debate Society</w:t>
      </w:r>
    </w:p>
    <w:p>
      <w:pPr>
        <w:numPr>
          <w:ilvl w:val="0"/>
          <w:numId w:val="1008"/>
        </w:numPr>
        <w:pStyle w:val="Compact"/>
      </w:pPr>
      <w:r>
        <w:rPr>
          <w:bCs/>
          <w:b/>
        </w:rPr>
        <w:t xml:space="preserve">Women in Robotics</w:t>
      </w:r>
    </w:p>
    <w:p>
      <w:pPr>
        <w:numPr>
          <w:ilvl w:val="0"/>
          <w:numId w:val="1008"/>
        </w:numPr>
        <w:pStyle w:val="Compact"/>
      </w:pPr>
      <w:r>
        <w:rPr>
          <w:bCs/>
          <w:b/>
        </w:rPr>
        <w:t xml:space="preserve">Black Student Union</w:t>
      </w:r>
    </w:p>
    <w:p>
      <w:pPr>
        <w:numPr>
          <w:ilvl w:val="0"/>
          <w:numId w:val="1008"/>
        </w:numPr>
        <w:pStyle w:val="Compact"/>
      </w:pPr>
      <w:r>
        <w:rPr>
          <w:bCs/>
          <w:b/>
        </w:rPr>
        <w:t xml:space="preserve">Green Thumb (Environmental Club)</w:t>
      </w:r>
    </w:p>
    <w:p>
      <w:pPr>
        <w:numPr>
          <w:ilvl w:val="0"/>
          <w:numId w:val="1008"/>
        </w:numPr>
        <w:pStyle w:val="Compact"/>
      </w:pPr>
      <w:r>
        <w:rPr>
          <w:bCs/>
          <w:b/>
        </w:rPr>
        <w:t xml:space="preserve">International Students Association</w:t>
      </w:r>
    </w:p>
    <w:p>
      <w:pPr>
        <w:numPr>
          <w:ilvl w:val="0"/>
          <w:numId w:val="1008"/>
        </w:numPr>
        <w:pStyle w:val="Compact"/>
      </w:pPr>
      <w:r>
        <w:rPr>
          <w:bCs/>
          <w:b/>
        </w:rPr>
        <w:t xml:space="preserve">Chess and Go Club</w:t>
      </w:r>
    </w:p>
    <w:p>
      <w:pPr>
        <w:pStyle w:val="FirstParagraph"/>
      </w:pPr>
      <w:r>
        <w:t xml:space="preserve">You can start a new organization by submitting a proposal to the Student Life Office.</w:t>
      </w:r>
    </w:p>
    <w:bookmarkEnd w:id="29"/>
    <w:bookmarkStart w:id="30" w:name="residence-life"/>
    <w:p>
      <w:pPr>
        <w:pStyle w:val="Heading3"/>
      </w:pPr>
      <w:r>
        <w:t xml:space="preserve">Residence Life</w:t>
      </w:r>
    </w:p>
    <w:p>
      <w:pPr>
        <w:numPr>
          <w:ilvl w:val="0"/>
          <w:numId w:val="1009"/>
        </w:numPr>
        <w:pStyle w:val="Compact"/>
      </w:pPr>
      <w:r>
        <w:rPr>
          <w:bCs/>
          <w:b/>
        </w:rPr>
        <w:t xml:space="preserve">Residence Halls</w:t>
      </w:r>
      <w:r>
        <w:t xml:space="preserve">: Aspen, Birch, Linden, and Juniper Halls.</w:t>
      </w:r>
    </w:p>
    <w:p>
      <w:pPr>
        <w:numPr>
          <w:ilvl w:val="0"/>
          <w:numId w:val="1009"/>
        </w:numPr>
        <w:pStyle w:val="Compact"/>
      </w:pPr>
      <w:r>
        <w:rPr>
          <w:bCs/>
          <w:b/>
        </w:rPr>
        <w:t xml:space="preserve">Room Assignment</w:t>
      </w:r>
      <w:r>
        <w:t xml:space="preserve">: Incoming first-years guaranteed housing; upperclass students apply via housing lottery.</w:t>
      </w:r>
    </w:p>
    <w:p>
      <w:pPr>
        <w:numPr>
          <w:ilvl w:val="0"/>
          <w:numId w:val="1009"/>
        </w:numPr>
        <w:pStyle w:val="Compact"/>
      </w:pPr>
      <w:r>
        <w:rPr>
          <w:bCs/>
          <w:b/>
        </w:rPr>
        <w:t xml:space="preserve">Resident Advisors (RAs)</w:t>
      </w:r>
      <w:r>
        <w:t xml:space="preserve">: Each floor has an RA for support and community events.</w:t>
      </w:r>
    </w:p>
    <w:p>
      <w:pPr>
        <w:numPr>
          <w:ilvl w:val="0"/>
          <w:numId w:val="1009"/>
        </w:numPr>
        <w:pStyle w:val="Compact"/>
      </w:pPr>
      <w:r>
        <w:rPr>
          <w:bCs/>
          <w:b/>
        </w:rPr>
        <w:t xml:space="preserve">Quiet Hours</w:t>
      </w:r>
      <w:r>
        <w:t xml:space="preserve">: 10:00 PM – 8:00 AM weekdays; midnight – 9:00 AM weekends.</w:t>
      </w:r>
    </w:p>
    <w:bookmarkEnd w:id="30"/>
    <w:bookmarkStart w:id="31" w:name="dining-services"/>
    <w:p>
      <w:pPr>
        <w:pStyle w:val="Heading3"/>
      </w:pPr>
      <w:r>
        <w:t xml:space="preserve">Dining Services</w:t>
      </w:r>
    </w:p>
    <w:p>
      <w:pPr>
        <w:numPr>
          <w:ilvl w:val="0"/>
          <w:numId w:val="1010"/>
        </w:numPr>
        <w:pStyle w:val="Compact"/>
      </w:pPr>
      <w:r>
        <w:rPr>
          <w:bCs/>
          <w:b/>
        </w:rPr>
        <w:t xml:space="preserve">Dining Halls</w:t>
      </w:r>
      <w:r>
        <w:t xml:space="preserve">: Oakleaf Commons and Willow Café. Vegetarian, vegan, and gluten-free meal options available.</w:t>
      </w:r>
    </w:p>
    <w:p>
      <w:pPr>
        <w:numPr>
          <w:ilvl w:val="0"/>
          <w:numId w:val="1010"/>
        </w:numPr>
        <w:pStyle w:val="Compact"/>
      </w:pPr>
      <w:r>
        <w:rPr>
          <w:bCs/>
          <w:b/>
        </w:rPr>
        <w:t xml:space="preserve">Meal Plans</w:t>
      </w:r>
      <w:r>
        <w:t xml:space="preserve">: All resident students must purchase a meal plan (Silver, Gold, Platinum).</w:t>
      </w:r>
    </w:p>
    <w:p>
      <w:pPr>
        <w:numPr>
          <w:ilvl w:val="0"/>
          <w:numId w:val="1010"/>
        </w:numPr>
        <w:pStyle w:val="Compact"/>
      </w:pPr>
      <w:r>
        <w:rPr>
          <w:bCs/>
          <w:b/>
        </w:rPr>
        <w:t xml:space="preserve">Hours</w:t>
      </w:r>
      <w:r>
        <w:t xml:space="preserve">: 7:00 AM – 10:00 PM weekdays; 8:00 AM – 9:00 PM weekends.</w:t>
      </w:r>
    </w:p>
    <w:bookmarkEnd w:id="31"/>
    <w:bookmarkStart w:id="32" w:name="campus-events"/>
    <w:p>
      <w:pPr>
        <w:pStyle w:val="Heading3"/>
      </w:pPr>
      <w:r>
        <w:t xml:space="preserve">Campus Events</w:t>
      </w:r>
    </w:p>
    <w:p>
      <w:pPr>
        <w:pStyle w:val="FirstParagraph"/>
      </w:pPr>
      <w:r>
        <w:t xml:space="preserve">Signature campus events include:</w:t>
      </w:r>
    </w:p>
    <w:p>
      <w:pPr>
        <w:numPr>
          <w:ilvl w:val="0"/>
          <w:numId w:val="1011"/>
        </w:numPr>
        <w:pStyle w:val="Compact"/>
      </w:pPr>
      <w:r>
        <w:rPr>
          <w:bCs/>
          <w:b/>
        </w:rPr>
        <w:t xml:space="preserve">Welcome Week</w:t>
      </w:r>
      <w:r>
        <w:t xml:space="preserve">: Social, academic, and orientation activities for all new students, August 28 – September 2.</w:t>
      </w:r>
    </w:p>
    <w:p>
      <w:pPr>
        <w:numPr>
          <w:ilvl w:val="0"/>
          <w:numId w:val="1011"/>
        </w:numPr>
        <w:pStyle w:val="Compact"/>
      </w:pPr>
      <w:r>
        <w:rPr>
          <w:bCs/>
          <w:b/>
        </w:rPr>
        <w:t xml:space="preserve">Spring Carnival</w:t>
      </w:r>
      <w:r>
        <w:t xml:space="preserve">: April 21–23 — music, food trucks, inflatables, and art showcases.</w:t>
      </w:r>
    </w:p>
    <w:p>
      <w:pPr>
        <w:numPr>
          <w:ilvl w:val="0"/>
          <w:numId w:val="1011"/>
        </w:numPr>
        <w:pStyle w:val="Compact"/>
      </w:pPr>
      <w:r>
        <w:rPr>
          <w:bCs/>
          <w:b/>
        </w:rPr>
        <w:t xml:space="preserve">Research Expo</w:t>
      </w:r>
      <w:r>
        <w:t xml:space="preserve">: November 3 — student research presentations and guest speakers.</w:t>
      </w:r>
    </w:p>
    <w:p>
      <w:pPr>
        <w:numPr>
          <w:ilvl w:val="0"/>
          <w:numId w:val="1011"/>
        </w:numPr>
        <w:pStyle w:val="Compact"/>
      </w:pPr>
      <w:r>
        <w:rPr>
          <w:bCs/>
          <w:b/>
        </w:rPr>
        <w:t xml:space="preserve">Cultural Night</w:t>
      </w:r>
      <w:r>
        <w:t xml:space="preserve">: March 10 — celebrating campus diversity with performance and cuisine.</w:t>
      </w:r>
    </w:p>
    <w:bookmarkEnd w:id="32"/>
    <w:bookmarkStart w:id="33" w:name="athletics-recreation"/>
    <w:p>
      <w:pPr>
        <w:pStyle w:val="Heading3"/>
      </w:pPr>
      <w:r>
        <w:t xml:space="preserve">Athletics &amp; Recreation</w:t>
      </w:r>
    </w:p>
    <w:p>
      <w:pPr>
        <w:numPr>
          <w:ilvl w:val="0"/>
          <w:numId w:val="1012"/>
        </w:numPr>
        <w:pStyle w:val="Compact"/>
      </w:pPr>
      <w:r>
        <w:rPr>
          <w:bCs/>
          <w:b/>
        </w:rPr>
        <w:t xml:space="preserve">Varsity Teams</w:t>
      </w:r>
      <w:r>
        <w:t xml:space="preserve">: Falcons (Basketball, Soccer, Volleyball, Track &amp; Field)</w:t>
      </w:r>
    </w:p>
    <w:p>
      <w:pPr>
        <w:numPr>
          <w:ilvl w:val="0"/>
          <w:numId w:val="1012"/>
        </w:numPr>
        <w:pStyle w:val="Compact"/>
      </w:pPr>
      <w:r>
        <w:rPr>
          <w:bCs/>
          <w:b/>
        </w:rPr>
        <w:t xml:space="preserve">Intramural Sports</w:t>
      </w:r>
      <w:r>
        <w:t xml:space="preserve">: Flag Football, Ultimate Frisbee, Table Tennis, Badminton</w:t>
      </w:r>
    </w:p>
    <w:p>
      <w:pPr>
        <w:numPr>
          <w:ilvl w:val="0"/>
          <w:numId w:val="1012"/>
        </w:numPr>
        <w:pStyle w:val="Compact"/>
      </w:pPr>
      <w:r>
        <w:rPr>
          <w:bCs/>
          <w:b/>
        </w:rPr>
        <w:t xml:space="preserve">Fitness Classes</w:t>
      </w:r>
      <w:r>
        <w:t xml:space="preserve">: Yoga, Zumba, HIIT, Aqua Aerobics offered at Cendara Athletics Pavilion.</w:t>
      </w:r>
    </w:p>
    <w:p>
      <w:pPr>
        <w:numPr>
          <w:ilvl w:val="0"/>
          <w:numId w:val="1012"/>
        </w:numPr>
        <w:pStyle w:val="Compact"/>
      </w:pPr>
      <w:r>
        <w:rPr>
          <w:bCs/>
          <w:b/>
        </w:rPr>
        <w:t xml:space="preserve">Outdoor Trails</w:t>
      </w:r>
      <w:r>
        <w:t xml:space="preserve">: 3 miles of walking and jogging paths through Cendara Arboretum.</w:t>
      </w:r>
    </w:p>
    <w:p>
      <w:r>
        <w:pict>
          <v:rect style="width:0;height:1.5pt" o:hralign="center" o:hrstd="t" o:hr="t"/>
        </w:pict>
      </w:r>
    </w:p>
    <w:bookmarkEnd w:id="33"/>
    <w:bookmarkEnd w:id="34"/>
    <w:bookmarkStart w:id="41" w:name="student-resources"/>
    <w:p>
      <w:pPr>
        <w:pStyle w:val="Heading2"/>
      </w:pPr>
      <w:r>
        <w:t xml:space="preserve">Student Resources</w:t>
      </w:r>
    </w:p>
    <w:bookmarkStart w:id="35" w:name="library-services"/>
    <w:p>
      <w:pPr>
        <w:pStyle w:val="Heading3"/>
      </w:pPr>
      <w:r>
        <w:t xml:space="preserve">Library Services</w:t>
      </w:r>
    </w:p>
    <w:p>
      <w:pPr>
        <w:numPr>
          <w:ilvl w:val="0"/>
          <w:numId w:val="1013"/>
        </w:numPr>
        <w:pStyle w:val="Compact"/>
      </w:pPr>
      <w:r>
        <w:rPr>
          <w:bCs/>
          <w:b/>
        </w:rPr>
        <w:t xml:space="preserve">Silverleaf Library</w:t>
      </w:r>
      <w:r>
        <w:t xml:space="preserve">: 120,000 print volumes, 400,000 digital items, 100 study carrels.</w:t>
      </w:r>
    </w:p>
    <w:p>
      <w:pPr>
        <w:numPr>
          <w:ilvl w:val="0"/>
          <w:numId w:val="1013"/>
        </w:numPr>
        <w:pStyle w:val="Compact"/>
      </w:pPr>
      <w:r>
        <w:rPr>
          <w:bCs/>
          <w:b/>
        </w:rPr>
        <w:t xml:space="preserve">Hours</w:t>
      </w:r>
      <w:r>
        <w:t xml:space="preserve">: 8:00 AM – midnight (Mon–Thurs), closes at 10:00 PM Fri–Sun.</w:t>
      </w:r>
    </w:p>
    <w:p>
      <w:pPr>
        <w:numPr>
          <w:ilvl w:val="0"/>
          <w:numId w:val="1013"/>
        </w:numPr>
        <w:pStyle w:val="Compact"/>
      </w:pPr>
      <w:r>
        <w:rPr>
          <w:bCs/>
          <w:b/>
        </w:rPr>
        <w:t xml:space="preserve">Services</w:t>
      </w:r>
      <w:r>
        <w:t xml:space="preserve">:</w:t>
      </w:r>
    </w:p>
    <w:p>
      <w:pPr>
        <w:numPr>
          <w:ilvl w:val="1"/>
          <w:numId w:val="1014"/>
        </w:numPr>
        <w:pStyle w:val="Compact"/>
      </w:pPr>
      <w:r>
        <w:t xml:space="preserve">Research consultations</w:t>
      </w:r>
    </w:p>
    <w:p>
      <w:pPr>
        <w:numPr>
          <w:ilvl w:val="1"/>
          <w:numId w:val="1014"/>
        </w:numPr>
        <w:pStyle w:val="Compact"/>
      </w:pPr>
      <w:r>
        <w:t xml:space="preserve">Laptop loans</w:t>
      </w:r>
    </w:p>
    <w:p>
      <w:pPr>
        <w:numPr>
          <w:ilvl w:val="1"/>
          <w:numId w:val="1014"/>
        </w:numPr>
        <w:pStyle w:val="Compact"/>
      </w:pPr>
      <w:r>
        <w:t xml:space="preserve">Group study rooms (reserve online)</w:t>
      </w:r>
    </w:p>
    <w:p>
      <w:pPr>
        <w:numPr>
          <w:ilvl w:val="1"/>
          <w:numId w:val="1014"/>
        </w:numPr>
        <w:pStyle w:val="Compact"/>
      </w:pPr>
      <w:r>
        <w:t xml:space="preserve">Printing and scanning</w:t>
      </w:r>
    </w:p>
    <w:bookmarkEnd w:id="35"/>
    <w:bookmarkStart w:id="36" w:name="health-wellness-center"/>
    <w:p>
      <w:pPr>
        <w:pStyle w:val="Heading3"/>
      </w:pPr>
      <w:r>
        <w:t xml:space="preserve">Health &amp; Wellness Center</w:t>
      </w:r>
    </w:p>
    <w:p>
      <w:pPr>
        <w:numPr>
          <w:ilvl w:val="0"/>
          <w:numId w:val="1015"/>
        </w:numPr>
        <w:pStyle w:val="Compact"/>
      </w:pPr>
      <w:r>
        <w:rPr>
          <w:bCs/>
          <w:b/>
        </w:rPr>
        <w:t xml:space="preserve">Location</w:t>
      </w:r>
      <w:r>
        <w:t xml:space="preserve">: West end of Arches Academic Complex</w:t>
      </w:r>
    </w:p>
    <w:p>
      <w:pPr>
        <w:numPr>
          <w:ilvl w:val="0"/>
          <w:numId w:val="1015"/>
        </w:numPr>
        <w:pStyle w:val="Compact"/>
      </w:pPr>
      <w:r>
        <w:rPr>
          <w:bCs/>
          <w:b/>
        </w:rPr>
        <w:t xml:space="preserve">Hours</w:t>
      </w:r>
      <w:r>
        <w:t xml:space="preserve">: 8:30 AM – 6:00 PM (Weekdays)</w:t>
      </w:r>
    </w:p>
    <w:p>
      <w:pPr>
        <w:numPr>
          <w:ilvl w:val="0"/>
          <w:numId w:val="1015"/>
        </w:numPr>
        <w:pStyle w:val="Compact"/>
      </w:pPr>
      <w:r>
        <w:rPr>
          <w:bCs/>
          <w:b/>
        </w:rPr>
        <w:t xml:space="preserve">Services</w:t>
      </w:r>
      <w:r>
        <w:t xml:space="preserve">:</w:t>
      </w:r>
    </w:p>
    <w:p>
      <w:pPr>
        <w:numPr>
          <w:ilvl w:val="1"/>
          <w:numId w:val="1016"/>
        </w:numPr>
        <w:pStyle w:val="Compact"/>
      </w:pPr>
      <w:r>
        <w:t xml:space="preserve">General health (routine check-ups, immunizations)</w:t>
      </w:r>
    </w:p>
    <w:p>
      <w:pPr>
        <w:numPr>
          <w:ilvl w:val="1"/>
          <w:numId w:val="1016"/>
        </w:numPr>
        <w:pStyle w:val="Compact"/>
      </w:pPr>
      <w:r>
        <w:t xml:space="preserve">Sexual health and counseling</w:t>
      </w:r>
    </w:p>
    <w:p>
      <w:pPr>
        <w:numPr>
          <w:ilvl w:val="1"/>
          <w:numId w:val="1016"/>
        </w:numPr>
        <w:pStyle w:val="Compact"/>
      </w:pPr>
      <w:r>
        <w:t xml:space="preserve">Telemedicine appointments</w:t>
      </w:r>
    </w:p>
    <w:bookmarkEnd w:id="36"/>
    <w:bookmarkStart w:id="37" w:name="counseling-services"/>
    <w:p>
      <w:pPr>
        <w:pStyle w:val="Heading3"/>
      </w:pPr>
      <w:r>
        <w:t xml:space="preserve">Counseling Services</w:t>
      </w:r>
    </w:p>
    <w:p>
      <w:pPr>
        <w:numPr>
          <w:ilvl w:val="0"/>
          <w:numId w:val="1017"/>
        </w:numPr>
        <w:pStyle w:val="Compact"/>
      </w:pPr>
      <w:r>
        <w:rPr>
          <w:bCs/>
          <w:b/>
        </w:rPr>
        <w:t xml:space="preserve">Confidential mental health support</w:t>
      </w:r>
    </w:p>
    <w:p>
      <w:pPr>
        <w:numPr>
          <w:ilvl w:val="0"/>
          <w:numId w:val="1017"/>
        </w:numPr>
        <w:pStyle w:val="Compact"/>
      </w:pPr>
      <w:r>
        <w:rPr>
          <w:bCs/>
          <w:b/>
        </w:rPr>
        <w:t xml:space="preserve">Free short-term individual counseling</w:t>
      </w:r>
    </w:p>
    <w:p>
      <w:pPr>
        <w:numPr>
          <w:ilvl w:val="0"/>
          <w:numId w:val="1017"/>
        </w:numPr>
        <w:pStyle w:val="Compact"/>
      </w:pPr>
      <w:r>
        <w:rPr>
          <w:bCs/>
          <w:b/>
        </w:rPr>
        <w:t xml:space="preserve">Support groups on topics such as stress, anxiety, and academic pressure</w:t>
      </w:r>
    </w:p>
    <w:p>
      <w:pPr>
        <w:numPr>
          <w:ilvl w:val="0"/>
          <w:numId w:val="1017"/>
        </w:numPr>
        <w:pStyle w:val="Compact"/>
      </w:pPr>
      <w:r>
        <w:rPr>
          <w:bCs/>
          <w:b/>
        </w:rPr>
        <w:t xml:space="preserve">Workshops and outreach programs</w:t>
      </w:r>
    </w:p>
    <w:bookmarkEnd w:id="37"/>
    <w:bookmarkStart w:id="39" w:name="career-development"/>
    <w:p>
      <w:pPr>
        <w:pStyle w:val="Heading3"/>
      </w:pPr>
      <w:r>
        <w:t xml:space="preserve">Career Development</w:t>
      </w:r>
    </w:p>
    <w:p>
      <w:pPr>
        <w:numPr>
          <w:ilvl w:val="0"/>
          <w:numId w:val="1018"/>
        </w:numPr>
        <w:pStyle w:val="Compact"/>
      </w:pPr>
      <w:r>
        <w:rPr>
          <w:bCs/>
          <w:b/>
        </w:rPr>
        <w:t xml:space="preserve">Resources</w:t>
      </w:r>
      <w:r>
        <w:t xml:space="preserve">:</w:t>
      </w:r>
    </w:p>
    <w:p>
      <w:pPr>
        <w:numPr>
          <w:ilvl w:val="1"/>
          <w:numId w:val="1019"/>
        </w:numPr>
        <w:pStyle w:val="Compact"/>
      </w:pPr>
      <w:r>
        <w:t xml:space="preserve">Resume and cover letter reviews</w:t>
      </w:r>
    </w:p>
    <w:p>
      <w:pPr>
        <w:numPr>
          <w:ilvl w:val="1"/>
          <w:numId w:val="1019"/>
        </w:numPr>
        <w:pStyle w:val="Compact"/>
      </w:pPr>
      <w:r>
        <w:t xml:space="preserve">Mock interviews</w:t>
      </w:r>
    </w:p>
    <w:p>
      <w:pPr>
        <w:numPr>
          <w:ilvl w:val="1"/>
          <w:numId w:val="1019"/>
        </w:numPr>
        <w:pStyle w:val="Compact"/>
      </w:pPr>
      <w:r>
        <w:t xml:space="preserve">Alumni networking events</w:t>
      </w:r>
    </w:p>
    <w:p>
      <w:pPr>
        <w:numPr>
          <w:ilvl w:val="1"/>
          <w:numId w:val="1019"/>
        </w:numPr>
        <w:pStyle w:val="Compact"/>
      </w:pPr>
      <w:r>
        <w:t xml:space="preserve">On-campus career fairs (Fall and Spring)</w:t>
      </w:r>
    </w:p>
    <w:p>
      <w:pPr>
        <w:numPr>
          <w:ilvl w:val="0"/>
          <w:numId w:val="1018"/>
        </w:numPr>
        <w:pStyle w:val="Compact"/>
      </w:pPr>
      <w:r>
        <w:rPr>
          <w:bCs/>
          <w:b/>
        </w:rPr>
        <w:t xml:space="preserve">Internship and job search portal available at</w:t>
      </w:r>
      <w:r>
        <w:t xml:space="preserve"> </w:t>
      </w:r>
      <w:hyperlink r:id="rId38">
        <w:r>
          <w:rPr>
            <w:rStyle w:val="Hyperlink"/>
          </w:rPr>
          <w:t xml:space="preserve">careers.cendara.edu</w:t>
        </w:r>
      </w:hyperlink>
    </w:p>
    <w:bookmarkEnd w:id="39"/>
    <w:bookmarkStart w:id="40" w:name="technology-support"/>
    <w:p>
      <w:pPr>
        <w:pStyle w:val="Heading3"/>
      </w:pPr>
      <w:r>
        <w:t xml:space="preserve">Technology Support</w:t>
      </w:r>
    </w:p>
    <w:p>
      <w:pPr>
        <w:numPr>
          <w:ilvl w:val="0"/>
          <w:numId w:val="1020"/>
        </w:numPr>
        <w:pStyle w:val="Compact"/>
      </w:pPr>
      <w:r>
        <w:rPr>
          <w:bCs/>
          <w:b/>
        </w:rPr>
        <w:t xml:space="preserve">IT Help Desk</w:t>
      </w:r>
      <w:r>
        <w:t xml:space="preserve">: helpdesk@cendara.edu, (473) 555-0197</w:t>
      </w:r>
    </w:p>
    <w:p>
      <w:pPr>
        <w:numPr>
          <w:ilvl w:val="0"/>
          <w:numId w:val="1020"/>
        </w:numPr>
        <w:pStyle w:val="Compact"/>
      </w:pPr>
      <w:r>
        <w:rPr>
          <w:bCs/>
          <w:b/>
        </w:rPr>
        <w:t xml:space="preserve">Services</w:t>
      </w:r>
      <w:r>
        <w:t xml:space="preserve">:</w:t>
      </w:r>
    </w:p>
    <w:p>
      <w:pPr>
        <w:numPr>
          <w:ilvl w:val="1"/>
          <w:numId w:val="1021"/>
        </w:numPr>
        <w:pStyle w:val="Compact"/>
      </w:pPr>
      <w:r>
        <w:t xml:space="preserve">Free campus Wi-Fi (use login: studentID@cendara.edu)</w:t>
      </w:r>
    </w:p>
    <w:p>
      <w:pPr>
        <w:numPr>
          <w:ilvl w:val="1"/>
          <w:numId w:val="1021"/>
        </w:numPr>
        <w:pStyle w:val="Compact"/>
      </w:pPr>
      <w:r>
        <w:t xml:space="preserve">Computer labs in Academic Complex and Library</w:t>
      </w:r>
    </w:p>
    <w:p>
      <w:pPr>
        <w:numPr>
          <w:ilvl w:val="1"/>
          <w:numId w:val="1021"/>
        </w:numPr>
        <w:pStyle w:val="Compact"/>
      </w:pPr>
      <w:r>
        <w:t xml:space="preserve">Software downloads (Microsoft 365, Matlab, Adobe Creative Suite)</w:t>
      </w:r>
    </w:p>
    <w:p>
      <w:pPr>
        <w:numPr>
          <w:ilvl w:val="1"/>
          <w:numId w:val="1021"/>
        </w:numPr>
        <w:pStyle w:val="Compact"/>
      </w:pPr>
      <w:r>
        <w:t xml:space="preserve">24/7 emergency tech support</w:t>
      </w:r>
    </w:p>
    <w:p>
      <w:r>
        <w:pict>
          <v:rect style="width:0;height:1.5pt" o:hralign="center" o:hrstd="t" o:hr="t"/>
        </w:pict>
      </w:r>
    </w:p>
    <w:bookmarkEnd w:id="40"/>
    <w:bookmarkEnd w:id="41"/>
    <w:bookmarkStart w:id="42" w:name="code-of-conduct"/>
    <w:p>
      <w:pPr>
        <w:pStyle w:val="Heading2"/>
      </w:pPr>
      <w:r>
        <w:t xml:space="preserve">Code of Conduct</w:t>
      </w:r>
    </w:p>
    <w:p>
      <w:pPr>
        <w:pStyle w:val="FirstParagraph"/>
      </w:pPr>
      <w:r>
        <w:t xml:space="preserve">Cendara University expects all students to uphold principles of respect, responsibility, and integrity. The following are strictly prohibited:</w:t>
      </w:r>
    </w:p>
    <w:p>
      <w:pPr>
        <w:numPr>
          <w:ilvl w:val="0"/>
          <w:numId w:val="1022"/>
        </w:numPr>
        <w:pStyle w:val="Compact"/>
      </w:pPr>
      <w:r>
        <w:rPr>
          <w:bCs/>
          <w:b/>
        </w:rPr>
        <w:t xml:space="preserve">Harassment, discrimination, or hate speech</w:t>
      </w:r>
      <w:r>
        <w:t xml:space="preserve"> </w:t>
      </w:r>
      <w:r>
        <w:t xml:space="preserve">of any kind</w:t>
      </w:r>
    </w:p>
    <w:p>
      <w:pPr>
        <w:numPr>
          <w:ilvl w:val="0"/>
          <w:numId w:val="1022"/>
        </w:numPr>
        <w:pStyle w:val="Compact"/>
      </w:pPr>
      <w:r>
        <w:rPr>
          <w:bCs/>
          <w:b/>
        </w:rPr>
        <w:t xml:space="preserve">Violence</w:t>
      </w:r>
      <w:r>
        <w:t xml:space="preserve">, threats, or intimidation</w:t>
      </w:r>
    </w:p>
    <w:p>
      <w:pPr>
        <w:numPr>
          <w:ilvl w:val="0"/>
          <w:numId w:val="1022"/>
        </w:numPr>
        <w:pStyle w:val="Compact"/>
      </w:pPr>
      <w:r>
        <w:rPr>
          <w:bCs/>
          <w:b/>
        </w:rPr>
        <w:t xml:space="preserve">Theft or destruction of property</w:t>
      </w:r>
    </w:p>
    <w:p>
      <w:pPr>
        <w:numPr>
          <w:ilvl w:val="0"/>
          <w:numId w:val="1022"/>
        </w:numPr>
        <w:pStyle w:val="Compact"/>
      </w:pPr>
      <w:r>
        <w:rPr>
          <w:bCs/>
          <w:b/>
        </w:rPr>
        <w:t xml:space="preserve">Alcohol or drug use</w:t>
      </w:r>
      <w:r>
        <w:t xml:space="preserve"> </w:t>
      </w:r>
      <w:r>
        <w:t xml:space="preserve">on campus (unless permitted at registered, age-verified events)</w:t>
      </w:r>
    </w:p>
    <w:p>
      <w:pPr>
        <w:numPr>
          <w:ilvl w:val="0"/>
          <w:numId w:val="1022"/>
        </w:numPr>
        <w:pStyle w:val="Compact"/>
      </w:pPr>
      <w:r>
        <w:rPr>
          <w:bCs/>
          <w:b/>
        </w:rPr>
        <w:t xml:space="preserve">Academic dishonesty</w:t>
      </w:r>
      <w:r>
        <w:t xml:space="preserve"> </w:t>
      </w:r>
      <w:r>
        <w:t xml:space="preserve">(see Academic Integrity Policy)</w:t>
      </w:r>
    </w:p>
    <w:p>
      <w:pPr>
        <w:pStyle w:val="FirstParagraph"/>
      </w:pPr>
      <w:r>
        <w:t xml:space="preserve">Violations are subject to investigation and disciplinary action, including warnings, probation, suspension, and expulsion. Appeals can be made through the Office of Student Conduct.</w:t>
      </w:r>
    </w:p>
    <w:p>
      <w:r>
        <w:pict>
          <v:rect style="width:0;height:1.5pt" o:hralign="center" o:hrstd="t" o:hr="t"/>
        </w:pict>
      </w:r>
    </w:p>
    <w:bookmarkEnd w:id="42"/>
    <w:bookmarkStart w:id="43" w:name="safety-security"/>
    <w:p>
      <w:pPr>
        <w:pStyle w:val="Heading2"/>
      </w:pPr>
      <w:r>
        <w:t xml:space="preserve">Safety &amp; Security</w:t>
      </w:r>
    </w:p>
    <w:p>
      <w:pPr>
        <w:numPr>
          <w:ilvl w:val="0"/>
          <w:numId w:val="1023"/>
        </w:numPr>
        <w:pStyle w:val="Compact"/>
      </w:pPr>
      <w:r>
        <w:rPr>
          <w:bCs/>
          <w:b/>
        </w:rPr>
        <w:t xml:space="preserve">Campus Safety Office</w:t>
      </w:r>
      <w:r>
        <w:t xml:space="preserve">: Located in Willows Student Center (open 24/7)</w:t>
      </w:r>
    </w:p>
    <w:p>
      <w:pPr>
        <w:numPr>
          <w:ilvl w:val="0"/>
          <w:numId w:val="1023"/>
        </w:numPr>
        <w:pStyle w:val="Compact"/>
      </w:pPr>
      <w:r>
        <w:rPr>
          <w:bCs/>
          <w:b/>
        </w:rPr>
        <w:t xml:space="preserve">Emergency Contacts</w:t>
      </w:r>
      <w:r>
        <w:t xml:space="preserve">: (473) 555-0111 (emergency), (473) 555-0120 (non-emergency)</w:t>
      </w:r>
    </w:p>
    <w:p>
      <w:pPr>
        <w:numPr>
          <w:ilvl w:val="0"/>
          <w:numId w:val="1023"/>
        </w:numPr>
        <w:pStyle w:val="Compact"/>
      </w:pPr>
      <w:r>
        <w:rPr>
          <w:bCs/>
          <w:b/>
        </w:rPr>
        <w:t xml:space="preserve">Safe Ride Program</w:t>
      </w:r>
      <w:r>
        <w:t xml:space="preserve">: Free rides from 6:00 PM to 2:00 AM daily</w:t>
      </w:r>
    </w:p>
    <w:p>
      <w:pPr>
        <w:numPr>
          <w:ilvl w:val="0"/>
          <w:numId w:val="1023"/>
        </w:numPr>
        <w:pStyle w:val="Compact"/>
      </w:pPr>
      <w:r>
        <w:rPr>
          <w:bCs/>
          <w:b/>
        </w:rPr>
        <w:t xml:space="preserve">Blue Light Phones</w:t>
      </w:r>
      <w:r>
        <w:t xml:space="preserve">: 25 locations across campus for immediate assistance</w:t>
      </w:r>
    </w:p>
    <w:p>
      <w:pPr>
        <w:numPr>
          <w:ilvl w:val="0"/>
          <w:numId w:val="1023"/>
        </w:numPr>
        <w:pStyle w:val="Compact"/>
      </w:pPr>
      <w:r>
        <w:rPr>
          <w:bCs/>
          <w:b/>
        </w:rPr>
        <w:t xml:space="preserve">Fire Drills &amp; Emergency Procedures</w:t>
      </w:r>
      <w:r>
        <w:t xml:space="preserve">: Conducted each semester—see posted instructions.</w:t>
      </w:r>
    </w:p>
    <w:p>
      <w:pPr>
        <w:numPr>
          <w:ilvl w:val="0"/>
          <w:numId w:val="1023"/>
        </w:numPr>
        <w:pStyle w:val="Compact"/>
      </w:pPr>
      <w:r>
        <w:rPr>
          <w:bCs/>
          <w:b/>
        </w:rPr>
        <w:t xml:space="preserve">Personal Property Tips</w:t>
      </w:r>
      <w:r>
        <w:t xml:space="preserve">:</w:t>
      </w:r>
    </w:p>
    <w:p>
      <w:pPr>
        <w:numPr>
          <w:ilvl w:val="1"/>
          <w:numId w:val="1024"/>
        </w:numPr>
        <w:pStyle w:val="Compact"/>
      </w:pPr>
      <w:r>
        <w:t xml:space="preserve">Lock doors and bikes at all times.</w:t>
      </w:r>
    </w:p>
    <w:p>
      <w:pPr>
        <w:numPr>
          <w:ilvl w:val="1"/>
          <w:numId w:val="1024"/>
        </w:numPr>
        <w:pStyle w:val="Compact"/>
      </w:pPr>
      <w:r>
        <w:t xml:space="preserve">Report suspicious activity.</w:t>
      </w:r>
    </w:p>
    <w:p>
      <w:pPr>
        <w:numPr>
          <w:ilvl w:val="1"/>
          <w:numId w:val="1024"/>
        </w:numPr>
        <w:pStyle w:val="Compact"/>
      </w:pPr>
      <w:r>
        <w:t xml:space="preserve">Register laptops and valuables with Campus Safety.</w:t>
      </w:r>
    </w:p>
    <w:p>
      <w:r>
        <w:pict>
          <v:rect style="width:0;height:1.5pt" o:hralign="center" o:hrstd="t" o:hr="t"/>
        </w:pict>
      </w:r>
    </w:p>
    <w:bookmarkEnd w:id="43"/>
    <w:bookmarkStart w:id="44" w:name="diversity-inclusion"/>
    <w:p>
      <w:pPr>
        <w:pStyle w:val="Heading2"/>
      </w:pPr>
      <w:r>
        <w:t xml:space="preserve">Diversity &amp; Inclusion</w:t>
      </w:r>
    </w:p>
    <w:p>
      <w:pPr>
        <w:pStyle w:val="FirstParagraph"/>
      </w:pPr>
      <w:r>
        <w:t xml:space="preserve">Cendara University is committed to building a welcoming and equitable community. The Office of Diversity, Equity, &amp; Inclusion (ODEI) leads campus-wide efforts in:</w:t>
      </w:r>
    </w:p>
    <w:p>
      <w:pPr>
        <w:numPr>
          <w:ilvl w:val="0"/>
          <w:numId w:val="1025"/>
        </w:numPr>
        <w:pStyle w:val="Compact"/>
      </w:pPr>
      <w:r>
        <w:rPr>
          <w:bCs/>
          <w:b/>
        </w:rPr>
        <w:t xml:space="preserve">Bias incident reporting and response</w:t>
      </w:r>
    </w:p>
    <w:p>
      <w:pPr>
        <w:numPr>
          <w:ilvl w:val="0"/>
          <w:numId w:val="1025"/>
        </w:numPr>
        <w:pStyle w:val="Compact"/>
      </w:pPr>
      <w:r>
        <w:rPr>
          <w:bCs/>
          <w:b/>
        </w:rPr>
        <w:t xml:space="preserve">Support for affinity groups (LGBTQ+, cultural groups, first-generation students)</w:t>
      </w:r>
    </w:p>
    <w:p>
      <w:pPr>
        <w:numPr>
          <w:ilvl w:val="0"/>
          <w:numId w:val="1025"/>
        </w:numPr>
        <w:pStyle w:val="Compact"/>
      </w:pPr>
      <w:r>
        <w:rPr>
          <w:bCs/>
          <w:b/>
        </w:rPr>
        <w:t xml:space="preserve">Workshops on cultural competence and allyship</w:t>
      </w:r>
    </w:p>
    <w:p>
      <w:pPr>
        <w:numPr>
          <w:ilvl w:val="0"/>
          <w:numId w:val="1025"/>
        </w:numPr>
        <w:pStyle w:val="Compact"/>
      </w:pPr>
      <w:r>
        <w:rPr>
          <w:bCs/>
          <w:b/>
        </w:rPr>
        <w:t xml:space="preserve">Scholarships and mentoring for underrepresented students</w:t>
      </w:r>
    </w:p>
    <w:p>
      <w:pPr>
        <w:pStyle w:val="FirstParagraph"/>
      </w:pPr>
      <w:r>
        <w:t xml:space="preserve">For more information, contact odei@cendara.edu or visit their office in the Willows Student Center.</w:t>
      </w:r>
    </w:p>
    <w:p>
      <w:r>
        <w:pict>
          <v:rect style="width:0;height:1.5pt" o:hralign="center" o:hrstd="t" o:hr="t"/>
        </w:pict>
      </w:r>
    </w:p>
    <w:bookmarkEnd w:id="44"/>
    <w:bookmarkStart w:id="45" w:name="important-contacts"/>
    <w:p>
      <w:pPr>
        <w:pStyle w:val="Heading2"/>
      </w:pPr>
      <w:r>
        <w:t xml:space="preserve">Important Contacts</w:t>
      </w:r>
    </w:p>
    <w:tbl>
      <w:tblPr>
        <w:tblStyle w:val="Table"/>
        <w:tblW w:type="pct" w:w="5000"/>
        <w:tblLook w:firstRow="1" w:lastRow="0" w:firstColumn="0" w:lastColumn="0" w:noHBand="0" w:noVBand="0" w:val="0020"/>
      </w:tblPr>
      <w:tblGrid>
        <w:gridCol w:w="2214"/>
        <w:gridCol w:w="2282"/>
        <w:gridCol w:w="1141"/>
        <w:gridCol w:w="2282"/>
      </w:tblGrid>
      <w:tr>
        <w:trPr>
          <w:tblHeader w:val="true"/>
        </w:trPr>
        <w:tc>
          <w:tcPr/>
          <w:p>
            <w:pPr>
              <w:pStyle w:val="Compact"/>
              <w:jc w:val="left"/>
            </w:pPr>
            <w:r>
              <w:t xml:space="preserve">Office</w:t>
            </w:r>
          </w:p>
        </w:tc>
        <w:tc>
          <w:tcPr/>
          <w:p>
            <w:pPr>
              <w:pStyle w:val="Compact"/>
              <w:jc w:val="left"/>
            </w:pPr>
            <w:r>
              <w:t xml:space="preserve">Location</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Student Affairs</w:t>
            </w:r>
          </w:p>
        </w:tc>
        <w:tc>
          <w:tcPr/>
          <w:p>
            <w:pPr>
              <w:pStyle w:val="Compact"/>
              <w:jc w:val="left"/>
            </w:pPr>
            <w:r>
              <w:t xml:space="preserve">Willows Student Center, 2nd Fl.</w:t>
            </w:r>
          </w:p>
        </w:tc>
        <w:tc>
          <w:tcPr/>
          <w:p>
            <w:pPr>
              <w:pStyle w:val="Compact"/>
              <w:jc w:val="left"/>
            </w:pPr>
            <w:r>
              <w:t xml:space="preserve">(473) 555-0150</w:t>
            </w:r>
          </w:p>
        </w:tc>
        <w:tc>
          <w:tcPr/>
          <w:p>
            <w:pPr>
              <w:pStyle w:val="Compact"/>
              <w:jc w:val="left"/>
            </w:pPr>
            <w:r>
              <w:t xml:space="preserve">student.affairs@cendara.edu</w:t>
            </w:r>
          </w:p>
        </w:tc>
      </w:tr>
      <w:tr>
        <w:tc>
          <w:tcPr/>
          <w:p>
            <w:pPr>
              <w:pStyle w:val="Compact"/>
              <w:jc w:val="left"/>
            </w:pPr>
            <w:r>
              <w:t xml:space="preserve">Academic Advising</w:t>
            </w:r>
          </w:p>
        </w:tc>
        <w:tc>
          <w:tcPr/>
          <w:p>
            <w:pPr>
              <w:pStyle w:val="Compact"/>
              <w:jc w:val="left"/>
            </w:pPr>
            <w:r>
              <w:t xml:space="preserve">Arches Complex, Room 104</w:t>
            </w:r>
          </w:p>
        </w:tc>
        <w:tc>
          <w:tcPr/>
          <w:p>
            <w:pPr>
              <w:pStyle w:val="Compact"/>
              <w:jc w:val="left"/>
            </w:pPr>
            <w:r>
              <w:t xml:space="preserve">(473) 555-0172</w:t>
            </w:r>
          </w:p>
        </w:tc>
        <w:tc>
          <w:tcPr/>
          <w:p>
            <w:pPr>
              <w:pStyle w:val="Compact"/>
              <w:jc w:val="left"/>
            </w:pPr>
            <w:r>
              <w:t xml:space="preserve">advising@cendara.edu</w:t>
            </w:r>
          </w:p>
        </w:tc>
      </w:tr>
      <w:tr>
        <w:tc>
          <w:tcPr/>
          <w:p>
            <w:pPr>
              <w:pStyle w:val="Compact"/>
              <w:jc w:val="left"/>
            </w:pPr>
            <w:r>
              <w:t xml:space="preserve">Residence Life</w:t>
            </w:r>
          </w:p>
        </w:tc>
        <w:tc>
          <w:tcPr/>
          <w:p>
            <w:pPr>
              <w:pStyle w:val="Compact"/>
              <w:jc w:val="left"/>
            </w:pPr>
            <w:r>
              <w:t xml:space="preserve">Birch Hall, Lobby</w:t>
            </w:r>
          </w:p>
        </w:tc>
        <w:tc>
          <w:tcPr/>
          <w:p>
            <w:pPr>
              <w:pStyle w:val="Compact"/>
              <w:jc w:val="left"/>
            </w:pPr>
            <w:r>
              <w:t xml:space="preserve">(473) 555-0166</w:t>
            </w:r>
          </w:p>
        </w:tc>
        <w:tc>
          <w:tcPr/>
          <w:p>
            <w:pPr>
              <w:pStyle w:val="Compact"/>
              <w:jc w:val="left"/>
            </w:pPr>
            <w:r>
              <w:t xml:space="preserve">reslife@cendara.edu</w:t>
            </w:r>
          </w:p>
        </w:tc>
      </w:tr>
      <w:tr>
        <w:tc>
          <w:tcPr/>
          <w:p>
            <w:pPr>
              <w:pStyle w:val="Compact"/>
              <w:jc w:val="left"/>
            </w:pPr>
            <w:r>
              <w:t xml:space="preserve">Health &amp; Wellness</w:t>
            </w:r>
          </w:p>
        </w:tc>
        <w:tc>
          <w:tcPr/>
          <w:p>
            <w:pPr>
              <w:pStyle w:val="Compact"/>
              <w:jc w:val="left"/>
            </w:pPr>
            <w:r>
              <w:t xml:space="preserve">Arches Complex, West End</w:t>
            </w:r>
          </w:p>
        </w:tc>
        <w:tc>
          <w:tcPr/>
          <w:p>
            <w:pPr>
              <w:pStyle w:val="Compact"/>
              <w:jc w:val="left"/>
            </w:pPr>
            <w:r>
              <w:t xml:space="preserve">(473) 555-0184</w:t>
            </w:r>
          </w:p>
        </w:tc>
        <w:tc>
          <w:tcPr/>
          <w:p>
            <w:pPr>
              <w:pStyle w:val="Compact"/>
              <w:jc w:val="left"/>
            </w:pPr>
            <w:r>
              <w:t xml:space="preserve">healthcenter@cendara.edu</w:t>
            </w:r>
          </w:p>
        </w:tc>
      </w:tr>
      <w:tr>
        <w:tc>
          <w:tcPr/>
          <w:p>
            <w:pPr>
              <w:pStyle w:val="Compact"/>
              <w:jc w:val="left"/>
            </w:pPr>
            <w:r>
              <w:t xml:space="preserve">Counseling Services</w:t>
            </w:r>
          </w:p>
        </w:tc>
        <w:tc>
          <w:tcPr/>
          <w:p>
            <w:pPr>
              <w:pStyle w:val="Compact"/>
              <w:jc w:val="left"/>
            </w:pPr>
            <w:r>
              <w:t xml:space="preserve">Willows Student Center, 3rd Fl.</w:t>
            </w:r>
          </w:p>
        </w:tc>
        <w:tc>
          <w:tcPr/>
          <w:p>
            <w:pPr>
              <w:pStyle w:val="Compact"/>
              <w:jc w:val="left"/>
            </w:pPr>
            <w:r>
              <w:t xml:space="preserve">(473) 555-0135</w:t>
            </w:r>
          </w:p>
        </w:tc>
        <w:tc>
          <w:tcPr/>
          <w:p>
            <w:pPr>
              <w:pStyle w:val="Compact"/>
              <w:jc w:val="left"/>
            </w:pPr>
            <w:r>
              <w:t xml:space="preserve">counseling@cendara.edu</w:t>
            </w:r>
          </w:p>
        </w:tc>
      </w:tr>
      <w:tr>
        <w:tc>
          <w:tcPr/>
          <w:p>
            <w:pPr>
              <w:pStyle w:val="Compact"/>
              <w:jc w:val="left"/>
            </w:pPr>
            <w:r>
              <w:t xml:space="preserve">Campus Safety</w:t>
            </w:r>
          </w:p>
        </w:tc>
        <w:tc>
          <w:tcPr/>
          <w:p>
            <w:pPr>
              <w:pStyle w:val="Compact"/>
              <w:jc w:val="left"/>
            </w:pPr>
            <w:r>
              <w:t xml:space="preserve">Willows Student Center, 1st Fl.</w:t>
            </w:r>
          </w:p>
        </w:tc>
        <w:tc>
          <w:tcPr/>
          <w:p>
            <w:pPr>
              <w:pStyle w:val="Compact"/>
              <w:jc w:val="left"/>
            </w:pPr>
            <w:r>
              <w:t xml:space="preserve">(473) 555-0111</w:t>
            </w:r>
          </w:p>
        </w:tc>
        <w:tc>
          <w:tcPr/>
          <w:p>
            <w:pPr>
              <w:pStyle w:val="Compact"/>
              <w:jc w:val="left"/>
            </w:pPr>
            <w:r>
              <w:t xml:space="preserve">safety@cendara.edu</w:t>
            </w:r>
          </w:p>
        </w:tc>
      </w:tr>
      <w:tr>
        <w:tc>
          <w:tcPr/>
          <w:p>
            <w:pPr>
              <w:pStyle w:val="Compact"/>
              <w:jc w:val="left"/>
            </w:pPr>
            <w:r>
              <w:t xml:space="preserve">Diversity, Equity &amp; Inclusion</w:t>
            </w:r>
          </w:p>
        </w:tc>
        <w:tc>
          <w:tcPr/>
          <w:p>
            <w:pPr>
              <w:pStyle w:val="Compact"/>
              <w:jc w:val="left"/>
            </w:pPr>
            <w:r>
              <w:t xml:space="preserve">Willows Student Center, 1st Fl.</w:t>
            </w:r>
          </w:p>
        </w:tc>
        <w:tc>
          <w:tcPr/>
          <w:p>
            <w:pPr>
              <w:pStyle w:val="Compact"/>
              <w:jc w:val="left"/>
            </w:pPr>
            <w:r>
              <w:t xml:space="preserve">(473) 555-0243</w:t>
            </w:r>
          </w:p>
        </w:tc>
        <w:tc>
          <w:tcPr/>
          <w:p>
            <w:pPr>
              <w:pStyle w:val="Compact"/>
              <w:jc w:val="left"/>
            </w:pPr>
            <w:r>
              <w:t xml:space="preserve">odei@cendara.edu</w:t>
            </w:r>
          </w:p>
        </w:tc>
      </w:tr>
      <w:tr>
        <w:tc>
          <w:tcPr/>
          <w:p>
            <w:pPr>
              <w:pStyle w:val="Compact"/>
              <w:jc w:val="left"/>
            </w:pPr>
            <w:r>
              <w:t xml:space="preserve">Library</w:t>
            </w:r>
          </w:p>
        </w:tc>
        <w:tc>
          <w:tcPr/>
          <w:p>
            <w:pPr>
              <w:pStyle w:val="Compact"/>
              <w:jc w:val="left"/>
            </w:pPr>
            <w:r>
              <w:t xml:space="preserve">Silverleaf Library, Main Desk</w:t>
            </w:r>
          </w:p>
        </w:tc>
        <w:tc>
          <w:tcPr/>
          <w:p>
            <w:pPr>
              <w:pStyle w:val="Compact"/>
              <w:jc w:val="left"/>
            </w:pPr>
            <w:r>
              <w:t xml:space="preserve">(473) 555-0142</w:t>
            </w:r>
          </w:p>
        </w:tc>
        <w:tc>
          <w:tcPr/>
          <w:p>
            <w:pPr>
              <w:pStyle w:val="Compact"/>
              <w:jc w:val="left"/>
            </w:pPr>
            <w:r>
              <w:t xml:space="preserve">library@cendara.edu</w:t>
            </w:r>
          </w:p>
        </w:tc>
      </w:tr>
      <w:tr>
        <w:tc>
          <w:tcPr/>
          <w:p>
            <w:pPr>
              <w:pStyle w:val="Compact"/>
              <w:jc w:val="left"/>
            </w:pPr>
            <w:r>
              <w:t xml:space="preserve">IT Help Desk</w:t>
            </w:r>
          </w:p>
        </w:tc>
        <w:tc>
          <w:tcPr/>
          <w:p>
            <w:pPr>
              <w:pStyle w:val="Compact"/>
              <w:jc w:val="left"/>
            </w:pPr>
            <w:r>
              <w:t xml:space="preserve">Academic Complex, Room 017</w:t>
            </w:r>
          </w:p>
        </w:tc>
        <w:tc>
          <w:tcPr/>
          <w:p>
            <w:pPr>
              <w:pStyle w:val="Compact"/>
              <w:jc w:val="left"/>
            </w:pPr>
            <w:r>
              <w:t xml:space="preserve">(473) 555-0197</w:t>
            </w:r>
          </w:p>
        </w:tc>
        <w:tc>
          <w:tcPr/>
          <w:p>
            <w:pPr>
              <w:pStyle w:val="Compact"/>
              <w:jc w:val="left"/>
            </w:pPr>
            <w:r>
              <w:t xml:space="preserve">helpdesk@cendara.edu</w:t>
            </w:r>
          </w:p>
        </w:tc>
      </w:tr>
    </w:tbl>
    <w:p>
      <w:r>
        <w:pict>
          <v:rect style="width:0;height:1.5pt" o:hralign="center" o:hrstd="t" o:hr="t"/>
        </w:pict>
      </w:r>
    </w:p>
    <w:p>
      <w:pPr>
        <w:pStyle w:val="FirstParagraph"/>
      </w:pPr>
      <w:r>
        <w:rPr>
          <w:bCs/>
          <w:b/>
        </w:rPr>
        <w:t xml:space="preserve">For questions or updates to this handbook, please contact student.affairs@cendara.edu.</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careers.cendara.edu" TargetMode="External" /></Relationships>
</file>

<file path=word/_rels/footnotes.xml.rels><?xml version="1.0" encoding="UTF-8"?><Relationships xmlns="http://schemas.openxmlformats.org/package/2006/relationships"><Relationship Type="http://schemas.openxmlformats.org/officeDocument/2006/relationships/hyperlink" Id="rId38" Target="https://careers.cendara.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2025-07-29T15:04:41Z</dcterms:created>
  <dcterms:modified xsi:type="dcterms:W3CDTF">2025-07-29T15:04:41Z</dcterms:modified>
</cp:coreProperties>
</file>

<file path=docProps/custom.xml><?xml version="1.0" encoding="utf-8"?>
<Properties xmlns="http://schemas.openxmlformats.org/officeDocument/2006/custom-properties" xmlns:vt="http://schemas.openxmlformats.org/officeDocument/2006/docPropsVTypes"/>
</file>