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zx-bank-ltd."/>
    <w:p>
      <w:pPr>
        <w:pStyle w:val="Heading1"/>
      </w:pPr>
      <w:r>
        <w:t xml:space="preserve">ZX Bank Ltd.</w:t>
      </w:r>
    </w:p>
    <w:p>
      <w:pPr>
        <w:pStyle w:val="FirstParagraph"/>
      </w:pPr>
      <w:r>
        <w:rPr>
          <w:bCs/>
          <w:b/>
        </w:rPr>
        <w:t xml:space="preserve">Headquarters:</w:t>
      </w:r>
      <w:r>
        <w:t xml:space="preserve"> </w:t>
      </w:r>
      <w:r>
        <w:t xml:space="preserve">Mumbai, Maharashtra, India</w:t>
      </w:r>
      <w:r>
        <w:br/>
      </w:r>
      <w:r>
        <w:rPr>
          <w:bCs/>
          <w:b/>
        </w:rPr>
        <w:t xml:space="preserve">Founded:</w:t>
      </w:r>
      <w:r>
        <w:t xml:space="preserve"> </w:t>
      </w:r>
      <w:r>
        <w:t xml:space="preserve">1998</w:t>
      </w:r>
      <w:r>
        <w:br/>
      </w:r>
      <w:r>
        <w:rPr>
          <w:bCs/>
          <w:b/>
        </w:rPr>
        <w:t xml:space="preserve">Bank Type:</w:t>
      </w:r>
      <w:r>
        <w:t xml:space="preserve"> </w:t>
      </w:r>
      <w:r>
        <w:t xml:space="preserve">Private Sector, Commercial Banking</w:t>
      </w:r>
      <w:r>
        <w:br/>
      </w:r>
      <w:r>
        <w:rPr>
          <w:bCs/>
          <w:b/>
        </w:rPr>
        <w:t xml:space="preserve">SWIFT Code:</w:t>
      </w:r>
      <w:r>
        <w:t xml:space="preserve"> </w:t>
      </w:r>
      <w:r>
        <w:t xml:space="preserve">ZXININBB</w:t>
      </w:r>
      <w:r>
        <w:br/>
      </w:r>
      <w:r>
        <w:rPr>
          <w:bCs/>
          <w:b/>
        </w:rPr>
        <w:t xml:space="preserve">IFSC Example:</w:t>
      </w:r>
      <w:r>
        <w:t xml:space="preserve"> </w:t>
      </w:r>
      <w:r>
        <w:t xml:space="preserve">ZXIN0000123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www.zxbank.asia</w:t>
        </w:r>
      </w:hyperlink>
    </w:p>
    <w:p>
      <w:r>
        <w:pict>
          <v:rect style="width:0;height:1.5pt" o:hralign="center" o:hrstd="t" o:hr="t"/>
        </w:pict>
      </w:r>
    </w:p>
    <w:bookmarkStart w:id="21" w:name="operating-countries"/>
    <w:p>
      <w:pPr>
        <w:pStyle w:val="Heading2"/>
      </w:pPr>
      <w:r>
        <w:t xml:space="preserve">Operating Countries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India</w:t>
      </w:r>
    </w:p>
    <w:p>
      <w:pPr>
        <w:numPr>
          <w:ilvl w:val="1"/>
          <w:numId w:val="1002"/>
        </w:numPr>
        <w:pStyle w:val="Compact"/>
      </w:pPr>
      <w:r>
        <w:t xml:space="preserve">Full-service operations: retail, corporate, and digital banking.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Sri Lanka</w:t>
      </w:r>
    </w:p>
    <w:p>
      <w:pPr>
        <w:numPr>
          <w:ilvl w:val="1"/>
          <w:numId w:val="1003"/>
        </w:numPr>
        <w:pStyle w:val="Compact"/>
      </w:pPr>
      <w:r>
        <w:t xml:space="preserve">25+ branches focused on SME, personal banking, and remittance corridors.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Bangladesh</w:t>
      </w:r>
    </w:p>
    <w:p>
      <w:pPr>
        <w:numPr>
          <w:ilvl w:val="1"/>
          <w:numId w:val="1004"/>
        </w:numPr>
        <w:pStyle w:val="Compact"/>
      </w:pPr>
      <w:r>
        <w:t xml:space="preserve">Regional partner for mobile banking services and microfinance.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Bhutan</w:t>
      </w:r>
    </w:p>
    <w:p>
      <w:pPr>
        <w:numPr>
          <w:ilvl w:val="1"/>
          <w:numId w:val="1005"/>
        </w:numPr>
        <w:pStyle w:val="Compact"/>
      </w:pPr>
      <w:r>
        <w:t xml:space="preserve">Cross-border banking, digital onboarding, and NRI support.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Nepal</w:t>
      </w:r>
    </w:p>
    <w:p>
      <w:pPr>
        <w:numPr>
          <w:ilvl w:val="1"/>
          <w:numId w:val="1006"/>
        </w:numPr>
        <w:pStyle w:val="Compact"/>
      </w:pPr>
      <w:r>
        <w:t xml:space="preserve">Strategic presence via digital kiosks and remittance services.</w:t>
      </w:r>
    </w:p>
    <w:p>
      <w:r>
        <w:pict>
          <v:rect style="width:0;height:1.5pt" o:hralign="center" o:hrstd="t" o:hr="t"/>
        </w:pict>
      </w:r>
    </w:p>
    <w:bookmarkEnd w:id="21"/>
    <w:bookmarkStart w:id="27" w:name="services-offered"/>
    <w:p>
      <w:pPr>
        <w:pStyle w:val="Heading2"/>
      </w:pPr>
      <w:r>
        <w:t xml:space="preserve">Services Offered</w:t>
      </w:r>
    </w:p>
    <w:bookmarkStart w:id="22" w:name="retail-banking"/>
    <w:p>
      <w:pPr>
        <w:pStyle w:val="Heading3"/>
      </w:pPr>
      <w:r>
        <w:t xml:space="preserve">Retail Banking</w:t>
      </w:r>
    </w:p>
    <w:p>
      <w:pPr>
        <w:numPr>
          <w:ilvl w:val="0"/>
          <w:numId w:val="1007"/>
        </w:numPr>
        <w:pStyle w:val="Compact"/>
      </w:pPr>
      <w:r>
        <w:t xml:space="preserve">Savings &amp; Current Accounts</w:t>
      </w:r>
    </w:p>
    <w:p>
      <w:pPr>
        <w:numPr>
          <w:ilvl w:val="0"/>
          <w:numId w:val="1007"/>
        </w:numPr>
        <w:pStyle w:val="Compact"/>
      </w:pPr>
      <w:r>
        <w:t xml:space="preserve">Personal &amp; Home Loans</w:t>
      </w:r>
    </w:p>
    <w:p>
      <w:pPr>
        <w:numPr>
          <w:ilvl w:val="0"/>
          <w:numId w:val="1007"/>
        </w:numPr>
        <w:pStyle w:val="Compact"/>
      </w:pPr>
      <w:r>
        <w:t xml:space="preserve">Credit Cards</w:t>
      </w:r>
    </w:p>
    <w:p>
      <w:pPr>
        <w:numPr>
          <w:ilvl w:val="0"/>
          <w:numId w:val="1007"/>
        </w:numPr>
        <w:pStyle w:val="Compact"/>
      </w:pPr>
      <w:r>
        <w:t xml:space="preserve">Fixed Deposits</w:t>
      </w:r>
    </w:p>
    <w:bookmarkEnd w:id="22"/>
    <w:bookmarkStart w:id="23" w:name="corporate-banking"/>
    <w:p>
      <w:pPr>
        <w:pStyle w:val="Heading3"/>
      </w:pPr>
      <w:r>
        <w:t xml:space="preserve">Corporate Banking</w:t>
      </w:r>
    </w:p>
    <w:p>
      <w:pPr>
        <w:numPr>
          <w:ilvl w:val="0"/>
          <w:numId w:val="1008"/>
        </w:numPr>
        <w:pStyle w:val="Compact"/>
      </w:pPr>
      <w:r>
        <w:t xml:space="preserve">Business Loans</w:t>
      </w:r>
    </w:p>
    <w:p>
      <w:pPr>
        <w:numPr>
          <w:ilvl w:val="0"/>
          <w:numId w:val="1008"/>
        </w:numPr>
        <w:pStyle w:val="Compact"/>
      </w:pPr>
      <w:r>
        <w:t xml:space="preserve">Trade Finance</w:t>
      </w:r>
    </w:p>
    <w:p>
      <w:pPr>
        <w:numPr>
          <w:ilvl w:val="0"/>
          <w:numId w:val="1008"/>
        </w:numPr>
        <w:pStyle w:val="Compact"/>
      </w:pPr>
      <w:r>
        <w:t xml:space="preserve">Treasury Solutions</w:t>
      </w:r>
    </w:p>
    <w:bookmarkEnd w:id="23"/>
    <w:bookmarkStart w:id="24" w:name="digital-banking"/>
    <w:p>
      <w:pPr>
        <w:pStyle w:val="Heading3"/>
      </w:pPr>
      <w:r>
        <w:t xml:space="preserve">Digital Banking</w:t>
      </w:r>
    </w:p>
    <w:p>
      <w:pPr>
        <w:numPr>
          <w:ilvl w:val="0"/>
          <w:numId w:val="1009"/>
        </w:numPr>
        <w:pStyle w:val="Compact"/>
      </w:pPr>
      <w:r>
        <w:t xml:space="preserve">Mobile App (Android &amp; iOS)</w:t>
      </w:r>
    </w:p>
    <w:p>
      <w:pPr>
        <w:numPr>
          <w:ilvl w:val="0"/>
          <w:numId w:val="1009"/>
        </w:numPr>
        <w:pStyle w:val="Compact"/>
      </w:pPr>
      <w:r>
        <w:t xml:space="preserve">NetBanking &amp; UPI</w:t>
      </w:r>
    </w:p>
    <w:p>
      <w:pPr>
        <w:numPr>
          <w:ilvl w:val="0"/>
          <w:numId w:val="1009"/>
        </w:numPr>
        <w:pStyle w:val="Compact"/>
      </w:pPr>
      <w:r>
        <w:t xml:space="preserve">e-KYC</w:t>
      </w:r>
    </w:p>
    <w:p>
      <w:pPr>
        <w:numPr>
          <w:ilvl w:val="0"/>
          <w:numId w:val="1009"/>
        </w:numPr>
        <w:pStyle w:val="Compact"/>
      </w:pPr>
      <w:r>
        <w:t xml:space="preserve">AI Chatbot</w:t>
      </w:r>
    </w:p>
    <w:bookmarkEnd w:id="24"/>
    <w:bookmarkStart w:id="25" w:name="remittances"/>
    <w:p>
      <w:pPr>
        <w:pStyle w:val="Heading3"/>
      </w:pPr>
      <w:r>
        <w:t xml:space="preserve">Remittances</w:t>
      </w:r>
    </w:p>
    <w:p>
      <w:pPr>
        <w:numPr>
          <w:ilvl w:val="0"/>
          <w:numId w:val="1010"/>
        </w:numPr>
        <w:pStyle w:val="Compact"/>
      </w:pPr>
      <w:r>
        <w:t xml:space="preserve">Rapid cross-border payments (India, Sri Lanka, Nepal, Bhutan)</w:t>
      </w:r>
    </w:p>
    <w:bookmarkEnd w:id="25"/>
    <w:bookmarkStart w:id="26" w:name="wealth-management"/>
    <w:p>
      <w:pPr>
        <w:pStyle w:val="Heading3"/>
      </w:pPr>
      <w:r>
        <w:t xml:space="preserve">Wealth Management</w:t>
      </w:r>
    </w:p>
    <w:p>
      <w:pPr>
        <w:numPr>
          <w:ilvl w:val="0"/>
          <w:numId w:val="1011"/>
        </w:numPr>
        <w:pStyle w:val="Compact"/>
      </w:pPr>
      <w:r>
        <w:t xml:space="preserve">Investment Advisory</w:t>
      </w:r>
    </w:p>
    <w:p>
      <w:pPr>
        <w:numPr>
          <w:ilvl w:val="0"/>
          <w:numId w:val="1011"/>
        </w:numPr>
        <w:pStyle w:val="Compact"/>
      </w:pPr>
      <w:r>
        <w:t xml:space="preserve">Mutual Funds</w:t>
      </w:r>
    </w:p>
    <w:p>
      <w:pPr>
        <w:numPr>
          <w:ilvl w:val="0"/>
          <w:numId w:val="1011"/>
        </w:numPr>
        <w:pStyle w:val="Compact"/>
      </w:pPr>
      <w:r>
        <w:t xml:space="preserve">NRI Services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ranch-atm-network"/>
    <w:p>
      <w:pPr>
        <w:pStyle w:val="Heading2"/>
      </w:pPr>
      <w:r>
        <w:t xml:space="preserve">Branch &amp; ATM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ey-management"/>
    <w:p>
      <w:pPr>
        <w:pStyle w:val="Heading2"/>
      </w:pPr>
      <w:r>
        <w:t xml:space="preserve">Key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CEO:</w:t>
      </w:r>
      <w:r>
        <w:t xml:space="preserve"> </w:t>
      </w:r>
      <w:r>
        <w:t xml:space="preserve">Anjali Deshmukh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CFO:</w:t>
      </w:r>
      <w:r>
        <w:t xml:space="preserve"> </w:t>
      </w:r>
      <w:r>
        <w:t xml:space="preserve">Rajiv Senanayake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CTO:</w:t>
      </w:r>
      <w:r>
        <w:t xml:space="preserve"> </w:t>
      </w:r>
      <w:r>
        <w:t xml:space="preserve">Dipendra Khadka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Regional Director (South Asia):</w:t>
      </w:r>
      <w:r>
        <w:t xml:space="preserve"> </w:t>
      </w:r>
      <w:r>
        <w:t xml:space="preserve">Meera Liyanage</w:t>
      </w:r>
    </w:p>
    <w:p>
      <w:r>
        <w:pict>
          <v:rect style="width:0;height:1.5pt" o:hralign="center" o:hrstd="t" o:hr="t"/>
        </w:pict>
      </w:r>
    </w:p>
    <w:bookmarkEnd w:id="29"/>
    <w:bookmarkStart w:id="30" w:name="mobile-app-zx-bank-asia"/>
    <w:p>
      <w:pPr>
        <w:pStyle w:val="Heading2"/>
      </w:pPr>
      <w:r>
        <w:t xml:space="preserve">Mobile App: ZX Bank Asia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Available on:</w:t>
      </w:r>
      <w:r>
        <w:t xml:space="preserve"> </w:t>
      </w:r>
      <w:r>
        <w:t xml:space="preserve">Android, iOS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14"/>
        </w:numPr>
        <w:pStyle w:val="Compact"/>
      </w:pPr>
      <w:r>
        <w:t xml:space="preserve">Balance check &amp; fund transfer</w:t>
      </w:r>
    </w:p>
    <w:p>
      <w:pPr>
        <w:numPr>
          <w:ilvl w:val="1"/>
          <w:numId w:val="1014"/>
        </w:numPr>
        <w:pStyle w:val="Compact"/>
      </w:pPr>
      <w:r>
        <w:t xml:space="preserve">Bill payments &amp; loan tracking</w:t>
      </w:r>
    </w:p>
    <w:p>
      <w:pPr>
        <w:numPr>
          <w:ilvl w:val="1"/>
          <w:numId w:val="1014"/>
        </w:numPr>
        <w:pStyle w:val="Compact"/>
      </w:pPr>
      <w:r>
        <w:t xml:space="preserve">Biometric login &amp; QR scan pay</w:t>
      </w:r>
    </w:p>
    <w:p>
      <w:pPr>
        <w:numPr>
          <w:ilvl w:val="1"/>
          <w:numId w:val="1014"/>
        </w:numPr>
        <w:pStyle w:val="Compact"/>
      </w:pPr>
      <w:r>
        <w:t xml:space="preserve">AI-based financial assistant:</w:t>
      </w:r>
      <w:r>
        <w:t xml:space="preserve"> </w:t>
      </w:r>
      <w:r>
        <w:rPr>
          <w:bCs/>
          <w:b/>
        </w:rPr>
        <w:t xml:space="preserve">Zia</w:t>
      </w:r>
    </w:p>
    <w:p>
      <w:r>
        <w:pict>
          <v:rect style="width:0;height:1.5pt" o:hralign="center" o:hrstd="t" o:hr="t"/>
        </w:pict>
      </w:r>
    </w:p>
    <w:bookmarkEnd w:id="30"/>
    <w:bookmarkStart w:id="31" w:name="csr-esg-focus"/>
    <w:p>
      <w:pPr>
        <w:pStyle w:val="Heading2"/>
      </w:pPr>
      <w:r>
        <w:t xml:space="preserve">CSR &amp; ESG Focus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Green Finance Projects</w:t>
      </w:r>
    </w:p>
    <w:p>
      <w:pPr>
        <w:numPr>
          <w:ilvl w:val="1"/>
          <w:numId w:val="1016"/>
        </w:numPr>
        <w:pStyle w:val="Compact"/>
      </w:pPr>
      <w:r>
        <w:t xml:space="preserve">Partnering with Bhutan hydropower &amp; Nepal solar ventures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Financial Literacy Campaigns</w:t>
      </w:r>
    </w:p>
    <w:p>
      <w:pPr>
        <w:numPr>
          <w:ilvl w:val="1"/>
          <w:numId w:val="1017"/>
        </w:numPr>
        <w:pStyle w:val="Compact"/>
      </w:pPr>
      <w:r>
        <w:t xml:space="preserve">Grassroots programs in rural India &amp; Bangladesh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Women Empowerment Loans</w:t>
      </w:r>
    </w:p>
    <w:p>
      <w:pPr>
        <w:numPr>
          <w:ilvl w:val="1"/>
          <w:numId w:val="1018"/>
        </w:numPr>
        <w:pStyle w:val="Compact"/>
      </w:pPr>
      <w:r>
        <w:t xml:space="preserve">Micro-loans for women-led businesses across South Asia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ZX Bank</w:t>
      </w:r>
      <w:r>
        <w:t xml:space="preserve"> </w:t>
      </w:r>
      <w:r>
        <w:t xml:space="preserve">– Shaping tomorrow’s banking across South Asia 🌏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2025-07-30T07:52:38Z</dcterms:created>
  <dcterms:modified xsi:type="dcterms:W3CDTF">2025-07-30T07:52:38Z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