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Ghar Sajag Engineer Handover Guide</w:t>
      </w:r>
    </w:p>
    <w:p>
      <w:r>
        <w:t>Documentation 2.0 | Reference code 1.4.2 | 9 September 2026</w:t>
      </w:r>
    </w:p>
    <w:p>
      <w:r>
        <w:t>This is the starting point for a new engineer. The current task is to deliver the Base P0 family check-in workflow. Read the requirement and its failure cases before changing code; use the AI volume only when reviewing future extension boundaries.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880"/>
        <w:gridCol w:w="4896"/>
      </w:tblGrid>
      <w:tr>
        <w:trPr>
          <w:tblHeader/>
        </w:trPr>
        <w:tc>
          <w:tcPr>
            <w:tcW w:type="dxa" w:w="1584"/>
            <w:tcMar>
              <w:top w:w="100" w:type="dxa"/>
              <w:left w:w="100" w:type="dxa"/>
              <w:bottom w:w="100" w:type="dxa"/>
              <w:right w:w="100" w:type="dxa"/>
            </w:tcMar>
            <w:shd w:fill="E7EDF4"/>
          </w:tcPr>
          <w:p>
            <w:pPr>
              <w:spacing w:after="80" w:before="60"/>
            </w:pPr>
            <w:r>
              <w:rPr>
                <w:b/>
                <w:sz w:val="18"/>
              </w:rPr>
              <w:t>Order</w:t>
            </w:r>
          </w:p>
        </w:tc>
        <w:tc>
          <w:tcPr>
            <w:tcW w:type="dxa" w:w="2880"/>
            <w:tcMar>
              <w:top w:w="100" w:type="dxa"/>
              <w:left w:w="100" w:type="dxa"/>
              <w:bottom w:w="100" w:type="dxa"/>
              <w:right w:w="100" w:type="dxa"/>
            </w:tcMar>
            <w:shd w:fill="E7EDF4"/>
          </w:tcPr>
          <w:p>
            <w:pPr>
              <w:spacing w:after="80" w:before="60"/>
            </w:pPr>
            <w:r>
              <w:rPr>
                <w:b/>
                <w:sz w:val="18"/>
              </w:rPr>
              <w:t>Read</w:t>
            </w:r>
          </w:p>
        </w:tc>
        <w:tc>
          <w:tcPr>
            <w:tcW w:type="dxa" w:w="4896"/>
            <w:tcMar>
              <w:top w:w="100" w:type="dxa"/>
              <w:left w:w="100" w:type="dxa"/>
              <w:bottom w:w="100" w:type="dxa"/>
              <w:right w:w="100" w:type="dxa"/>
            </w:tcMar>
            <w:shd w:fill="E7EDF4"/>
          </w:tcPr>
          <w:p>
            <w:pPr>
              <w:spacing w:after="80" w:before="60"/>
            </w:pPr>
            <w:r>
              <w:rPr>
                <w:b/>
                <w:sz w:val="18"/>
              </w:rPr>
              <w:t>What you should understand afterwards</w:t>
            </w:r>
          </w:p>
        </w:tc>
      </w:tr>
      <w:tr>
        <w:tc>
          <w:tcPr>
            <w:tcW w:type="dxa" w:w="1584"/>
            <w:tcMar>
              <w:top w:w="100" w:type="dxa"/>
              <w:left w:w="100" w:type="dxa"/>
              <w:bottom w:w="100" w:type="dxa"/>
              <w:right w:w="100" w:type="dxa"/>
            </w:tcMar>
          </w:tcPr>
          <w:p>
            <w:pPr>
              <w:spacing w:after="80" w:before="60"/>
            </w:pPr>
            <w:r>
              <w:rPr>
                <w:b w:val="0"/>
                <w:sz w:val="18"/>
              </w:rPr>
              <w:t>1</w:t>
            </w:r>
          </w:p>
        </w:tc>
        <w:tc>
          <w:tcPr>
            <w:tcW w:type="dxa" w:w="2880"/>
            <w:tcMar>
              <w:top w:w="100" w:type="dxa"/>
              <w:left w:w="100" w:type="dxa"/>
              <w:bottom w:w="100" w:type="dxa"/>
              <w:right w:w="100" w:type="dxa"/>
            </w:tcMar>
          </w:tcPr>
          <w:p>
            <w:pPr>
              <w:spacing w:after="80" w:before="60"/>
            </w:pPr>
            <w:r>
              <w:rPr>
                <w:b w:val="0"/>
                <w:sz w:val="18"/>
              </w:rPr>
              <w:t>START_HERE.md and progress.txt</w:t>
            </w:r>
          </w:p>
        </w:tc>
        <w:tc>
          <w:tcPr>
            <w:tcW w:type="dxa" w:w="4896"/>
            <w:tcMar>
              <w:top w:w="100" w:type="dxa"/>
              <w:left w:w="100" w:type="dxa"/>
              <w:bottom w:w="100" w:type="dxa"/>
              <w:right w:w="100" w:type="dxa"/>
            </w:tcMar>
          </w:tcPr>
          <w:p>
            <w:pPr>
              <w:spacing w:after="80" w:before="60"/>
            </w:pPr>
            <w:r>
              <w:rPr>
                <w:b w:val="0"/>
                <w:sz w:val="18"/>
              </w:rPr>
              <w:t>Immediate scope, release identity and what is not complete.</w:t>
            </w:r>
          </w:p>
        </w:tc>
      </w:tr>
      <w:tr>
        <w:tc>
          <w:tcPr>
            <w:tcW w:type="dxa" w:w="1584"/>
            <w:tcMar>
              <w:top w:w="100" w:type="dxa"/>
              <w:left w:w="100" w:type="dxa"/>
              <w:bottom w:w="100" w:type="dxa"/>
              <w:right w:w="100" w:type="dxa"/>
            </w:tcMar>
          </w:tcPr>
          <w:p>
            <w:pPr>
              <w:spacing w:after="80" w:before="60"/>
            </w:pPr>
            <w:r>
              <w:rPr>
                <w:b w:val="0"/>
                <w:sz w:val="18"/>
              </w:rPr>
              <w:t>2</w:t>
            </w:r>
          </w:p>
        </w:tc>
        <w:tc>
          <w:tcPr>
            <w:tcW w:type="dxa" w:w="2880"/>
            <w:tcMar>
              <w:top w:w="100" w:type="dxa"/>
              <w:left w:w="100" w:type="dxa"/>
              <w:bottom w:w="100" w:type="dxa"/>
              <w:right w:w="100" w:type="dxa"/>
            </w:tcMar>
          </w:tcPr>
          <w:p>
            <w:pPr>
              <w:spacing w:after="80" w:before="60"/>
            </w:pPr>
            <w:r>
              <w:rPr>
                <w:b w:val="0"/>
                <w:sz w:val="18"/>
              </w:rPr>
              <w:t>Software Requirements Document SRD v2.0</w:t>
            </w:r>
          </w:p>
        </w:tc>
        <w:tc>
          <w:tcPr>
            <w:tcW w:type="dxa" w:w="4896"/>
            <w:tcMar>
              <w:top w:w="100" w:type="dxa"/>
              <w:left w:w="100" w:type="dxa"/>
              <w:bottom w:w="100" w:type="dxa"/>
              <w:right w:w="100" w:type="dxa"/>
            </w:tcMar>
          </w:tcPr>
          <w:p>
            <w:pPr>
              <w:spacing w:after="80" w:before="60"/>
            </w:pPr>
            <w:r>
              <w:rPr>
                <w:b w:val="0"/>
                <w:sz w:val="18"/>
              </w:rPr>
              <w:t>Observed behaviour and acceptance obligations F01–F14/E01–E10.</w:t>
            </w:r>
          </w:p>
        </w:tc>
      </w:tr>
      <w:tr>
        <w:tc>
          <w:tcPr>
            <w:tcW w:type="dxa" w:w="1584"/>
            <w:tcMar>
              <w:top w:w="100" w:type="dxa"/>
              <w:left w:w="100" w:type="dxa"/>
              <w:bottom w:w="100" w:type="dxa"/>
              <w:right w:w="100" w:type="dxa"/>
            </w:tcMar>
          </w:tcPr>
          <w:p>
            <w:pPr>
              <w:spacing w:after="80" w:before="60"/>
            </w:pPr>
            <w:r>
              <w:rPr>
                <w:b w:val="0"/>
                <w:sz w:val="18"/>
              </w:rPr>
              <w:t>3</w:t>
            </w:r>
          </w:p>
        </w:tc>
        <w:tc>
          <w:tcPr>
            <w:tcW w:type="dxa" w:w="2880"/>
            <w:tcMar>
              <w:top w:w="100" w:type="dxa"/>
              <w:left w:w="100" w:type="dxa"/>
              <w:bottom w:w="100" w:type="dxa"/>
              <w:right w:w="100" w:type="dxa"/>
            </w:tcMar>
          </w:tcPr>
          <w:p>
            <w:pPr>
              <w:spacing w:after="80" w:before="60"/>
            </w:pPr>
            <w:r>
              <w:rPr>
                <w:b w:val="0"/>
                <w:sz w:val="18"/>
              </w:rPr>
              <w:t>Deployment and Routine Logic v2.0</w:t>
            </w:r>
          </w:p>
        </w:tc>
        <w:tc>
          <w:tcPr>
            <w:tcW w:type="dxa" w:w="4896"/>
            <w:tcMar>
              <w:top w:w="100" w:type="dxa"/>
              <w:left w:w="100" w:type="dxa"/>
              <w:bottom w:w="100" w:type="dxa"/>
              <w:right w:w="100" w:type="dxa"/>
            </w:tcMar>
          </w:tcPr>
          <w:p>
            <w:pPr>
              <w:spacing w:after="80" w:before="60"/>
            </w:pPr>
            <w:r>
              <w:rPr>
                <w:b w:val="0"/>
                <w:sz w:val="18"/>
              </w:rPr>
              <w:t>Real household context, sensor limitations and practical installation checks.</w:t>
            </w:r>
          </w:p>
        </w:tc>
      </w:tr>
      <w:tr>
        <w:tc>
          <w:tcPr>
            <w:tcW w:type="dxa" w:w="1584"/>
            <w:tcMar>
              <w:top w:w="100" w:type="dxa"/>
              <w:left w:w="100" w:type="dxa"/>
              <w:bottom w:w="100" w:type="dxa"/>
              <w:right w:w="100" w:type="dxa"/>
            </w:tcMar>
          </w:tcPr>
          <w:p>
            <w:pPr>
              <w:spacing w:after="80" w:before="60"/>
            </w:pPr>
            <w:r>
              <w:rPr>
                <w:b w:val="0"/>
                <w:sz w:val="18"/>
              </w:rPr>
              <w:t>4</w:t>
            </w:r>
          </w:p>
        </w:tc>
        <w:tc>
          <w:tcPr>
            <w:tcW w:type="dxa" w:w="2880"/>
            <w:tcMar>
              <w:top w:w="100" w:type="dxa"/>
              <w:left w:w="100" w:type="dxa"/>
              <w:bottom w:w="100" w:type="dxa"/>
              <w:right w:w="100" w:type="dxa"/>
            </w:tcMar>
          </w:tcPr>
          <w:p>
            <w:pPr>
              <w:spacing w:after="80" w:before="60"/>
            </w:pPr>
            <w:r>
              <w:rPr>
                <w:b w:val="0"/>
                <w:sz w:val="18"/>
              </w:rPr>
              <w:t>System Architecture and Module UML v2.0</w:t>
            </w:r>
          </w:p>
        </w:tc>
        <w:tc>
          <w:tcPr>
            <w:tcW w:type="dxa" w:w="4896"/>
            <w:tcMar>
              <w:top w:w="100" w:type="dxa"/>
              <w:left w:w="100" w:type="dxa"/>
              <w:bottom w:w="100" w:type="dxa"/>
              <w:right w:w="100" w:type="dxa"/>
            </w:tcMar>
          </w:tcPr>
          <w:p>
            <w:pPr>
              <w:spacing w:after="80" w:before="60"/>
            </w:pPr>
            <w:r>
              <w:rPr>
                <w:b w:val="0"/>
                <w:sz w:val="18"/>
              </w:rPr>
              <w:t>State owners, interface contracts and dependency direction.</w:t>
            </w:r>
          </w:p>
        </w:tc>
      </w:tr>
      <w:tr>
        <w:tc>
          <w:tcPr>
            <w:tcW w:type="dxa" w:w="1584"/>
            <w:tcMar>
              <w:top w:w="100" w:type="dxa"/>
              <w:left w:w="100" w:type="dxa"/>
              <w:bottom w:w="100" w:type="dxa"/>
              <w:right w:w="100" w:type="dxa"/>
            </w:tcMar>
          </w:tcPr>
          <w:p>
            <w:pPr>
              <w:spacing w:after="80" w:before="60"/>
            </w:pPr>
            <w:r>
              <w:rPr>
                <w:b w:val="0"/>
                <w:sz w:val="18"/>
              </w:rPr>
              <w:t>5</w:t>
            </w:r>
          </w:p>
        </w:tc>
        <w:tc>
          <w:tcPr>
            <w:tcW w:type="dxa" w:w="2880"/>
            <w:tcMar>
              <w:top w:w="100" w:type="dxa"/>
              <w:left w:w="100" w:type="dxa"/>
              <w:bottom w:w="100" w:type="dxa"/>
              <w:right w:w="100" w:type="dxa"/>
            </w:tcMar>
          </w:tcPr>
          <w:p>
            <w:pPr>
              <w:spacing w:after="80" w:before="60"/>
            </w:pPr>
            <w:r>
              <w:rPr>
                <w:b w:val="0"/>
                <w:sz w:val="18"/>
              </w:rPr>
              <w:t>P0 Requirements and Software Design v2.0</w:t>
            </w:r>
          </w:p>
        </w:tc>
        <w:tc>
          <w:tcPr>
            <w:tcW w:type="dxa" w:w="4896"/>
            <w:tcMar>
              <w:top w:w="100" w:type="dxa"/>
              <w:left w:w="100" w:type="dxa"/>
              <w:bottom w:w="100" w:type="dxa"/>
              <w:right w:w="100" w:type="dxa"/>
            </w:tcMar>
          </w:tcPr>
          <w:p>
            <w:pPr>
              <w:spacing w:after="80" w:before="60"/>
            </w:pPr>
            <w:r>
              <w:rPr>
                <w:b w:val="0"/>
                <w:sz w:val="18"/>
              </w:rPr>
              <w:t>Detailed feature execution, failure handling and release gates.</w:t>
            </w:r>
          </w:p>
        </w:tc>
      </w:tr>
      <w:tr>
        <w:tc>
          <w:tcPr>
            <w:tcW w:type="dxa" w:w="1584"/>
            <w:tcMar>
              <w:top w:w="100" w:type="dxa"/>
              <w:left w:w="100" w:type="dxa"/>
              <w:bottom w:w="100" w:type="dxa"/>
              <w:right w:w="100" w:type="dxa"/>
            </w:tcMar>
          </w:tcPr>
          <w:p>
            <w:pPr>
              <w:spacing w:after="80" w:before="60"/>
            </w:pPr>
            <w:r>
              <w:rPr>
                <w:b w:val="0"/>
                <w:sz w:val="18"/>
              </w:rPr>
              <w:t>6</w:t>
            </w:r>
          </w:p>
        </w:tc>
        <w:tc>
          <w:tcPr>
            <w:tcW w:type="dxa" w:w="2880"/>
            <w:tcMar>
              <w:top w:w="100" w:type="dxa"/>
              <w:left w:w="100" w:type="dxa"/>
              <w:bottom w:w="100" w:type="dxa"/>
              <w:right w:w="100" w:type="dxa"/>
            </w:tcMar>
          </w:tcPr>
          <w:p>
            <w:pPr>
              <w:spacing w:after="80" w:before="60"/>
            </w:pPr>
            <w:r>
              <w:rPr>
                <w:b w:val="0"/>
                <w:sz w:val="18"/>
              </w:rPr>
              <w:t>Requirement Sequence Diagrams v2.0</w:t>
            </w:r>
          </w:p>
        </w:tc>
        <w:tc>
          <w:tcPr>
            <w:tcW w:type="dxa" w:w="4896"/>
            <w:tcMar>
              <w:top w:w="100" w:type="dxa"/>
              <w:left w:w="100" w:type="dxa"/>
              <w:bottom w:w="100" w:type="dxa"/>
              <w:right w:w="100" w:type="dxa"/>
            </w:tcMar>
          </w:tcPr>
          <w:p>
            <w:pPr>
              <w:spacing w:after="80" w:before="60"/>
            </w:pPr>
            <w:r>
              <w:rPr>
                <w:b w:val="0"/>
                <w:sz w:val="18"/>
              </w:rPr>
              <w:t>Ordering, participants and recovery scenarios. Open standalone PNG/UML alongside it.</w:t>
            </w:r>
          </w:p>
        </w:tc>
      </w:tr>
      <w:tr>
        <w:tc>
          <w:tcPr>
            <w:tcW w:type="dxa" w:w="1584"/>
            <w:tcMar>
              <w:top w:w="100" w:type="dxa"/>
              <w:left w:w="100" w:type="dxa"/>
              <w:bottom w:w="100" w:type="dxa"/>
              <w:right w:w="100" w:type="dxa"/>
            </w:tcMar>
          </w:tcPr>
          <w:p>
            <w:pPr>
              <w:spacing w:after="80" w:before="60"/>
            </w:pPr>
            <w:r>
              <w:rPr>
                <w:b w:val="0"/>
                <w:sz w:val="18"/>
              </w:rPr>
              <w:t>7</w:t>
            </w:r>
          </w:p>
        </w:tc>
        <w:tc>
          <w:tcPr>
            <w:tcW w:type="dxa" w:w="2880"/>
            <w:tcMar>
              <w:top w:w="100" w:type="dxa"/>
              <w:left w:w="100" w:type="dxa"/>
              <w:bottom w:w="100" w:type="dxa"/>
              <w:right w:w="100" w:type="dxa"/>
            </w:tcMar>
          </w:tcPr>
          <w:p>
            <w:pPr>
              <w:spacing w:after="80" w:before="60"/>
            </w:pPr>
            <w:r>
              <w:rPr>
                <w:b w:val="0"/>
                <w:sz w:val="18"/>
              </w:rPr>
              <w:t>Low Level Design v2.0 and annotated code</w:t>
            </w:r>
          </w:p>
        </w:tc>
        <w:tc>
          <w:tcPr>
            <w:tcW w:type="dxa" w:w="4896"/>
            <w:tcMar>
              <w:top w:w="100" w:type="dxa"/>
              <w:left w:w="100" w:type="dxa"/>
              <w:bottom w:w="100" w:type="dxa"/>
              <w:right w:w="100" w:type="dxa"/>
            </w:tcMar>
          </w:tcPr>
          <w:p>
            <w:pPr>
              <w:spacing w:after="80" w:before="60"/>
            </w:pPr>
            <w:r>
              <w:rPr>
                <w:b w:val="0"/>
                <w:sz w:val="18"/>
              </w:rPr>
              <w:t>Entry points, state, error results, lifetime and implementation gaps.</w:t>
            </w:r>
          </w:p>
        </w:tc>
      </w:tr>
      <w:tr>
        <w:tc>
          <w:tcPr>
            <w:tcW w:type="dxa" w:w="1584"/>
            <w:tcMar>
              <w:top w:w="100" w:type="dxa"/>
              <w:left w:w="100" w:type="dxa"/>
              <w:bottom w:w="100" w:type="dxa"/>
              <w:right w:w="100" w:type="dxa"/>
            </w:tcMar>
          </w:tcPr>
          <w:p>
            <w:pPr>
              <w:spacing w:after="80" w:before="60"/>
            </w:pPr>
            <w:r>
              <w:rPr>
                <w:b w:val="0"/>
                <w:sz w:val="18"/>
              </w:rPr>
              <w:t>8</w:t>
            </w:r>
          </w:p>
        </w:tc>
        <w:tc>
          <w:tcPr>
            <w:tcW w:type="dxa" w:w="2880"/>
            <w:tcMar>
              <w:top w:w="100" w:type="dxa"/>
              <w:left w:w="100" w:type="dxa"/>
              <w:bottom w:w="100" w:type="dxa"/>
              <w:right w:w="100" w:type="dxa"/>
            </w:tcMar>
          </w:tcPr>
          <w:p>
            <w:pPr>
              <w:spacing w:after="80" w:before="60"/>
            </w:pPr>
            <w:r>
              <w:rPr>
                <w:b w:val="0"/>
                <w:sz w:val="18"/>
              </w:rPr>
              <w:t>Progress and Traceability v2.0 workbook</w:t>
            </w:r>
          </w:p>
        </w:tc>
        <w:tc>
          <w:tcPr>
            <w:tcW w:type="dxa" w:w="4896"/>
            <w:tcMar>
              <w:top w:w="100" w:type="dxa"/>
              <w:left w:w="100" w:type="dxa"/>
              <w:bottom w:w="100" w:type="dxa"/>
              <w:right w:w="100" w:type="dxa"/>
            </w:tcMar>
          </w:tcPr>
          <w:p>
            <w:pPr>
              <w:spacing w:after="80" w:before="60"/>
            </w:pPr>
            <w:r>
              <w:rPr>
                <w:b w:val="0"/>
                <w:sz w:val="18"/>
              </w:rPr>
              <w:t>Requirement → module → source → test location and pending work.</w:t>
            </w:r>
          </w:p>
        </w:tc>
      </w:tr>
      <w:tr>
        <w:tc>
          <w:tcPr>
            <w:tcW w:type="dxa" w:w="1584"/>
            <w:tcMar>
              <w:top w:w="100" w:type="dxa"/>
              <w:left w:w="100" w:type="dxa"/>
              <w:bottom w:w="100" w:type="dxa"/>
              <w:right w:w="100" w:type="dxa"/>
            </w:tcMar>
          </w:tcPr>
          <w:p>
            <w:pPr>
              <w:spacing w:after="80" w:before="60"/>
            </w:pPr>
            <w:r>
              <w:rPr>
                <w:b w:val="0"/>
                <w:sz w:val="18"/>
              </w:rPr>
              <w:t>9</w:t>
            </w:r>
          </w:p>
        </w:tc>
        <w:tc>
          <w:tcPr>
            <w:tcW w:type="dxa" w:w="2880"/>
            <w:tcMar>
              <w:top w:w="100" w:type="dxa"/>
              <w:left w:w="100" w:type="dxa"/>
              <w:bottom w:w="100" w:type="dxa"/>
              <w:right w:w="100" w:type="dxa"/>
            </w:tcMar>
          </w:tcPr>
          <w:p>
            <w:pPr>
              <w:spacing w:after="80" w:before="60"/>
            </w:pPr>
            <w:r>
              <w:rPr>
                <w:b w:val="0"/>
                <w:sz w:val="18"/>
              </w:rPr>
              <w:t>AI Interaction Design v2.0</w:t>
            </w:r>
          </w:p>
        </w:tc>
        <w:tc>
          <w:tcPr>
            <w:tcW w:type="dxa" w:w="4896"/>
            <w:tcMar>
              <w:top w:w="100" w:type="dxa"/>
              <w:left w:w="100" w:type="dxa"/>
              <w:bottom w:w="100" w:type="dxa"/>
              <w:right w:w="100" w:type="dxa"/>
            </w:tcMar>
          </w:tcPr>
          <w:p>
            <w:pPr>
              <w:spacing w:after="80" w:before="60"/>
            </w:pPr>
            <w:r>
              <w:rPr>
                <w:b w:val="0"/>
                <w:sz w:val="18"/>
              </w:rPr>
              <w:t>Implemented session seam and future consent/audio/provider architecture.</w:t>
            </w:r>
          </w:p>
        </w:tc>
      </w:tr>
      <w:tr>
        <w:tc>
          <w:tcPr>
            <w:tcW w:type="dxa" w:w="1584"/>
            <w:tcMar>
              <w:top w:w="100" w:type="dxa"/>
              <w:left w:w="100" w:type="dxa"/>
              <w:bottom w:w="100" w:type="dxa"/>
              <w:right w:w="100" w:type="dxa"/>
            </w:tcMar>
          </w:tcPr>
          <w:p>
            <w:pPr>
              <w:spacing w:after="80" w:before="60"/>
            </w:pPr>
            <w:r>
              <w:rPr>
                <w:b w:val="0"/>
                <w:sz w:val="18"/>
              </w:rPr>
              <w:t>Optional</w:t>
            </w:r>
          </w:p>
        </w:tc>
        <w:tc>
          <w:tcPr>
            <w:tcW w:type="dxa" w:w="2880"/>
            <w:tcMar>
              <w:top w:w="100" w:type="dxa"/>
              <w:left w:w="100" w:type="dxa"/>
              <w:bottom w:w="100" w:type="dxa"/>
              <w:right w:w="100" w:type="dxa"/>
            </w:tcMar>
          </w:tcPr>
          <w:p>
            <w:pPr>
              <w:spacing w:after="80" w:before="60"/>
            </w:pPr>
            <w:r>
              <w:rPr>
                <w:b w:val="0"/>
                <w:sz w:val="18"/>
              </w:rPr>
              <w:t>Startup Blueprint v2.0 and hardware BOM v2.0</w:t>
            </w:r>
          </w:p>
        </w:tc>
        <w:tc>
          <w:tcPr>
            <w:tcW w:type="dxa" w:w="4896"/>
            <w:tcMar>
              <w:top w:w="100" w:type="dxa"/>
              <w:left w:w="100" w:type="dxa"/>
              <w:bottom w:w="100" w:type="dxa"/>
              <w:right w:w="100" w:type="dxa"/>
            </w:tcMar>
          </w:tcPr>
          <w:p>
            <w:pPr>
              <w:spacing w:after="80" w:before="60"/>
            </w:pPr>
            <w:r>
              <w:rPr>
                <w:b w:val="0"/>
                <w:sz w:val="18"/>
              </w:rPr>
              <w:t>Product decisions and purchasing/qualification assumptions.</w:t>
            </w:r>
          </w:p>
        </w:tc>
      </w:tr>
    </w:tbl>
    <w:p>
      <w:pPr>
        <w:pStyle w:val="Heading1"/>
      </w:pPr>
      <w:r>
        <w:rPr>
          <w:color w:val="000000"/>
        </w:rPr>
        <w:t>First reproducible development session</w:t>
      </w:r>
    </w:p>
    <w:p>
      <w:r>
        <w:t>Use the Ubuntu/Linux terminal that has make, g++, python3 and node available. Git Bash alone is not that toolchain. Change into code/ghar_sajag_reference_v1_4_2 in the extracted package. Run make verify PRODUCT=base. The Makefile invokes the contract check, C++ tests, simulator/matrix, Python tests, JavaScript tests and product-profile test. No ESP32 is flashed by this command.</w:t>
      </w:r>
    </w:p>
    <w:p>
      <w:r>
        <w:t>Run make verify-products when changing shared architecture so both Base and optional AI lifecycle remain compatible. Run make verify-trace to exercise development logs. The sanitizer target is a host C++ diagnostic profile; it neither validates RF nor guarantees ESP32 crash capture. Store a new command transcript with each change and keep the prior evidence as historical.</w:t>
      </w:r>
    </w:p>
    <w:p>
      <w:pPr>
        <w:pStyle w:val="Heading1"/>
      </w:pPr>
      <w:r>
        <w:rPr>
          <w:color w:val="000000"/>
        </w:rPr>
        <w:t>Trace one real requirement before editing</w:t>
      </w:r>
    </w:p>
    <w:p>
      <w:r>
        <w:rPr>
          <w:b/>
        </w:rPr>
        <w:t xml:space="preserve">Meaning. </w:t>
      </w:r>
      <w:r>
        <w:t>Call family means the resident is requesting human contact. It is separate from missing routine evidence, carries higher routing importance and must not wait for the next morning deadline.</w:t>
      </w:r>
    </w:p>
    <w:p>
      <w:r>
        <w:rPr>
          <w:b/>
        </w:rPr>
        <w:t xml:space="preserve">Worked example. </w:t>
      </w:r>
      <w:r>
        <w:t>At 15:00, father presses Call family while the internet is unavailable. The local response should explain that the request is saved and remote contact is unavailable, rather than implying someone is on the way.</w:t>
      </w:r>
    </w:p>
    <w:p>
      <w:r>
        <w:rPr>
          <w:b/>
        </w:rPr>
        <w:t xml:space="preserve">Execution and ownership. </w:t>
      </w:r>
      <w:r>
        <w:t>H06 creates a CallFamily business event. H02/H08 retain and replay it. Backend composition invokes B03, creates a stable incident through B04 and schedules B05 jobs. A04 shows the request and allows an authorised caregiver to act.</w:t>
      </w:r>
    </w:p>
    <w:p>
      <w:r>
        <w:rPr>
          <w:b/>
        </w:rPr>
        <w:t xml:space="preserve">Reference implementation boundary. </w:t>
      </w:r>
      <w:r>
        <w:t>The backend composition handles CALL_FAMILY and schedules jobs. End-to-end button-to-backend mapping and real provider delivery are pending. This is not automatic emergency dispatch or a guaranteed emergency response service.</w:t>
      </w:r>
    </w:p>
    <w:p>
      <w:r>
        <w:rPr>
          <w:b/>
        </w:rPr>
        <w:t xml:space="preserve">Acceptance experiment. </w:t>
      </w:r>
      <w:r>
        <w:t>Send the same request twice and verify one incident and one job per recipient/stage. Exercise WAN loss, reboot, provider rejection and a caregiver acknowledgement that cancels pending backup routing.</w:t>
      </w:r>
    </w:p>
    <w:p>
      <w:r>
        <w:rPr>
          <w:b/>
        </w:rPr>
        <w:t xml:space="preserve">Participants and traceability. </w:t>
      </w:r>
      <w:r>
        <w:t>H06, H02, H05, B04, B05, A04. Source paths and test references are in the traceability register. See diagrams/sequences/png and diagrams/sequences/uml for the corresponding F07 flow.</w:t>
      </w:r>
    </w:p>
    <w:p>
      <w:r>
        <w:t>For F07, read firmware/hub/components/ui/resident_ui.cpp, firmware/hub/components/storage/journal.cpp, firmware/hub/components/cloud/cloud_sync.cpp and backend/ghar_sajag/service.py. Then inspect incidents.py and notifications.py. The existing backend tests can call the service composition directly. The actual hardware-to-cloud adapter between these components is still pending; do not mistake source adjacency for an integrated link.</w:t>
      </w:r>
    </w:p>
    <w:p>
      <w:pPr>
        <w:pStyle w:val="Heading1"/>
      </w:pPr>
      <w:r>
        <w:rPr>
          <w:color w:val="000000"/>
        </w:rPr>
        <w:t>Requirement comments and review practice</w:t>
      </w:r>
    </w:p>
    <w:p>
      <w:r>
        <w:t>Source headers identify canonical module IDs and related SRD requirements. Selected public functions and critical branches explain intent, side effects and known limits. Requirements are many-to-many: F07 spans several modules, and H02 supports multiple features. Adding a requirement ID to a comment does not complete a requirement. Update the traceability row, add the required assertion, and record its evidence.</w:t>
      </w:r>
    </w:p>
    <w:p>
      <w:r>
        <w:t>Preserve existing requirement IDs when elaborating behaviour. If the meaning changes, record a decision and revise acceptance criteria; add a new subrequirement or ID when needed. Keep target UML synchronized with ownership contracts, and keep implementation-status notes synchronized with actual code/tests. The preservation report makes the baseline content visible without making historical assumptions current.</w:t>
      </w:r>
    </w:p>
    <w:p>
      <w:pPr>
        <w:pStyle w:val="Heading1"/>
      </w:pPr>
      <w:r>
        <w:rPr>
          <w:color w:val="000000"/>
        </w:rPr>
        <w:t>Base P0 development order</w:t>
      </w:r>
    </w:p>
    <w:p>
      <w:r>
        <w:rPr>
          <w:b/>
        </w:rPr>
        <w:t xml:space="preserve">First milestone. </w:t>
      </w:r>
      <w:r>
        <w:t>Simulate Call family through hub-side event creation, backend ingestion, incident scheduling and caregiver acknowledgement. Add explicit adapters where the current reference only has separate unit calls. Prove duplicate, offline and restart cases.</w:t>
      </w:r>
    </w:p>
    <w:p>
      <w:r>
        <w:rPr>
          <w:b/>
        </w:rPr>
        <w:t xml:space="preserve">Second milestone. </w:t>
      </w:r>
      <w:r>
        <w:t>Close G01–G06: real retention, duplicate effects, coverage intervals, reclamation, retry refill and the prompt/grace state machine. These affect the reliability of absence alerts.</w:t>
      </w:r>
    </w:p>
    <w:p>
      <w:r>
        <w:rPr>
          <w:b/>
        </w:rPr>
        <w:t xml:space="preserve">Third milestone. </w:t>
      </w:r>
      <w:r>
        <w:t>Bind one C3 node and the DevKit hub to GPIO, secure radio, flash and the single-owner task model. Qualify power and time behaviour before expanding to four nodes.</w:t>
      </w:r>
    </w:p>
    <w:p>
      <w:r>
        <w:rPr>
          <w:b/>
        </w:rPr>
        <w:t xml:space="preserve">Fourth milestone. </w:t>
      </w:r>
      <w:r>
        <w:t>Integrate authenticated backend persistence, delivery workers and caregiver UI. Close action permissions, summary scope and notification retries; rehearse service outages.</w:t>
      </w:r>
    </w:p>
    <w:p>
      <w:r>
        <w:rPr>
          <w:b/>
        </w:rPr>
        <w:t xml:space="preserve">Pilot gate. </w:t>
      </w:r>
      <w:r>
        <w:t>Collect supervised shadow evidence and comprehension feedback. Keep AI, temperature inference, fall claims and professional response outside Base P0 acceptance.</w:t>
      </w:r>
    </w:p>
    <w:p>
      <w:pPr>
        <w:pStyle w:val="Heading1"/>
      </w:pPr>
      <w:r>
        <w:rPr>
          <w:color w:val="000000"/>
        </w:rPr>
        <w:t>Debugging a broken flow</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880"/>
        <w:gridCol w:w="4896"/>
      </w:tblGrid>
      <w:tr>
        <w:trPr>
          <w:tblHeader/>
        </w:trPr>
        <w:tc>
          <w:tcPr>
            <w:tcW w:type="dxa" w:w="1584"/>
            <w:tcMar>
              <w:top w:w="100" w:type="dxa"/>
              <w:left w:w="100" w:type="dxa"/>
              <w:bottom w:w="100" w:type="dxa"/>
              <w:right w:w="100" w:type="dxa"/>
            </w:tcMar>
            <w:shd w:fill="E7EDF4"/>
          </w:tcPr>
          <w:p>
            <w:pPr>
              <w:spacing w:after="80" w:before="60"/>
            </w:pPr>
            <w:r>
              <w:rPr>
                <w:b/>
                <w:sz w:val="18"/>
              </w:rPr>
              <w:t>Symptom</w:t>
            </w:r>
          </w:p>
        </w:tc>
        <w:tc>
          <w:tcPr>
            <w:tcW w:type="dxa" w:w="2880"/>
            <w:tcMar>
              <w:top w:w="100" w:type="dxa"/>
              <w:left w:w="100" w:type="dxa"/>
              <w:bottom w:w="100" w:type="dxa"/>
              <w:right w:w="100" w:type="dxa"/>
            </w:tcMar>
            <w:shd w:fill="E7EDF4"/>
          </w:tcPr>
          <w:p>
            <w:pPr>
              <w:spacing w:after="80" w:before="60"/>
            </w:pPr>
            <w:r>
              <w:rPr>
                <w:b/>
                <w:sz w:val="18"/>
              </w:rPr>
              <w:t>Start here</w:t>
            </w:r>
          </w:p>
        </w:tc>
        <w:tc>
          <w:tcPr>
            <w:tcW w:type="dxa" w:w="4896"/>
            <w:tcMar>
              <w:top w:w="100" w:type="dxa"/>
              <w:left w:w="100" w:type="dxa"/>
              <w:bottom w:w="100" w:type="dxa"/>
              <w:right w:w="100" w:type="dxa"/>
            </w:tcMar>
            <w:shd w:fill="E7EDF4"/>
          </w:tcPr>
          <w:p>
            <w:pPr>
              <w:spacing w:after="80" w:before="60"/>
            </w:pPr>
            <w:r>
              <w:rPr>
                <w:b/>
                <w:sz w:val="18"/>
              </w:rPr>
              <w:t>Evidence to collect</w:t>
            </w:r>
          </w:p>
        </w:tc>
      </w:tr>
      <w:tr>
        <w:tc>
          <w:tcPr>
            <w:tcW w:type="dxa" w:w="1584"/>
            <w:tcMar>
              <w:top w:w="100" w:type="dxa"/>
              <w:left w:w="100" w:type="dxa"/>
              <w:bottom w:w="100" w:type="dxa"/>
              <w:right w:w="100" w:type="dxa"/>
            </w:tcMar>
          </w:tcPr>
          <w:p>
            <w:pPr>
              <w:spacing w:after="80" w:before="60"/>
            </w:pPr>
            <w:r>
              <w:rPr>
                <w:b w:val="0"/>
                <w:sz w:val="18"/>
              </w:rPr>
              <w:t>No sensor event</w:t>
            </w:r>
          </w:p>
        </w:tc>
        <w:tc>
          <w:tcPr>
            <w:tcW w:type="dxa" w:w="2880"/>
            <w:tcMar>
              <w:top w:w="100" w:type="dxa"/>
              <w:left w:w="100" w:type="dxa"/>
              <w:bottom w:w="100" w:type="dxa"/>
              <w:right w:w="100" w:type="dxa"/>
            </w:tcMar>
          </w:tcPr>
          <w:p>
            <w:pPr>
              <w:spacing w:after="80" w:before="60"/>
            </w:pPr>
            <w:r>
              <w:rPr>
                <w:b w:val="0"/>
                <w:sz w:val="18"/>
              </w:rPr>
              <w:t>N01 and physical input adapter</w:t>
            </w:r>
          </w:p>
        </w:tc>
        <w:tc>
          <w:tcPr>
            <w:tcW w:type="dxa" w:w="4896"/>
            <w:tcMar>
              <w:top w:w="100" w:type="dxa"/>
              <w:left w:w="100" w:type="dxa"/>
              <w:bottom w:w="100" w:type="dxa"/>
              <w:right w:w="100" w:type="dxa"/>
            </w:tcMar>
          </w:tcPr>
          <w:p>
            <w:pPr>
              <w:spacing w:after="80" w:before="60"/>
            </w:pPr>
            <w:r>
              <w:rPr>
                <w:b w:val="0"/>
                <w:sz w:val="18"/>
              </w:rPr>
              <w:t>Raw/stable input transitions, warm-up, node reset and location/config.</w:t>
            </w:r>
          </w:p>
        </w:tc>
      </w:tr>
      <w:tr>
        <w:tc>
          <w:tcPr>
            <w:tcW w:type="dxa" w:w="1584"/>
            <w:tcMar>
              <w:top w:w="100" w:type="dxa"/>
              <w:left w:w="100" w:type="dxa"/>
              <w:bottom w:w="100" w:type="dxa"/>
              <w:right w:w="100" w:type="dxa"/>
            </w:tcMar>
          </w:tcPr>
          <w:p>
            <w:pPr>
              <w:spacing w:after="80" w:before="60"/>
            </w:pPr>
            <w:r>
              <w:rPr>
                <w:b w:val="0"/>
                <w:sz w:val="18"/>
              </w:rPr>
              <w:t>Event never leaves node</w:t>
            </w:r>
          </w:p>
        </w:tc>
        <w:tc>
          <w:tcPr>
            <w:tcW w:type="dxa" w:w="2880"/>
            <w:tcMar>
              <w:top w:w="100" w:type="dxa"/>
              <w:left w:w="100" w:type="dxa"/>
              <w:bottom w:w="100" w:type="dxa"/>
              <w:right w:w="100" w:type="dxa"/>
            </w:tcMar>
          </w:tcPr>
          <w:p>
            <w:pPr>
              <w:spacing w:after="80" w:before="60"/>
            </w:pPr>
            <w:r>
              <w:rPr>
                <w:b w:val="0"/>
                <w:sz w:val="18"/>
              </w:rPr>
              <w:t>N05/N02 and node runtime</w:t>
            </w:r>
          </w:p>
        </w:tc>
        <w:tc>
          <w:tcPr>
            <w:tcW w:type="dxa" w:w="4896"/>
            <w:tcMar>
              <w:top w:w="100" w:type="dxa"/>
              <w:left w:w="100" w:type="dxa"/>
              <w:bottom w:w="100" w:type="dxa"/>
              <w:right w:w="100" w:type="dxa"/>
            </w:tcMar>
          </w:tcPr>
          <w:p>
            <w:pPr>
              <w:spacing w:after="80" w:before="60"/>
            </w:pPr>
            <w:r>
              <w:rPr>
                <w:b w:val="0"/>
                <w:sz w:val="18"/>
              </w:rPr>
              <w:t>Event key, queue full/retry outcome and ACK class; inspect G05.</w:t>
            </w:r>
          </w:p>
        </w:tc>
      </w:tr>
      <w:tr>
        <w:tc>
          <w:tcPr>
            <w:tcW w:type="dxa" w:w="1584"/>
            <w:tcMar>
              <w:top w:w="100" w:type="dxa"/>
              <w:left w:w="100" w:type="dxa"/>
              <w:bottom w:w="100" w:type="dxa"/>
              <w:right w:w="100" w:type="dxa"/>
            </w:tcMar>
          </w:tcPr>
          <w:p>
            <w:pPr>
              <w:spacing w:after="80" w:before="60"/>
            </w:pPr>
            <w:r>
              <w:rPr>
                <w:b w:val="0"/>
                <w:sz w:val="18"/>
              </w:rPr>
              <w:t>Hub receives but no evidence</w:t>
            </w:r>
          </w:p>
        </w:tc>
        <w:tc>
          <w:tcPr>
            <w:tcW w:type="dxa" w:w="2880"/>
            <w:tcMar>
              <w:top w:w="100" w:type="dxa"/>
              <w:left w:w="100" w:type="dxa"/>
              <w:bottom w:w="100" w:type="dxa"/>
              <w:right w:w="100" w:type="dxa"/>
            </w:tcMar>
          </w:tcPr>
          <w:p>
            <w:pPr>
              <w:spacing w:after="80" w:before="60"/>
            </w:pPr>
            <w:r>
              <w:rPr>
                <w:b w:val="0"/>
                <w:sz w:val="18"/>
              </w:rPr>
              <w:t>H01/H02/H05/S02</w:t>
            </w:r>
          </w:p>
        </w:tc>
        <w:tc>
          <w:tcPr>
            <w:tcW w:type="dxa" w:w="4896"/>
            <w:tcMar>
              <w:top w:w="100" w:type="dxa"/>
              <w:left w:w="100" w:type="dxa"/>
              <w:bottom w:w="100" w:type="dxa"/>
              <w:right w:w="100" w:type="dxa"/>
            </w:tcMar>
          </w:tcPr>
          <w:p>
            <w:pPr>
              <w:spacing w:after="80" w:before="60"/>
            </w:pPr>
            <w:r>
              <w:rPr>
                <w:b w:val="0"/>
                <w:sz w:val="18"/>
              </w:rPr>
              <w:t>Admission, commit result, mode, test flag, location, window and coverage.</w:t>
            </w:r>
          </w:p>
        </w:tc>
      </w:tr>
      <w:tr>
        <w:tc>
          <w:tcPr>
            <w:tcW w:type="dxa" w:w="1584"/>
            <w:tcMar>
              <w:top w:w="100" w:type="dxa"/>
              <w:left w:w="100" w:type="dxa"/>
              <w:bottom w:w="100" w:type="dxa"/>
              <w:right w:w="100" w:type="dxa"/>
            </w:tcMar>
          </w:tcPr>
          <w:p>
            <w:pPr>
              <w:spacing w:after="80" w:before="60"/>
            </w:pPr>
            <w:r>
              <w:rPr>
                <w:b w:val="0"/>
                <w:sz w:val="18"/>
              </w:rPr>
              <w:t>No missing-morning decision</w:t>
            </w:r>
          </w:p>
        </w:tc>
        <w:tc>
          <w:tcPr>
            <w:tcW w:type="dxa" w:w="2880"/>
            <w:tcMar>
              <w:top w:w="100" w:type="dxa"/>
              <w:left w:w="100" w:type="dxa"/>
              <w:bottom w:w="100" w:type="dxa"/>
              <w:right w:w="100" w:type="dxa"/>
            </w:tcMar>
          </w:tcPr>
          <w:p>
            <w:pPr>
              <w:spacing w:after="80" w:before="60"/>
            </w:pPr>
            <w:r>
              <w:rPr>
                <w:b w:val="0"/>
                <w:sz w:val="18"/>
              </w:rPr>
              <w:t>H03/H04/S02</w:t>
            </w:r>
          </w:p>
        </w:tc>
        <w:tc>
          <w:tcPr>
            <w:tcW w:type="dxa" w:w="4896"/>
            <w:tcMar>
              <w:top w:w="100" w:type="dxa"/>
              <w:left w:w="100" w:type="dxa"/>
              <w:bottom w:w="100" w:type="dxa"/>
              <w:right w:w="100" w:type="dxa"/>
            </w:tcMar>
          </w:tcPr>
          <w:p>
            <w:pPr>
              <w:spacing w:after="80" w:before="60"/>
            </w:pPr>
            <w:r>
              <w:rPr>
                <w:b w:val="0"/>
                <w:sz w:val="18"/>
              </w:rPr>
              <w:t>Exact suppression reason: time_untrusted, mode_suppressed, coverage_unknown, evidence_present or not due.</w:t>
            </w:r>
          </w:p>
        </w:tc>
      </w:tr>
      <w:tr>
        <w:tc>
          <w:tcPr>
            <w:tcW w:type="dxa" w:w="1584"/>
            <w:tcMar>
              <w:top w:w="100" w:type="dxa"/>
              <w:left w:w="100" w:type="dxa"/>
              <w:bottom w:w="100" w:type="dxa"/>
              <w:right w:w="100" w:type="dxa"/>
            </w:tcMar>
          </w:tcPr>
          <w:p>
            <w:pPr>
              <w:spacing w:after="80" w:before="60"/>
            </w:pPr>
            <w:r>
              <w:rPr>
                <w:b w:val="0"/>
                <w:sz w:val="18"/>
              </w:rPr>
              <w:t>No caregiver notification</w:t>
            </w:r>
          </w:p>
        </w:tc>
        <w:tc>
          <w:tcPr>
            <w:tcW w:type="dxa" w:w="2880"/>
            <w:tcMar>
              <w:top w:w="100" w:type="dxa"/>
              <w:left w:w="100" w:type="dxa"/>
              <w:bottom w:w="100" w:type="dxa"/>
              <w:right w:w="100" w:type="dxa"/>
            </w:tcMar>
          </w:tcPr>
          <w:p>
            <w:pPr>
              <w:spacing w:after="80" w:before="60"/>
            </w:pPr>
            <w:r>
              <w:rPr>
                <w:b w:val="0"/>
                <w:sz w:val="18"/>
              </w:rPr>
              <w:t>H08/B03/B04/B05</w:t>
            </w:r>
          </w:p>
        </w:tc>
        <w:tc>
          <w:tcPr>
            <w:tcW w:type="dxa" w:w="4896"/>
            <w:tcMar>
              <w:top w:w="100" w:type="dxa"/>
              <w:left w:w="100" w:type="dxa"/>
              <w:bottom w:w="100" w:type="dxa"/>
              <w:right w:w="100" w:type="dxa"/>
            </w:tcMar>
          </w:tcPr>
          <w:p>
            <w:pPr>
              <w:spacing w:after="80" w:before="60"/>
            </w:pPr>
            <w:r>
              <w:rPr>
                <w:b w:val="0"/>
                <w:sz w:val="18"/>
              </w:rPr>
              <w:t>Application ACK, incident key, due job, provider outcome and acknowledgement.</w:t>
            </w:r>
          </w:p>
        </w:tc>
      </w:tr>
      <w:tr>
        <w:tc>
          <w:tcPr>
            <w:tcW w:type="dxa" w:w="1584"/>
            <w:tcMar>
              <w:top w:w="100" w:type="dxa"/>
              <w:left w:w="100" w:type="dxa"/>
              <w:bottom w:w="100" w:type="dxa"/>
              <w:right w:w="100" w:type="dxa"/>
            </w:tcMar>
          </w:tcPr>
          <w:p>
            <w:pPr>
              <w:spacing w:after="80" w:before="60"/>
            </w:pPr>
            <w:r>
              <w:rPr>
                <w:b w:val="0"/>
                <w:sz w:val="18"/>
              </w:rPr>
              <w:t>Phone appears outdated</w:t>
            </w:r>
          </w:p>
        </w:tc>
        <w:tc>
          <w:tcPr>
            <w:tcW w:type="dxa" w:w="2880"/>
            <w:tcMar>
              <w:top w:w="100" w:type="dxa"/>
              <w:left w:w="100" w:type="dxa"/>
              <w:bottom w:w="100" w:type="dxa"/>
              <w:right w:w="100" w:type="dxa"/>
            </w:tcMar>
          </w:tcPr>
          <w:p>
            <w:pPr>
              <w:spacing w:after="80" w:before="60"/>
            </w:pPr>
            <w:r>
              <w:rPr>
                <w:b w:val="0"/>
                <w:sz w:val="18"/>
              </w:rPr>
              <w:t>B07/A05/A02</w:t>
            </w:r>
          </w:p>
        </w:tc>
        <w:tc>
          <w:tcPr>
            <w:tcW w:type="dxa" w:w="4896"/>
            <w:tcMar>
              <w:top w:w="100" w:type="dxa"/>
              <w:left w:w="100" w:type="dxa"/>
              <w:bottom w:w="100" w:type="dxa"/>
              <w:right w:w="100" w:type="dxa"/>
            </w:tcMar>
          </w:tcPr>
          <w:p>
            <w:pPr>
              <w:spacing w:after="80" w:before="60"/>
            </w:pPr>
            <w:r>
              <w:rPr>
                <w:b w:val="0"/>
                <w:sz w:val="18"/>
              </w:rPr>
              <w:t>Snapshot/source age, fetch error and cache version, independent of node health.</w:t>
            </w:r>
          </w:p>
        </w:tc>
      </w:tr>
      <w:tr>
        <w:tc>
          <w:tcPr>
            <w:tcW w:type="dxa" w:w="1584"/>
            <w:tcMar>
              <w:top w:w="100" w:type="dxa"/>
              <w:left w:w="100" w:type="dxa"/>
              <w:bottom w:w="100" w:type="dxa"/>
              <w:right w:w="100" w:type="dxa"/>
            </w:tcMar>
          </w:tcPr>
          <w:p>
            <w:pPr>
              <w:spacing w:after="80" w:before="60"/>
            </w:pPr>
            <w:r>
              <w:rPr>
                <w:b w:val="0"/>
                <w:sz w:val="18"/>
              </w:rPr>
              <w:t>AI session stuck in future work</w:t>
            </w:r>
          </w:p>
        </w:tc>
        <w:tc>
          <w:tcPr>
            <w:tcW w:type="dxa" w:w="2880"/>
            <w:tcMar>
              <w:top w:w="100" w:type="dxa"/>
              <w:left w:w="100" w:type="dxa"/>
              <w:bottom w:w="100" w:type="dxa"/>
              <w:right w:w="100" w:type="dxa"/>
            </w:tcMar>
          </w:tcPr>
          <w:p>
            <w:pPr>
              <w:spacing w:after="80" w:before="60"/>
            </w:pPr>
            <w:r>
              <w:rPr>
                <w:b w:val="0"/>
                <w:sz w:val="18"/>
              </w:rPr>
              <w:t>H09 and provider fake/adapter</w:t>
            </w:r>
          </w:p>
        </w:tc>
        <w:tc>
          <w:tcPr>
            <w:tcW w:type="dxa" w:w="4896"/>
            <w:tcMar>
              <w:top w:w="100" w:type="dxa"/>
              <w:left w:w="100" w:type="dxa"/>
              <w:bottom w:w="100" w:type="dxa"/>
              <w:right w:w="100" w:type="dxa"/>
            </w:tcMar>
          </w:tcPr>
          <w:p>
            <w:pPr>
              <w:spacing w:after="80" w:before="60"/>
            </w:pPr>
            <w:r>
              <w:rPr>
                <w:b w:val="0"/>
                <w:sz w:val="18"/>
              </w:rPr>
              <w:t>State, request ID, scheduler tick, timeout and stale completion; no raw transcript needed.</w:t>
            </w:r>
          </w:p>
        </w:tc>
      </w:tr>
    </w:tbl>
    <w:p>
      <w:pPr>
        <w:pStyle w:val="Heading1"/>
      </w:pPr>
      <w:r>
        <w:rPr>
          <w:color w:val="000000"/>
        </w:rPr>
        <w:t>Known implementation gaps and ownership</w:t>
      </w:r>
    </w:p>
    <w:p>
      <w:pPr>
        <w:pStyle w:val="Heading2"/>
      </w:pPr>
      <w:r>
        <w:rPr>
          <w:color w:val="000000"/>
        </w:rPr>
        <w:t>G01 Durable storage</w:t>
      </w:r>
    </w:p>
    <w:p>
      <w:r>
        <w:t>Base P0; owners N05/H02/B03. Host queues and dictionaries are volatile. Implement flash journals and database transactions; test interruption at each commit stage.</w:t>
      </w:r>
    </w:p>
    <w:p>
      <w:pPr>
        <w:pStyle w:val="Heading2"/>
      </w:pPr>
      <w:r>
        <w:rPr>
          <w:color w:val="000000"/>
        </w:rPr>
        <w:t>G02 Duplicate reducer effects</w:t>
      </w:r>
    </w:p>
    <w:p>
      <w:r>
        <w:t>Base P0; owners H02/H05/S02. HubRuntime reapplies journal duplicates. Deduplicate evidence effects and cap evidence IDs; test replay counts and active-window recovery.</w:t>
      </w:r>
    </w:p>
    <w:p>
      <w:pPr>
        <w:pStyle w:val="Heading2"/>
      </w:pPr>
      <w:r>
        <w:rPr>
          <w:color w:val="000000"/>
        </w:rPr>
        <w:t>G03 Historical coverage</w:t>
      </w:r>
    </w:p>
    <w:p>
      <w:r>
        <w:t>Base P0; owners H04/H05. Current-state lease health does not prove uninterrupted window coverage. Record intervals and evaluate the relevant observation interval.</w:t>
      </w:r>
    </w:p>
    <w:p>
      <w:pPr>
        <w:pStyle w:val="Heading2"/>
      </w:pPr>
      <w:r>
        <w:rPr>
          <w:color w:val="000000"/>
        </w:rPr>
        <w:t>G04 Journal reclamation</w:t>
      </w:r>
    </w:p>
    <w:p>
      <w:r>
        <w:t>Base P0; owners H02. Cloud ACK records do not reclaim host journal capacity. Specify retention and safe compaction before long-duration operation.</w:t>
      </w:r>
    </w:p>
    <w:p>
      <w:pPr>
        <w:pStyle w:val="Heading2"/>
      </w:pPr>
      <w:r>
        <w:rPr>
          <w:color w:val="000000"/>
        </w:rPr>
        <w:t>G05 Retry refill</w:t>
      </w:r>
    </w:p>
    <w:p>
      <w:r>
        <w:t>Base P0; owners N02/N05. A failed radio enqueue after store append has no integrated refill pump. Recover retained events without inventing new event IDs.</w:t>
      </w:r>
    </w:p>
    <w:p>
      <w:pPr>
        <w:pStyle w:val="Heading2"/>
      </w:pPr>
      <w:r>
        <w:rPr>
          <w:color w:val="000000"/>
        </w:rPr>
        <w:t>G06 Local prompt orchestration</w:t>
      </w:r>
    </w:p>
    <w:p>
      <w:r>
        <w:t>Base P0; owners H05/H06. The reducer returns a decision at grace deadline. Prompt, resident response window and intent publication require an explicit integrated state machine.</w:t>
      </w:r>
    </w:p>
    <w:p>
      <w:pPr>
        <w:pStyle w:val="Heading2"/>
      </w:pPr>
      <w:r>
        <w:rPr>
          <w:color w:val="000000"/>
        </w:rPr>
        <w:t>G07 Daily summary scope</w:t>
      </w:r>
    </w:p>
    <w:p>
      <w:r>
        <w:t>Base P0; owners B05. The helper counts all retained home activity and trusts caller flags. Filter by date/window, enforce consent and define same-day policy-version behaviour.</w:t>
      </w:r>
    </w:p>
    <w:p>
      <w:pPr>
        <w:pStyle w:val="Heading2"/>
      </w:pPr>
      <w:r>
        <w:rPr>
          <w:color w:val="000000"/>
        </w:rPr>
        <w:t>G08 Action authorisation</w:t>
      </w:r>
    </w:p>
    <w:p>
      <w:r>
        <w:t>Base P0; owners B01/B04. Incident mutations currently require read permission. Define action-specific roles and transactional claim conflict handling.</w:t>
      </w:r>
    </w:p>
    <w:p>
      <w:pPr>
        <w:pStyle w:val="Heading2"/>
      </w:pPr>
      <w:r>
        <w:rPr>
          <w:color w:val="000000"/>
        </w:rPr>
        <w:t>G09 Transport and clock</w:t>
      </w:r>
    </w:p>
    <w:p>
      <w:r>
        <w:t>Base P0; owners N02/H01/H03/H08. Radio cryptography, frame parsing, channel recovery, authenticated clock anchoring and remote transport adapters are not integrated.</w:t>
      </w:r>
    </w:p>
    <w:p>
      <w:pPr>
        <w:pStyle w:val="Heading2"/>
      </w:pPr>
      <w:r>
        <w:rPr>
          <w:color w:val="000000"/>
        </w:rPr>
        <w:t>G10 Notification worker</w:t>
      </w:r>
    </w:p>
    <w:p>
      <w:r>
        <w:t>Base P0; owners B05. Real delivery, failed-job retry, worker leases and ambiguous-send reconciliation are pending. Provider accepted must stay separate from human acknowledged.</w:t>
      </w:r>
    </w:p>
    <w:p>
      <w:pPr>
        <w:pStyle w:val="Heading2"/>
      </w:pPr>
      <w:r>
        <w:rPr>
          <w:color w:val="000000"/>
        </w:rPr>
        <w:t>G11 Feature flag enforcement</w:t>
      </w:r>
    </w:p>
    <w:p>
      <w:r>
        <w:t>Base P0; owners S04/T01. Legacy flags are partly descriptive or simulator gates. Test actual entry-point exclusion before using any flag as a shipped capability boundary.</w:t>
      </w:r>
    </w:p>
    <w:p>
      <w:pPr>
        <w:pStyle w:val="Heading2"/>
      </w:pPr>
      <w:r>
        <w:rPr>
          <w:color w:val="000000"/>
        </w:rPr>
        <w:t>G12 Resource and crash evidence</w:t>
      </w:r>
    </w:p>
    <w:p>
      <w:r>
        <w:t>Base P0; owners S05/T02. Container bounds are not complete RAM bounds. Measure heap/stack/current; add asynchronous target logging, watchdog and panic recovery.</w:t>
      </w:r>
    </w:p>
    <w:p>
      <w:pPr>
        <w:pStyle w:val="Heading2"/>
      </w:pPr>
      <w:r>
        <w:rPr>
          <w:color w:val="000000"/>
        </w:rPr>
        <w:t>G13 AI coordinator and audio</w:t>
      </w:r>
    </w:p>
    <w:p>
      <w:r>
        <w:t>Future AI; owners H10/H11. Only H09 lifecycle exists. Implement consent propagation, record/playback stop and priority interruption without blocking monitoring.</w:t>
      </w:r>
    </w:p>
    <w:p>
      <w:pPr>
        <w:pStyle w:val="Heading2"/>
      </w:pPr>
      <w:r>
        <w:rPr>
          <w:color w:val="000000"/>
        </w:rPr>
        <w:t>G14 AI gateway and quotas</w:t>
      </w:r>
    </w:p>
    <w:p>
      <w:r>
        <w:t>Future AI; owners B09/A06. Provider credentials, authorised capabilities, concurrency/usage limits and availability UI are not implemented.</w:t>
      </w:r>
    </w:p>
    <w:p>
      <w:pPr>
        <w:pStyle w:val="Heading2"/>
      </w:pPr>
      <w:r>
        <w:rPr>
          <w:color w:val="000000"/>
        </w:rPr>
        <w:t>G15 Schema and end-to-end adapters</w:t>
      </w:r>
    </w:p>
    <w:p>
      <w:r>
        <w:t>Base P0; owners S01/B07/A05. Contract checks currently inspect source structure. Add actual payload conformance, numeric bounds, application ACK mapping and complete UI/API integration.</w:t>
      </w:r>
    </w:p>
    <w:p>
      <w:pPr>
        <w:pStyle w:val="Heading1"/>
      </w:pPr>
      <w:r>
        <w:rPr>
          <w:color w:val="000000"/>
        </w:rPr>
        <w:t>One year maintenance checklist</w:t>
      </w:r>
    </w:p>
    <w:p>
      <w:r>
        <w:t>Before resuming development, read the release manifest, latest evidence and open-work register; reproduce Base tests in a clean checkout; inspect toolchain and dependency versions; compare physical board revisions and calibration; recheck supplier details and legal/product claims if preparing a sale. Do not infer that a passed host check from 2026 is current field evidence. Record any changed assumption beside its requirement and deployment decision.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sz w:val="16"/>
      </w:rPr>
      <w:t xml:space="preserve">Ghar Sajag | Documentation 2.0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