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F5E4C"/>
          <w:sz w:val="20"/>
        </w:rPr>
        <w:t>ENGINEERING HANDOFF</w:t>
      </w:r>
    </w:p>
    <w:p>
      <w:pPr>
        <w:spacing w:before="0" w:after="140"/>
      </w:pPr>
      <w:r>
        <w:rPr>
          <w:rFonts w:ascii="Calibri" w:hAnsi="Calibri"/>
          <w:b/>
          <w:color w:val="0B2545"/>
          <w:sz w:val="52"/>
        </w:rPr>
        <w:t>Ghar Sajag</w:t>
        <w:br/>
        <w:t>Hardware-Independent Low-Level Design</w:t>
      </w:r>
    </w:p>
    <w:p>
      <w:pPr>
        <w:spacing w:after="360"/>
      </w:pPr>
      <w:r>
        <w:rPr>
          <w:rFonts w:ascii="Calibri" w:hAnsi="Calibri"/>
          <w:b w:val="0"/>
          <w:color w:val="596672"/>
          <w:sz w:val="26"/>
        </w:rPr>
        <w:t>Code flow, interfaces, state ownership and handoff gates for the P0 reference implementation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Version</w:t>
            </w:r>
          </w:p>
        </w:tc>
        <w:tc>
          <w:tcPr>
            <w:tcW w:type="dxa" w:w="7660"/>
            <w:tcMar>
              <w:top w:w="80" w:type="dxa"/>
              <w:start w:w="120" w:type="dxa"/>
              <w:bottom w:w="80" w:type="dxa"/>
              <w:end w:w="120" w:type="dxa"/>
            </w:tcMar>
            <w:vAlign w:val="center"/>
          </w:tcPr>
          <w:p>
            <w:r>
              <w:t>2.0 / 9 September 2026; reference code 1.4.2</w:t>
            </w:r>
          </w:p>
        </w:tc>
      </w:tr>
      <w:tr>
        <w:trPr>
          <w:cantSplit/>
        </w:trPr>
        <w:tc>
          <w:tcPr>
            <w:tcW w:type="dxa" w:w="1700"/>
            <w:tcMar>
              <w:top w:w="80" w:type="dxa"/>
              <w:start w:w="120" w:type="dxa"/>
              <w:bottom w:w="80" w:type="dxa"/>
              <w:end w:w="120" w:type="dxa"/>
            </w:tcMar>
            <w:vAlign w:val="center"/>
            <w:shd w:fill="F4F6F9"/>
          </w:tcPr>
          <w:p>
            <w:r>
              <w:t>2.0</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7 September 2026</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Audience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 backend, web and verification engineers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Companion spec</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Ghar_Sajag_P0_Requirements_and_Software_Design_v1.2.docx</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root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ghar_sajag_reference/</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make verify — passed on the stated date</w:t>
            </w:r>
          </w:p>
        </w:tc>
      </w:tr>
    </w:tbl>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9360"/>
      </w:tblGrid>
      <w:tr>
        <w:trPr>
          <w:cantSplit/>
        </w:trPr>
        <w:tc>
          <w:tcPr>
            <w:tcW w:type="dxa" w:w="9360"/>
            <w:tcMar>
              <w:top w:w="80" w:type="dxa"/>
              <w:start w:w="120" w:type="dxa"/>
              <w:bottom w:w="80" w:type="dxa"/>
              <w:end w:w="120" w:type="dxa"/>
            </w:tcMar>
            <w:vAlign w:val="center"/>
            <w:shd w:fill="F4F6F9"/>
          </w:tcPr>
          <w:p>
            <w:pPr>
              <w:spacing w:before="0" w:after="60" w:line="240" w:lineRule="auto"/>
            </w:pPr>
            <w:r>
              <w:rPr>
                <w:rFonts w:ascii="Calibri" w:hAnsi="Calibri"/>
                <w:b/>
                <w:color w:val="9B1C1C"/>
                <w:sz w:val="19"/>
              </w:rPr>
              <w:t>This document describes executable host code, not released safety equipment. Hardware, RF, flash, power, production identity, notification delivery and OTA cryptography remain explicit integration gates.</w:t>
            </w:r>
          </w:p>
        </w:tc>
      </w:tr>
    </w:tbl>
    <w:p>
      <w:pPr>
        <w:pStyle w:val="Heading1"/>
      </w:pPr>
      <w:r>
        <w:rPr>
          <w:color w:val="000000"/>
        </w:rPr>
        <w:t>Edition 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2.0 accompanies reference source 1.4.2. Source 1.4.2 adds requirement comments and version metadata to the 1.4.1 code; it does not implement new monitoring or AI algorithms. The 1.4 AI session controller is retained and explained in the AI design volume.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Ghar_Sajag_Hardware_Independent_Low_Level_Design_v1.1(2).docx.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2"/>
      </w:pPr>
      <w:r>
        <w:rPr>
          <w:color w:val="000000"/>
        </w:rPr>
        <w:t>Current decisions that resolve earlier ambiguity</w:t>
      </w:r>
    </w:p>
    <w:p>
      <w:r>
        <w:rPr>
          <w:b/>
        </w:rPr>
        <w:t xml:space="preserve">Routine evidence. </w:t>
      </w:r>
      <w:r>
        <w:t>The current reducer accepts one qualifying activity event or OK in its window. Two-zone/session-duration examples are retained as future hypotheses. They are not implemented P0 qualification rules.</w:t>
      </w:r>
    </w:p>
    <w:p>
      <w:r>
        <w:rPr>
          <w:b/>
        </w:rPr>
        <w:t xml:space="preserve">Coverage. </w:t>
      </w:r>
      <w:r>
        <w:t>Current lease status exists. Full-window coverage history and local prompt/grace orchestration are pending. Missing activity must not be presented as a wellbeing or medical conclusion.</w:t>
      </w:r>
    </w:p>
    <w:p>
      <w:r>
        <w:rPr>
          <w:b/>
        </w:rPr>
        <w:t xml:space="preserve">Timing. </w:t>
      </w:r>
      <w:r>
        <w:t>The reference NodeConfig uses a 60-second heartbeat and HubRuntime a 190-second lease. Older 15-minute heartbeat and 35-minute timeout examples are trial alternatives and must not be mixed with these defaults.</w:t>
      </w:r>
    </w:p>
    <w:p>
      <w:r>
        <w:rPr>
          <w:b/>
        </w:rPr>
        <w:t xml:space="preserve">Persistence. </w:t>
      </w:r>
      <w:r>
        <w:t>DURABLE is the target application-ACK meaning. In-memory test stores model ordering; they do not survive power loss. Production flash/database adapters and compaction remain open.</w:t>
      </w:r>
    </w:p>
    <w:p>
      <w:r>
        <w:rPr>
          <w:b/>
        </w:rPr>
        <w:t xml:space="preserve">Modules. </w:t>
      </w:r>
      <w:r>
        <w:t>Canonical modules are N01–N05, H01–H08, B01–B08, A01–A05, S01–S03 and T01–T03, with S04 product profile, H09 interaction and S05 diagnostics. H10/H11/B09/A06 are planned. Legacy log aliases are not extra deployed modules.</w:t>
      </w:r>
    </w:p>
    <w:p>
      <w:r>
        <w:rPr>
          <w:b/>
        </w:rPr>
        <w:t xml:space="preserve">Logs. </w:t>
      </w:r>
      <w:r>
        <w:t>ERROR hooks remain available in the commercial build profile, but absent/failed sinks can lose records. Current host logging is synchronous; it does not catch arbitrary memory corruption or guarantee crash persistence.</w:t>
      </w:r>
    </w:p>
    <w:p>
      <w:pPr>
        <w:pStyle w:val="Heading1"/>
      </w:pPr>
      <w:r>
        <w:rPr>
          <w:color w:val="000000"/>
        </w:rPr>
        <w:t>Architecture explained for implementation</w:t>
      </w:r>
    </w:p>
    <w:p>
      <w:pPr>
        <w:pStyle w:val="Heading2"/>
      </w:pPr>
      <w:r>
        <w:rPr>
          <w:color w:val="000000"/>
        </w:rPr>
        <w:t>Why there is one shared core</w:t>
      </w:r>
    </w:p>
    <w:p>
      <w:r>
        <w:t>A requirement such as detecting a missing check-in should behave identically whether or not the product has audio. Put event identity, rule decisions, incident workflow and service health in shared modules. Optional interaction is a client of selected state and a separate request lifecycle. It cannot replace the rule engine or create human acknowledgement.</w:t>
      </w:r>
    </w:p>
    <w:p>
      <w:pPr>
        <w:pStyle w:val="Heading2"/>
      </w:pPr>
      <w:r>
        <w:rPr>
          <w:color w:val="000000"/>
        </w:rPr>
        <w:t>Where state is authoritative</w:t>
      </w:r>
    </w:p>
    <w:p>
      <w:r>
        <w:t>The node owns unsent sensor evidence. The hub owns local routine/configuration/coverage state and its unsent cloud records. The backend owns household access, incidents, notification jobs and caregiver projections. The app owns presentation and pending user commands. Copying a snapshot does not transfer authority; every mutation returns to its owner.</w:t>
      </w:r>
    </w:p>
    <w:p>
      <w:pPr>
        <w:pStyle w:val="Heading2"/>
      </w:pPr>
      <w:r>
        <w:rPr>
          <w:color w:val="000000"/>
        </w:rPr>
        <w:t>Commit order across the home</w:t>
      </w:r>
    </w:p>
    <w:p>
      <w:r>
        <w:t>Record a business event at the node before transmission. Admit and commit it at the hub before a durable node ACK. Persist it and its required backend effects before the backend application ACK. Retries reuse the same key. Every failure between two commits must have a defined replay action. This gives idempotent effects under at-least-once transport; it does not guarantee exactly-once network delivery.</w:t>
      </w:r>
    </w:p>
    <w:p>
      <w:pPr>
        <w:pStyle w:val="Heading2"/>
      </w:pPr>
      <w:r>
        <w:rPr>
          <w:color w:val="000000"/>
        </w:rPr>
        <w:t>Task boundary on the hub</w:t>
      </w:r>
    </w:p>
    <w:p>
      <w:r>
        <w:t>The proposed hub_event_task owns routine, coverage and configuration mutations. Radio and timer callbacks enqueue bounded messages. A cloud worker owns blocking network work and exchanges immutable snapshots/commands with the state owner. UI sampling may happen in a separate task but applies semantic actions through the same owner. Queue overflow is a visible service fault, not a reason to invent resident evidence.</w:t>
      </w:r>
    </w:p>
    <w:p>
      <w:pPr>
        <w:pStyle w:val="Heading2"/>
      </w:pPr>
      <w:r>
        <w:rPr>
          <w:color w:val="000000"/>
        </w:rPr>
        <w:t>Storage concurrency</w:t>
      </w:r>
    </w:p>
    <w:p>
      <w:r>
        <w:t>The earlier FreeRTOS sketch lets the state task write the journal and a cloud task read it. A concrete binding must serialize those accesses or copy a committed outbox snapshot through the owner. A deque reference is not a safe shared cross-task view. ACK commands also return to the journal owner so reclamation cannot race a read.</w:t>
      </w:r>
    </w:p>
    <w:p>
      <w:pPr>
        <w:pStyle w:val="Heading2"/>
      </w:pPr>
      <w:r>
        <w:rPr>
          <w:color w:val="000000"/>
        </w:rPr>
        <w:t>Scaling beyond a pilot</w:t>
      </w:r>
    </w:p>
    <w:p>
      <w:r>
        <w:t>Start with a backend modular monolith and one database, preserving B01–B08 boundaries in code. Scale stateless API replicas and leased delivery workers when measured load warrants it. Keep household_id in keys, queries and authorisation checks. Use database unique constraints and outbox transactions for concurrent idempotency; in-memory dictionaries are not a multi-replica design.</w:t>
      </w:r>
    </w:p>
    <w:p>
      <w:pPr>
        <w:pStyle w:val="Heading2"/>
      </w:pPr>
      <w:r>
        <w:rPr>
          <w:color w:val="000000"/>
        </w:rPr>
        <w:t>Backpressure and resource sizing</w:t>
      </w:r>
    </w:p>
    <w:p>
      <w:r>
        <w:t>Capacity limits must include payload lengths, evidence IDs, retry queues, diagnostic records and result batches. A container with a maximum item count can still exceed RAM if each item owns unbounded strings. Measure high-water marks under duplicate storms, long outages and replay. Determine release budgets from the actual C3/DevKit board and firmware build rather than host sizeof alone.</w:t>
      </w:r>
    </w:p>
    <w:p>
      <w:pPr>
        <w:pStyle w:val="Heading2"/>
      </w:pPr>
      <w:r>
        <w:rPr>
          <w:color w:val="000000"/>
        </w:rPr>
        <w:t>Hardware independent development</w:t>
      </w:r>
    </w:p>
    <w:p>
      <w:r>
        <w:t>Host tests can verify parsing policies, reducers, ownership outcomes, retries and fake provider errors. They cannot measure RF range, deep-sleep current, flash wear, brownout, GPIO polarity or actual notification delivery. Keep each hardware/network port injectable so the same domain behaviour can be exercised with a fake first and a measured adapter later.</w:t>
      </w:r>
    </w:p>
    <w:p>
      <w:pPr>
        <w:pStyle w:val="Heading2"/>
      </w:pPr>
      <w:r>
        <w:rPr>
          <w:color w:val="000000"/>
        </w:rPr>
        <w:t>Design decision record</w:t>
      </w:r>
    </w:p>
    <w:p>
      <w:r>
        <w:t>Keep a short record whenever a behaviour changes: requirement ID, previous rule, new rule, reason, affected modules, compatibility impact and acceptance evidence. Record decisions on schedule change timing, grace-window OK handling, coverage history and duplicate evidence before implementation. Do not silently resolve these by changing a dashboard label.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Boundary</w:t>
            </w:r>
          </w:p>
        </w:tc>
        <w:tc>
          <w:tcPr>
            <w:tcW w:type="dxa" w:w="2880"/>
            <w:tcMar>
              <w:top w:w="100" w:type="dxa"/>
              <w:left w:w="100" w:type="dxa"/>
              <w:bottom w:w="100" w:type="dxa"/>
              <w:right w:w="100" w:type="dxa"/>
            </w:tcMar>
            <w:shd w:fill="E7EDF4"/>
          </w:tcPr>
          <w:p>
            <w:pPr>
              <w:spacing w:after="80" w:before="60"/>
            </w:pPr>
            <w:r>
              <w:rPr>
                <w:b/>
                <w:sz w:val="18"/>
              </w:rPr>
              <w:t>Participants</w:t>
            </w:r>
          </w:p>
        </w:tc>
        <w:tc>
          <w:tcPr>
            <w:tcW w:type="dxa" w:w="4896"/>
            <w:tcMar>
              <w:top w:w="100" w:type="dxa"/>
              <w:left w:w="100" w:type="dxa"/>
              <w:bottom w:w="100" w:type="dxa"/>
              <w:right w:w="100" w:type="dxa"/>
            </w:tcMar>
            <w:shd w:fill="E7EDF4"/>
          </w:tcPr>
          <w:p>
            <w:pPr>
              <w:spacing w:after="80" w:before="60"/>
            </w:pPr>
            <w:r>
              <w:rPr>
                <w:b/>
                <w:sz w:val="18"/>
              </w:rPr>
              <w:t>Data and completion meaning</w:t>
            </w:r>
          </w:p>
        </w:tc>
      </w:tr>
      <w:tr>
        <w:tc>
          <w:tcPr>
            <w:tcW w:type="dxa" w:w="1584"/>
            <w:tcMar>
              <w:top w:w="100" w:type="dxa"/>
              <w:left w:w="100" w:type="dxa"/>
              <w:bottom w:w="100" w:type="dxa"/>
              <w:right w:w="100" w:type="dxa"/>
            </w:tcMar>
          </w:tcPr>
          <w:p>
            <w:pPr>
              <w:spacing w:after="80" w:before="60"/>
            </w:pPr>
            <w:r>
              <w:rPr>
                <w:b w:val="0"/>
                <w:sz w:val="18"/>
              </w:rPr>
              <w:t>I01</w:t>
            </w:r>
          </w:p>
        </w:tc>
        <w:tc>
          <w:tcPr>
            <w:tcW w:type="dxa" w:w="2880"/>
            <w:tcMar>
              <w:top w:w="100" w:type="dxa"/>
              <w:left w:w="100" w:type="dxa"/>
              <w:bottom w:w="100" w:type="dxa"/>
              <w:right w:w="100" w:type="dxa"/>
            </w:tcMar>
          </w:tcPr>
          <w:p>
            <w:pPr>
              <w:spacing w:after="80" w:before="60"/>
            </w:pPr>
            <w:r>
              <w:rPr>
                <w:b w:val="0"/>
                <w:sz w:val="18"/>
              </w:rPr>
              <w:t>N02/N05 → H01/H02</w:t>
            </w:r>
          </w:p>
        </w:tc>
        <w:tc>
          <w:tcPr>
            <w:tcW w:type="dxa" w:w="4896"/>
            <w:tcMar>
              <w:top w:w="100" w:type="dxa"/>
              <w:left w:w="100" w:type="dxa"/>
              <w:bottom w:w="100" w:type="dxa"/>
              <w:right w:w="100" w:type="dxa"/>
            </w:tcMar>
          </w:tcPr>
          <w:p>
            <w:pPr>
              <w:spacing w:after="80" w:before="60"/>
            </w:pPr>
            <w:r>
              <w:rPr>
                <w:b w:val="0"/>
                <w:sz w:val="18"/>
              </w:rPr>
              <w:t>Versioned event with source/session/sequence; application ACK after hub commitment. Encrypted ESP-NOW target adapter pending.</w:t>
            </w:r>
          </w:p>
        </w:tc>
      </w:tr>
      <w:tr>
        <w:tc>
          <w:tcPr>
            <w:tcW w:type="dxa" w:w="1584"/>
            <w:tcMar>
              <w:top w:w="100" w:type="dxa"/>
              <w:left w:w="100" w:type="dxa"/>
              <w:bottom w:w="100" w:type="dxa"/>
              <w:right w:w="100" w:type="dxa"/>
            </w:tcMar>
          </w:tcPr>
          <w:p>
            <w:pPr>
              <w:spacing w:after="80" w:before="60"/>
            </w:pPr>
            <w:r>
              <w:rPr>
                <w:b w:val="0"/>
                <w:sz w:val="18"/>
              </w:rPr>
              <w:t>I02</w:t>
            </w:r>
          </w:p>
        </w:tc>
        <w:tc>
          <w:tcPr>
            <w:tcW w:type="dxa" w:w="2880"/>
            <w:tcMar>
              <w:top w:w="100" w:type="dxa"/>
              <w:left w:w="100" w:type="dxa"/>
              <w:bottom w:w="100" w:type="dxa"/>
              <w:right w:w="100" w:type="dxa"/>
            </w:tcMar>
          </w:tcPr>
          <w:p>
            <w:pPr>
              <w:spacing w:after="80" w:before="60"/>
            </w:pPr>
            <w:r>
              <w:rPr>
                <w:b w:val="0"/>
                <w:sz w:val="18"/>
              </w:rPr>
              <w:t>H08 → B03/B06</w:t>
            </w:r>
          </w:p>
        </w:tc>
        <w:tc>
          <w:tcPr>
            <w:tcW w:type="dxa" w:w="4896"/>
            <w:tcMar>
              <w:top w:w="100" w:type="dxa"/>
              <w:left w:w="100" w:type="dxa"/>
              <w:bottom w:w="100" w:type="dxa"/>
              <w:right w:w="100" w:type="dxa"/>
            </w:tcMar>
          </w:tcPr>
          <w:p>
            <w:pPr>
              <w:spacing w:after="80" w:before="60"/>
            </w:pPr>
            <w:r>
              <w:rPr>
                <w:b w:val="0"/>
                <w:sz w:val="18"/>
              </w:rPr>
              <w:t>Replay, application commit ACK and versioned configuration through authenticated remote transport.</w:t>
            </w:r>
          </w:p>
        </w:tc>
      </w:tr>
      <w:tr>
        <w:tc>
          <w:tcPr>
            <w:tcW w:type="dxa" w:w="1584"/>
            <w:tcMar>
              <w:top w:w="100" w:type="dxa"/>
              <w:left w:w="100" w:type="dxa"/>
              <w:bottom w:w="100" w:type="dxa"/>
              <w:right w:w="100" w:type="dxa"/>
            </w:tcMar>
          </w:tcPr>
          <w:p>
            <w:pPr>
              <w:spacing w:after="80" w:before="60"/>
            </w:pPr>
            <w:r>
              <w:rPr>
                <w:b w:val="0"/>
                <w:sz w:val="18"/>
              </w:rPr>
              <w:t>I03</w:t>
            </w:r>
          </w:p>
        </w:tc>
        <w:tc>
          <w:tcPr>
            <w:tcW w:type="dxa" w:w="2880"/>
            <w:tcMar>
              <w:top w:w="100" w:type="dxa"/>
              <w:left w:w="100" w:type="dxa"/>
              <w:bottom w:w="100" w:type="dxa"/>
              <w:right w:w="100" w:type="dxa"/>
            </w:tcMar>
          </w:tcPr>
          <w:p>
            <w:pPr>
              <w:spacing w:after="80" w:before="60"/>
            </w:pPr>
            <w:r>
              <w:rPr>
                <w:b w:val="0"/>
                <w:sz w:val="18"/>
              </w:rPr>
              <w:t>A05 → B01/B07</w:t>
            </w:r>
          </w:p>
        </w:tc>
        <w:tc>
          <w:tcPr>
            <w:tcW w:type="dxa" w:w="4896"/>
            <w:tcMar>
              <w:top w:w="100" w:type="dxa"/>
              <w:left w:w="100" w:type="dxa"/>
              <w:bottom w:w="100" w:type="dxa"/>
              <w:right w:w="100" w:type="dxa"/>
            </w:tcMar>
          </w:tcPr>
          <w:p>
            <w:pPr>
              <w:spacing w:after="80" w:before="60"/>
            </w:pPr>
            <w:r>
              <w:rPr>
                <w:b w:val="0"/>
                <w:sz w:val="18"/>
              </w:rPr>
              <w:t>Authenticated query or idempotent command; response includes version/freshness and a reason on rejection.</w:t>
            </w:r>
          </w:p>
        </w:tc>
      </w:tr>
      <w:tr>
        <w:tc>
          <w:tcPr>
            <w:tcW w:type="dxa" w:w="1584"/>
            <w:tcMar>
              <w:top w:w="100" w:type="dxa"/>
              <w:left w:w="100" w:type="dxa"/>
              <w:bottom w:w="100" w:type="dxa"/>
              <w:right w:w="100" w:type="dxa"/>
            </w:tcMar>
          </w:tcPr>
          <w:p>
            <w:pPr>
              <w:spacing w:after="80" w:before="60"/>
            </w:pPr>
            <w:r>
              <w:rPr>
                <w:b w:val="0"/>
                <w:sz w:val="18"/>
              </w:rPr>
              <w:t>I04</w:t>
            </w:r>
          </w:p>
        </w:tc>
        <w:tc>
          <w:tcPr>
            <w:tcW w:type="dxa" w:w="2880"/>
            <w:tcMar>
              <w:top w:w="100" w:type="dxa"/>
              <w:left w:w="100" w:type="dxa"/>
              <w:bottom w:w="100" w:type="dxa"/>
              <w:right w:w="100" w:type="dxa"/>
            </w:tcMar>
          </w:tcPr>
          <w:p>
            <w:pPr>
              <w:spacing w:after="80" w:before="60"/>
            </w:pPr>
            <w:r>
              <w:rPr>
                <w:b w:val="0"/>
                <w:sz w:val="18"/>
              </w:rPr>
              <w:t>GPIO/UI → H06/H05</w:t>
            </w:r>
          </w:p>
        </w:tc>
        <w:tc>
          <w:tcPr>
            <w:tcW w:type="dxa" w:w="4896"/>
            <w:tcMar>
              <w:top w:w="100" w:type="dxa"/>
              <w:left w:w="100" w:type="dxa"/>
              <w:bottom w:w="100" w:type="dxa"/>
              <w:right w:w="100" w:type="dxa"/>
            </w:tcMar>
          </w:tcPr>
          <w:p>
            <w:pPr>
              <w:spacing w:after="80" w:before="60"/>
            </w:pPr>
            <w:r>
              <w:rPr>
                <w:b w:val="0"/>
                <w:sz w:val="18"/>
              </w:rPr>
              <w:t>Resident semantic actions and fixed feedback; physical debounce and accessibility binding pending.</w:t>
            </w:r>
          </w:p>
        </w:tc>
      </w:tr>
      <w:tr>
        <w:tc>
          <w:tcPr>
            <w:tcW w:type="dxa" w:w="1584"/>
            <w:tcMar>
              <w:top w:w="100" w:type="dxa"/>
              <w:left w:w="100" w:type="dxa"/>
              <w:bottom w:w="100" w:type="dxa"/>
              <w:right w:w="100" w:type="dxa"/>
            </w:tcMar>
          </w:tcPr>
          <w:p>
            <w:pPr>
              <w:spacing w:after="80" w:before="60"/>
            </w:pPr>
            <w:r>
              <w:rPr>
                <w:b w:val="0"/>
                <w:sz w:val="18"/>
              </w:rPr>
              <w:t>I05</w:t>
            </w:r>
          </w:p>
        </w:tc>
        <w:tc>
          <w:tcPr>
            <w:tcW w:type="dxa" w:w="2880"/>
            <w:tcMar>
              <w:top w:w="100" w:type="dxa"/>
              <w:left w:w="100" w:type="dxa"/>
              <w:bottom w:w="100" w:type="dxa"/>
              <w:right w:w="100" w:type="dxa"/>
            </w:tcMar>
          </w:tcPr>
          <w:p>
            <w:pPr>
              <w:spacing w:after="80" w:before="60"/>
            </w:pPr>
            <w:r>
              <w:rPr>
                <w:b w:val="0"/>
                <w:sz w:val="18"/>
              </w:rPr>
              <w:t>H09 → Provider</w:t>
            </w:r>
          </w:p>
        </w:tc>
        <w:tc>
          <w:tcPr>
            <w:tcW w:type="dxa" w:w="4896"/>
            <w:tcMar>
              <w:top w:w="100" w:type="dxa"/>
              <w:left w:w="100" w:type="dxa"/>
              <w:bottom w:w="100" w:type="dxa"/>
              <w:right w:w="100" w:type="dxa"/>
            </w:tcMar>
          </w:tcPr>
          <w:p>
            <w:pPr>
              <w:spacing w:after="80" w:before="60"/>
            </w:pPr>
            <w:r>
              <w:rPr>
                <w:b w:val="0"/>
                <w:sz w:val="18"/>
              </w:rPr>
              <w:t>Nonblocking start(id)/cancel(id); completion returned on controller owner. Fake-provider reference only.</w:t>
            </w:r>
          </w:p>
        </w:tc>
      </w:tr>
      <w:tr>
        <w:tc>
          <w:tcPr>
            <w:tcW w:type="dxa" w:w="1584"/>
            <w:tcMar>
              <w:top w:w="100" w:type="dxa"/>
              <w:left w:w="100" w:type="dxa"/>
              <w:bottom w:w="100" w:type="dxa"/>
              <w:right w:w="100" w:type="dxa"/>
            </w:tcMar>
          </w:tcPr>
          <w:p>
            <w:pPr>
              <w:spacing w:after="80" w:before="60"/>
            </w:pPr>
            <w:r>
              <w:rPr>
                <w:b w:val="0"/>
                <w:sz w:val="18"/>
              </w:rPr>
              <w:t>I06</w:t>
            </w:r>
          </w:p>
        </w:tc>
        <w:tc>
          <w:tcPr>
            <w:tcW w:type="dxa" w:w="2880"/>
            <w:tcMar>
              <w:top w:w="100" w:type="dxa"/>
              <w:left w:w="100" w:type="dxa"/>
              <w:bottom w:w="100" w:type="dxa"/>
              <w:right w:w="100" w:type="dxa"/>
            </w:tcMar>
          </w:tcPr>
          <w:p>
            <w:pPr>
              <w:spacing w:after="80" w:before="60"/>
            </w:pPr>
            <w:r>
              <w:rPr>
                <w:b w:val="0"/>
                <w:sz w:val="18"/>
              </w:rPr>
              <w:t>H05/H06 → H10/H11</w:t>
            </w:r>
          </w:p>
        </w:tc>
        <w:tc>
          <w:tcPr>
            <w:tcW w:type="dxa" w:w="4896"/>
            <w:tcMar>
              <w:top w:w="100" w:type="dxa"/>
              <w:left w:w="100" w:type="dxa"/>
              <w:bottom w:w="100" w:type="dxa"/>
              <w:right w:w="100" w:type="dxa"/>
            </w:tcMar>
          </w:tcPr>
          <w:p>
            <w:pPr>
              <w:spacing w:after="80" w:before="60"/>
            </w:pPr>
            <w:r>
              <w:rPr>
                <w:b w:val="0"/>
                <w:sz w:val="18"/>
              </w:rPr>
              <w:t>Planned priority cancellation and microphone/playback stop; never wait for a model to finish monitoring.</w:t>
            </w:r>
          </w:p>
        </w:tc>
      </w:tr>
    </w:tbl>
    <w:p>
      <w:pPr>
        <w:pStyle w:val="Heading2"/>
      </w:pPr>
      <w:r>
        <w:rPr>
          <w:color w:val="000000"/>
        </w:rPr>
        <w:t>Proposed FreeRTOS starting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Context</w:t>
            </w:r>
          </w:p>
        </w:tc>
        <w:tc>
          <w:tcPr>
            <w:tcW w:type="dxa" w:w="2880"/>
            <w:tcMar>
              <w:top w:w="100" w:type="dxa"/>
              <w:left w:w="100" w:type="dxa"/>
              <w:bottom w:w="100" w:type="dxa"/>
              <w:right w:w="100" w:type="dxa"/>
            </w:tcMar>
            <w:shd w:fill="E7EDF4"/>
          </w:tcPr>
          <w:p>
            <w:pPr>
              <w:spacing w:after="80" w:before="60"/>
            </w:pPr>
            <w:r>
              <w:rPr>
                <w:b/>
                <w:sz w:val="18"/>
              </w:rPr>
              <w:t>Initial sketch</w:t>
            </w:r>
          </w:p>
        </w:tc>
        <w:tc>
          <w:tcPr>
            <w:tcW w:type="dxa" w:w="4896"/>
            <w:tcMar>
              <w:top w:w="100" w:type="dxa"/>
              <w:left w:w="100" w:type="dxa"/>
              <w:bottom w:w="100" w:type="dxa"/>
              <w:right w:w="100" w:type="dxa"/>
            </w:tcMar>
            <w:shd w:fill="E7EDF4"/>
          </w:tcPr>
          <w:p>
            <w:pPr>
              <w:spacing w:after="80" w:before="60"/>
            </w:pPr>
            <w:r>
              <w:rPr>
                <w:b/>
                <w:sz w:val="18"/>
              </w:rPr>
              <w:t>Ownership and validation</w:t>
            </w:r>
          </w:p>
        </w:tc>
      </w:tr>
      <w:tr>
        <w:tc>
          <w:tcPr>
            <w:tcW w:type="dxa" w:w="1584"/>
            <w:tcMar>
              <w:top w:w="100" w:type="dxa"/>
              <w:left w:w="100" w:type="dxa"/>
              <w:bottom w:w="100" w:type="dxa"/>
              <w:right w:w="100" w:type="dxa"/>
            </w:tcMar>
          </w:tcPr>
          <w:p>
            <w:pPr>
              <w:spacing w:after="80" w:before="60"/>
            </w:pPr>
            <w:r>
              <w:rPr>
                <w:b w:val="0"/>
                <w:sz w:val="18"/>
              </w:rPr>
              <w:t>Radio callback</w:t>
            </w:r>
          </w:p>
        </w:tc>
        <w:tc>
          <w:tcPr>
            <w:tcW w:type="dxa" w:w="2880"/>
            <w:tcMar>
              <w:top w:w="100" w:type="dxa"/>
              <w:left w:w="100" w:type="dxa"/>
              <w:bottom w:w="100" w:type="dxa"/>
              <w:right w:w="100" w:type="dxa"/>
            </w:tcMar>
          </w:tcPr>
          <w:p>
            <w:pPr>
              <w:spacing w:after="80" w:before="60"/>
            </w:pPr>
            <w:r>
              <w:rPr>
                <w:b w:val="0"/>
                <w:sz w:val="18"/>
              </w:rPr>
              <w:t>No business task work</w:t>
            </w:r>
          </w:p>
        </w:tc>
        <w:tc>
          <w:tcPr>
            <w:tcW w:type="dxa" w:w="4896"/>
            <w:tcMar>
              <w:top w:w="100" w:type="dxa"/>
              <w:left w:w="100" w:type="dxa"/>
              <w:bottom w:w="100" w:type="dxa"/>
              <w:right w:w="100" w:type="dxa"/>
            </w:tcMar>
          </w:tcPr>
          <w:p>
            <w:pPr>
              <w:spacing w:after="80" w:before="60"/>
            </w:pPr>
            <w:r>
              <w:rPr>
                <w:b w:val="0"/>
                <w:sz w:val="18"/>
              </w:rPr>
              <w:t>Validate/copy a bounded frame; enqueue; return. Callback latency must be measured.</w:t>
            </w:r>
          </w:p>
        </w:tc>
      </w:tr>
      <w:tr>
        <w:tc>
          <w:tcPr>
            <w:tcW w:type="dxa" w:w="1584"/>
            <w:tcMar>
              <w:top w:w="100" w:type="dxa"/>
              <w:left w:w="100" w:type="dxa"/>
              <w:bottom w:w="100" w:type="dxa"/>
              <w:right w:w="100" w:type="dxa"/>
            </w:tcMar>
          </w:tcPr>
          <w:p>
            <w:pPr>
              <w:spacing w:after="80" w:before="60"/>
            </w:pPr>
            <w:r>
              <w:rPr>
                <w:b w:val="0"/>
                <w:sz w:val="18"/>
              </w:rPr>
              <w:t>hub_event_task</w:t>
            </w:r>
          </w:p>
        </w:tc>
        <w:tc>
          <w:tcPr>
            <w:tcW w:type="dxa" w:w="2880"/>
            <w:tcMar>
              <w:top w:w="100" w:type="dxa"/>
              <w:left w:w="100" w:type="dxa"/>
              <w:bottom w:w="100" w:type="dxa"/>
              <w:right w:w="100" w:type="dxa"/>
            </w:tcMar>
          </w:tcPr>
          <w:p>
            <w:pPr>
              <w:spacing w:after="80" w:before="60"/>
            </w:pPr>
            <w:r>
              <w:rPr>
                <w:b w:val="0"/>
                <w:sz w:val="18"/>
              </w:rPr>
              <w:t>Priority 8; 8 KiB stack</w:t>
            </w:r>
          </w:p>
        </w:tc>
        <w:tc>
          <w:tcPr>
            <w:tcW w:type="dxa" w:w="4896"/>
            <w:tcMar>
              <w:top w:w="100" w:type="dxa"/>
              <w:left w:w="100" w:type="dxa"/>
              <w:bottom w:w="100" w:type="dxa"/>
              <w:right w:w="100" w:type="dxa"/>
            </w:tcMar>
          </w:tcPr>
          <w:p>
            <w:pPr>
              <w:spacing w:after="80" w:before="60"/>
            </w:pPr>
            <w:r>
              <w:rPr>
                <w:b w:val="0"/>
                <w:sz w:val="18"/>
              </w:rPr>
              <w:t>Own state, commit and decisions. Measure stack and scheduling latency under replay.</w:t>
            </w:r>
          </w:p>
        </w:tc>
      </w:tr>
      <w:tr>
        <w:tc>
          <w:tcPr>
            <w:tcW w:type="dxa" w:w="1584"/>
            <w:tcMar>
              <w:top w:w="100" w:type="dxa"/>
              <w:left w:w="100" w:type="dxa"/>
              <w:bottom w:w="100" w:type="dxa"/>
              <w:right w:w="100" w:type="dxa"/>
            </w:tcMar>
          </w:tcPr>
          <w:p>
            <w:pPr>
              <w:spacing w:after="80" w:before="60"/>
            </w:pPr>
            <w:r>
              <w:rPr>
                <w:b w:val="0"/>
                <w:sz w:val="18"/>
              </w:rPr>
              <w:t>cloud_sync_task</w:t>
            </w:r>
          </w:p>
        </w:tc>
        <w:tc>
          <w:tcPr>
            <w:tcW w:type="dxa" w:w="2880"/>
            <w:tcMar>
              <w:top w:w="100" w:type="dxa"/>
              <w:left w:w="100" w:type="dxa"/>
              <w:bottom w:w="100" w:type="dxa"/>
              <w:right w:w="100" w:type="dxa"/>
            </w:tcMar>
          </w:tcPr>
          <w:p>
            <w:pPr>
              <w:spacing w:after="80" w:before="60"/>
            </w:pPr>
            <w:r>
              <w:rPr>
                <w:b w:val="0"/>
                <w:sz w:val="18"/>
              </w:rPr>
              <w:t>Priority 5; 8 KiB stack</w:t>
            </w:r>
          </w:p>
        </w:tc>
        <w:tc>
          <w:tcPr>
            <w:tcW w:type="dxa" w:w="4896"/>
            <w:tcMar>
              <w:top w:w="100" w:type="dxa"/>
              <w:left w:w="100" w:type="dxa"/>
              <w:bottom w:w="100" w:type="dxa"/>
              <w:right w:w="100" w:type="dxa"/>
            </w:tcMar>
          </w:tcPr>
          <w:p>
            <w:pPr>
              <w:spacing w:after="80" w:before="60"/>
            </w:pPr>
            <w:r>
              <w:rPr>
                <w:b w:val="0"/>
                <w:sz w:val="18"/>
              </w:rPr>
              <w:t>Own remote transport; request snapshots and enqueue ACK/config commands to state owner.</w:t>
            </w:r>
          </w:p>
        </w:tc>
      </w:tr>
      <w:tr>
        <w:tc>
          <w:tcPr>
            <w:tcW w:type="dxa" w:w="1584"/>
            <w:tcMar>
              <w:top w:w="100" w:type="dxa"/>
              <w:left w:w="100" w:type="dxa"/>
              <w:bottom w:w="100" w:type="dxa"/>
              <w:right w:w="100" w:type="dxa"/>
            </w:tcMar>
          </w:tcPr>
          <w:p>
            <w:pPr>
              <w:spacing w:after="80" w:before="60"/>
            </w:pPr>
            <w:r>
              <w:rPr>
                <w:b w:val="0"/>
                <w:sz w:val="18"/>
              </w:rPr>
              <w:t>ui_task</w:t>
            </w:r>
          </w:p>
        </w:tc>
        <w:tc>
          <w:tcPr>
            <w:tcW w:type="dxa" w:w="2880"/>
            <w:tcMar>
              <w:top w:w="100" w:type="dxa"/>
              <w:left w:w="100" w:type="dxa"/>
              <w:bottom w:w="100" w:type="dxa"/>
              <w:right w:w="100" w:type="dxa"/>
            </w:tcMar>
          </w:tcPr>
          <w:p>
            <w:pPr>
              <w:spacing w:after="80" w:before="60"/>
            </w:pPr>
            <w:r>
              <w:rPr>
                <w:b w:val="0"/>
                <w:sz w:val="18"/>
              </w:rPr>
              <w:t>Priority 6; 5 KiB stack</w:t>
            </w:r>
          </w:p>
        </w:tc>
        <w:tc>
          <w:tcPr>
            <w:tcW w:type="dxa" w:w="4896"/>
            <w:tcMar>
              <w:top w:w="100" w:type="dxa"/>
              <w:left w:w="100" w:type="dxa"/>
              <w:bottom w:w="100" w:type="dxa"/>
              <w:right w:w="100" w:type="dxa"/>
            </w:tcMar>
          </w:tcPr>
          <w:p>
            <w:pPr>
              <w:spacing w:after="80" w:before="60"/>
            </w:pPr>
            <w:r>
              <w:rPr>
                <w:b w:val="0"/>
                <w:sz w:val="18"/>
              </w:rPr>
              <w:t>Sample/debounce controls and render immutable feedback snapshots.</w:t>
            </w:r>
          </w:p>
        </w:tc>
      </w:tr>
      <w:tr>
        <w:tc>
          <w:tcPr>
            <w:tcW w:type="dxa" w:w="1584"/>
            <w:tcMar>
              <w:top w:w="100" w:type="dxa"/>
              <w:left w:w="100" w:type="dxa"/>
              <w:bottom w:w="100" w:type="dxa"/>
              <w:right w:w="100" w:type="dxa"/>
            </w:tcMar>
          </w:tcPr>
          <w:p>
            <w:pPr>
              <w:spacing w:after="80" w:before="60"/>
            </w:pPr>
            <w:r>
              <w:rPr>
                <w:b w:val="0"/>
                <w:sz w:val="18"/>
              </w:rPr>
              <w:t>maintenance_task</w:t>
            </w:r>
          </w:p>
        </w:tc>
        <w:tc>
          <w:tcPr>
            <w:tcW w:type="dxa" w:w="2880"/>
            <w:tcMar>
              <w:top w:w="100" w:type="dxa"/>
              <w:left w:w="100" w:type="dxa"/>
              <w:bottom w:w="100" w:type="dxa"/>
              <w:right w:w="100" w:type="dxa"/>
            </w:tcMar>
          </w:tcPr>
          <w:p>
            <w:pPr>
              <w:spacing w:after="80" w:before="60"/>
            </w:pPr>
            <w:r>
              <w:rPr>
                <w:b w:val="0"/>
                <w:sz w:val="18"/>
              </w:rPr>
              <w:t>Priority 3; 8 KiB stack</w:t>
            </w:r>
          </w:p>
        </w:tc>
        <w:tc>
          <w:tcPr>
            <w:tcW w:type="dxa" w:w="4896"/>
            <w:tcMar>
              <w:top w:w="100" w:type="dxa"/>
              <w:left w:w="100" w:type="dxa"/>
              <w:bottom w:w="100" w:type="dxa"/>
              <w:right w:w="100" w:type="dxa"/>
            </w:tcMar>
          </w:tcPr>
          <w:p>
            <w:pPr>
              <w:spacing w:after="80" w:before="60"/>
            </w:pPr>
            <w:r>
              <w:rPr>
                <w:b w:val="0"/>
                <w:sz w:val="18"/>
              </w:rPr>
              <w:t>Controlled maintenance/update work; avoid competing flash writers.</w:t>
            </w:r>
          </w:p>
        </w:tc>
      </w:tr>
      <w:tr>
        <w:tc>
          <w:tcPr>
            <w:tcW w:type="dxa" w:w="1584"/>
            <w:tcMar>
              <w:top w:w="100" w:type="dxa"/>
              <w:left w:w="100" w:type="dxa"/>
              <w:bottom w:w="100" w:type="dxa"/>
              <w:right w:w="100" w:type="dxa"/>
            </w:tcMar>
          </w:tcPr>
          <w:p>
            <w:pPr>
              <w:spacing w:after="80" w:before="60"/>
            </w:pPr>
            <w:r>
              <w:rPr>
                <w:b w:val="0"/>
                <w:sz w:val="18"/>
              </w:rPr>
              <w:t>Future AI worker</w:t>
            </w:r>
          </w:p>
        </w:tc>
        <w:tc>
          <w:tcPr>
            <w:tcW w:type="dxa" w:w="2880"/>
            <w:tcMar>
              <w:top w:w="100" w:type="dxa"/>
              <w:left w:w="100" w:type="dxa"/>
              <w:bottom w:w="100" w:type="dxa"/>
              <w:right w:w="100" w:type="dxa"/>
            </w:tcMar>
          </w:tcPr>
          <w:p>
            <w:pPr>
              <w:spacing w:after="80" w:before="60"/>
            </w:pPr>
            <w:r>
              <w:rPr>
                <w:b w:val="0"/>
                <w:sz w:val="18"/>
              </w:rPr>
              <w:t>Not sized</w:t>
            </w:r>
          </w:p>
        </w:tc>
        <w:tc>
          <w:tcPr>
            <w:tcW w:type="dxa" w:w="4896"/>
            <w:tcMar>
              <w:top w:w="100" w:type="dxa"/>
              <w:left w:w="100" w:type="dxa"/>
              <w:bottom w:w="100" w:type="dxa"/>
              <w:right w:w="100" w:type="dxa"/>
            </w:tcMar>
          </w:tcPr>
          <w:p>
            <w:pPr>
              <w:spacing w:after="80" w:before="60"/>
            </w:pPr>
            <w:r>
              <w:rPr>
                <w:b w:val="0"/>
                <w:sz w:val="18"/>
              </w:rPr>
              <w:t>Separate audio/provider I/O, bounded buffers and cancellation. No priority or stack promise before measurement.</w:t>
            </w:r>
          </w:p>
        </w:tc>
      </w:tr>
    </w:tbl>
    <w:p>
      <w:r>
        <w:t>These are inherited initial estimates, not verified ESP-IDF settings. ESP-IDF projects and actual task creation are not included in the portable reference release. Define static queue sizes, message ownership and persistence acknowledgements before mapping these responsibilities onto tasks.</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1"/>
      </w:pPr>
      <w:r>
        <w:rPr>
          <w:color w:val="000000"/>
        </w:rPr>
        <w:t>1. Purpose and reading map</w:t>
      </w:r>
    </w:p>
    <w:p>
      <w:pPr/>
      <w:r>
        <w:t>The goal is to let another engineer run, trace and extend the software before the ESP32 boards arrive. Every logical module from the requirements baseline has an implemented host boundary or an explicit adapter seam. The design keeps observed facts, coverage and human workflow separate so loss of sensing cannot be mislabeled as resident inactivity.</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400"/>
        <w:gridCol w:w="7960"/>
      </w:tblGrid>
      <w:tr>
        <w:trPr>
          <w:cantSplit/>
          <w:tblHeader w:val="true"/>
        </w:trPr>
        <w:tc>
          <w:tcPr>
            <w:tcW w:type="dxa" w:w="14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Section</w:t>
            </w:r>
          </w:p>
        </w:tc>
        <w:tc>
          <w:tcPr>
            <w:tcW w:type="dxa" w:w="79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Use</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7"/>
              </w:rPr>
              <w:t>2–4</w:t>
            </w:r>
          </w:p>
        </w:tc>
        <w:tc>
          <w:tcPr>
            <w:tcW w:type="dxa" w:w="7960"/>
            <w:tcMar>
              <w:top w:w="80" w:type="dxa"/>
              <w:start w:w="120" w:type="dxa"/>
              <w:bottom w:w="80" w:type="dxa"/>
              <w:end w:w="120" w:type="dxa"/>
            </w:tcMar>
            <w:vAlign w:val="center"/>
          </w:tcPr>
          <w:p>
            <w:pPr>
              <w:keepNext/>
              <w:spacing w:before="0" w:after="60" w:line="240" w:lineRule="auto"/>
            </w:pPr>
            <w:r>
              <w:rPr>
                <w:rFonts w:ascii="Calibri" w:hAnsi="Calibri"/>
                <w:sz w:val="17"/>
              </w:rPr>
              <w:t>Architecture, requirement mapping, runtime/concurrency and communication</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7"/>
              </w:rPr>
              <w:t>5</w:t>
            </w:r>
          </w:p>
        </w:tc>
        <w:tc>
          <w:tcPr>
            <w:tcW w:type="dxa" w:w="7960"/>
            <w:tcMar>
              <w:top w:w="80" w:type="dxa"/>
              <w:start w:w="120" w:type="dxa"/>
              <w:bottom w:w="80" w:type="dxa"/>
              <w:end w:w="120" w:type="dxa"/>
            </w:tcMar>
            <w:vAlign w:val="center"/>
          </w:tcPr>
          <w:p>
            <w:pPr>
              <w:keepNext/>
              <w:spacing w:before="0" w:after="60" w:line="240" w:lineRule="auto"/>
            </w:pPr>
            <w:r>
              <w:rPr>
                <w:rFonts w:ascii="Calibri" w:hAnsi="Calibri"/>
                <w:sz w:val="17"/>
              </w:rPr>
              <w:t>Canonical domain objects, contracts, persistence and idempotency</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7"/>
              </w:rPr>
              <w:t>6–11</w:t>
            </w:r>
          </w:p>
        </w:tc>
        <w:tc>
          <w:tcPr>
            <w:tcW w:type="dxa" w:w="7960"/>
            <w:tcMar>
              <w:top w:w="80" w:type="dxa"/>
              <w:start w:w="120" w:type="dxa"/>
              <w:bottom w:w="80" w:type="dxa"/>
              <w:end w:w="120" w:type="dxa"/>
            </w:tcMar>
            <w:vAlign w:val="center"/>
          </w:tcPr>
          <w:p>
            <w:pPr>
              <w:keepNext/>
              <w:spacing w:before="0" w:after="60" w:line="240" w:lineRule="auto"/>
            </w:pPr>
            <w:r>
              <w:rPr>
                <w:rFonts w:ascii="Calibri" w:hAnsi="Calibri"/>
                <w:sz w:val="17"/>
              </w:rPr>
              <w:t>Per-module LLD for N, H, B, A, S and T modules</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7"/>
              </w:rPr>
              <w:t>12</w:t>
            </w:r>
          </w:p>
        </w:tc>
        <w:tc>
          <w:tcPr>
            <w:tcW w:type="dxa" w:w="7960"/>
            <w:tcMar>
              <w:top w:w="80" w:type="dxa"/>
              <w:start w:w="120" w:type="dxa"/>
              <w:bottom w:w="80" w:type="dxa"/>
              <w:end w:w="120" w:type="dxa"/>
            </w:tcMar>
            <w:vAlign w:val="center"/>
          </w:tcPr>
          <w:p>
            <w:pPr>
              <w:keepNext/>
              <w:spacing w:before="0" w:after="60" w:line="240" w:lineRule="auto"/>
            </w:pPr>
            <w:r>
              <w:rPr>
                <w:rFonts w:ascii="Calibri" w:hAnsi="Calibri"/>
                <w:sz w:val="17"/>
              </w:rPr>
              <w:t>End-to-end flows and failure behavior</w:t>
            </w:r>
          </w:p>
        </w:tc>
      </w:tr>
      <w:tr>
        <w:trPr>
          <w:cantSplit/>
        </w:trPr>
        <w:tc>
          <w:tcPr>
            <w:tcW w:type="dxa" w:w="1400"/>
            <w:tcMar>
              <w:top w:w="80" w:type="dxa"/>
              <w:start w:w="120" w:type="dxa"/>
              <w:bottom w:w="80" w:type="dxa"/>
              <w:end w:w="120" w:type="dxa"/>
            </w:tcMar>
            <w:vAlign w:val="center"/>
          </w:tcPr>
          <w:p>
            <w:pPr>
              <w:spacing w:before="0" w:after="60" w:line="240" w:lineRule="auto"/>
            </w:pPr>
            <w:r>
              <w:rPr>
                <w:rFonts w:ascii="Calibri" w:hAnsi="Calibri"/>
                <w:sz w:val="17"/>
              </w:rPr>
              <w:t>13</w:t>
            </w:r>
          </w:p>
        </w:tc>
        <w:tc>
          <w:tcPr>
            <w:tcW w:type="dxa" w:w="7960"/>
            <w:tcMar>
              <w:top w:w="80" w:type="dxa"/>
              <w:start w:w="120" w:type="dxa"/>
              <w:bottom w:w="80" w:type="dxa"/>
              <w:end w:w="120" w:type="dxa"/>
            </w:tcMar>
            <w:vAlign w:val="center"/>
          </w:tcPr>
          <w:p>
            <w:pPr>
              <w:spacing w:before="0" w:after="60" w:line="240" w:lineRule="auto"/>
            </w:pPr>
            <w:r>
              <w:rPr>
                <w:rFonts w:ascii="Calibri" w:hAnsi="Calibri"/>
                <w:sz w:val="17"/>
              </w:rPr>
              <w:t>Build, verification, implementation order and hardware handoff</w:t>
            </w:r>
          </w:p>
        </w:tc>
      </w:tr>
    </w:tbl>
    <w:p>
      <w:pPr>
        <w:pStyle w:val="Heading2"/>
      </w:pPr>
      <w:r>
        <w:rPr>
          <w:color w:val="000000"/>
        </w:rPr>
        <w:t>Terminology and claims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Term</w:t>
            </w:r>
          </w:p>
        </w:tc>
        <w:tc>
          <w:tcPr>
            <w:tcW w:type="dxa" w:w="74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Meaning</w:t>
            </w:r>
          </w:p>
        </w:tc>
      </w:tr>
      <w:tr>
        <w:trPr>
          <w:cantSplit/>
        </w:trPr>
        <w:tc>
          <w:tcPr>
            <w:tcW w:type="dxa" w:w="1900"/>
            <w:tcMar>
              <w:top w:w="80" w:type="dxa"/>
              <w:start w:w="120" w:type="dxa"/>
              <w:bottom w:w="80" w:type="dxa"/>
              <w:end w:w="120" w:type="dxa"/>
            </w:tcMar>
            <w:vAlign w:val="center"/>
          </w:tcPr>
          <w:p>
            <w:pPr>
              <w:keepNext/>
              <w:spacing w:before="0" w:after="60" w:line="240" w:lineRule="auto"/>
            </w:pPr>
            <w:r>
              <w:rPr>
                <w:rFonts w:ascii="Calibri" w:hAnsi="Calibri"/>
                <w:sz w:val="17"/>
              </w:rPr>
              <w:t>Host-implemented</w:t>
            </w:r>
          </w:p>
        </w:tc>
        <w:tc>
          <w:tcPr>
            <w:tcW w:type="dxa" w:w="7460"/>
            <w:tcMar>
              <w:top w:w="80" w:type="dxa"/>
              <w:start w:w="120" w:type="dxa"/>
              <w:bottom w:w="80" w:type="dxa"/>
              <w:end w:w="120" w:type="dxa"/>
            </w:tcMar>
            <w:vAlign w:val="center"/>
          </w:tcPr>
          <w:p>
            <w:pPr>
              <w:keepNext/>
              <w:spacing w:before="0" w:after="60" w:line="240" w:lineRule="auto"/>
            </w:pPr>
            <w:r>
              <w:rPr>
                <w:rFonts w:ascii="Calibri" w:hAnsi="Calibri"/>
                <w:sz w:val="17"/>
              </w:rPr>
              <w:t>Executable deterministic code exists and passes included host checks.</w:t>
            </w:r>
          </w:p>
        </w:tc>
      </w:tr>
      <w:tr>
        <w:trPr>
          <w:cantSplit/>
        </w:trPr>
        <w:tc>
          <w:tcPr>
            <w:tcW w:type="dxa" w:w="1900"/>
            <w:tcMar>
              <w:top w:w="80" w:type="dxa"/>
              <w:start w:w="120" w:type="dxa"/>
              <w:bottom w:w="80" w:type="dxa"/>
              <w:end w:w="120" w:type="dxa"/>
            </w:tcMar>
            <w:vAlign w:val="center"/>
          </w:tcPr>
          <w:p>
            <w:pPr>
              <w:keepNext/>
              <w:spacing w:before="0" w:after="60" w:line="240" w:lineRule="auto"/>
            </w:pPr>
            <w:r>
              <w:rPr>
                <w:rFonts w:ascii="Calibri" w:hAnsi="Calibri"/>
                <w:sz w:val="17"/>
              </w:rPr>
              <w:t>Adapter pending</w:t>
            </w:r>
          </w:p>
        </w:tc>
        <w:tc>
          <w:tcPr>
            <w:tcW w:type="dxa" w:w="7460"/>
            <w:tcMar>
              <w:top w:w="80" w:type="dxa"/>
              <w:start w:w="120" w:type="dxa"/>
              <w:bottom w:w="80" w:type="dxa"/>
              <w:end w:w="120" w:type="dxa"/>
            </w:tcMar>
            <w:vAlign w:val="center"/>
          </w:tcPr>
          <w:p>
            <w:pPr>
              <w:keepNext/>
              <w:spacing w:before="0" w:after="60" w:line="240" w:lineRule="auto"/>
            </w:pPr>
            <w:r>
              <w:rPr>
                <w:rFonts w:ascii="Calibri" w:hAnsi="Calibri"/>
                <w:sz w:val="17"/>
              </w:rPr>
              <w:t>Interface/policy exists; selected ESP-IDF, database or provider integration is not claimed.</w:t>
            </w:r>
          </w:p>
        </w:tc>
      </w:tr>
      <w:tr>
        <w:trPr>
          <w:cantSplit/>
        </w:trPr>
        <w:tc>
          <w:tcPr>
            <w:tcW w:type="dxa" w:w="1900"/>
            <w:tcMar>
              <w:top w:w="80" w:type="dxa"/>
              <w:start w:w="120" w:type="dxa"/>
              <w:bottom w:w="80" w:type="dxa"/>
              <w:end w:w="120" w:type="dxa"/>
            </w:tcMar>
            <w:vAlign w:val="center"/>
          </w:tcPr>
          <w:p>
            <w:pPr>
              <w:keepNext/>
              <w:spacing w:before="0" w:after="60" w:line="240" w:lineRule="auto"/>
            </w:pPr>
            <w:r>
              <w:rPr>
                <w:rFonts w:ascii="Calibri" w:hAnsi="Calibri"/>
                <w:sz w:val="17"/>
              </w:rPr>
              <w:t>Hardware-qualified</w:t>
            </w:r>
          </w:p>
        </w:tc>
        <w:tc>
          <w:tcPr>
            <w:tcW w:type="dxa" w:w="7460"/>
            <w:tcMar>
              <w:top w:w="80" w:type="dxa"/>
              <w:start w:w="120" w:type="dxa"/>
              <w:bottom w:w="80" w:type="dxa"/>
              <w:end w:w="120" w:type="dxa"/>
            </w:tcMar>
            <w:vAlign w:val="center"/>
          </w:tcPr>
          <w:p>
            <w:pPr>
              <w:keepNext/>
              <w:spacing w:before="0" w:after="60" w:line="240" w:lineRule="auto"/>
            </w:pPr>
            <w:r>
              <w:rPr>
                <w:rFonts w:ascii="Calibri" w:hAnsi="Calibri"/>
                <w:sz w:val="17"/>
              </w:rPr>
              <w:t>Not achieved by this package; requires exact boards, cells, sensors, enclosure and test evidence.</w:t>
            </w:r>
          </w:p>
        </w:tc>
      </w:tr>
      <w:tr>
        <w:trPr>
          <w:cantSplit/>
        </w:trPr>
        <w:tc>
          <w:tcPr>
            <w:tcW w:type="dxa" w:w="1900"/>
            <w:tcMar>
              <w:top w:w="80" w:type="dxa"/>
              <w:start w:w="120" w:type="dxa"/>
              <w:bottom w:w="80" w:type="dxa"/>
              <w:end w:w="120" w:type="dxa"/>
            </w:tcMar>
            <w:vAlign w:val="center"/>
          </w:tcPr>
          <w:p>
            <w:pPr>
              <w:spacing w:before="0" w:after="60" w:line="240" w:lineRule="auto"/>
            </w:pPr>
            <w:r>
              <w:rPr>
                <w:rFonts w:ascii="Calibri" w:hAnsi="Calibri"/>
                <w:sz w:val="17"/>
              </w:rPr>
              <w:t>P0 product boundary</w:t>
            </w:r>
          </w:p>
        </w:tc>
        <w:tc>
          <w:tcPr>
            <w:tcW w:type="dxa" w:w="7460"/>
            <w:tcMar>
              <w:top w:w="80" w:type="dxa"/>
              <w:start w:w="120" w:type="dxa"/>
              <w:bottom w:w="80" w:type="dxa"/>
              <w:end w:w="120" w:type="dxa"/>
            </w:tcMar>
            <w:vAlign w:val="center"/>
          </w:tcPr>
          <w:p>
            <w:pPr>
              <w:spacing w:before="0" w:after="60" w:line="240" w:lineRule="auto"/>
            </w:pPr>
            <w:r>
              <w:rPr>
                <w:rFonts w:ascii="Calibri" w:hAnsi="Calibri"/>
                <w:sz w:val="17"/>
              </w:rPr>
              <w:t>Household/location activity and explicit check-ins; no medical safety, identity, fall, meal or medication claim.</w:t>
            </w:r>
          </w:p>
        </w:tc>
      </w:tr>
    </w:tbl>
    <w:p>
      <w:pPr>
        <w:pStyle w:val="Heading1"/>
      </w:pPr>
      <w:r>
        <w:rPr>
          <w:color w:val="000000"/>
        </w:rPr>
        <w:t>2. Architecture and dependency direction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500"/>
        <w:gridCol w:w="1800"/>
        <w:gridCol w:w="3100"/>
        <w:gridCol w:w="2960"/>
      </w:tblGrid>
      <w:tr>
        <w:trPr>
          <w:cantSplit/>
          <w:tblHeader w:val="true"/>
        </w:trPr>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Layer</w:t>
            </w:r>
          </w:p>
        </w:tc>
        <w:tc>
          <w:tcPr>
            <w:tcW w:type="dxa" w:w="1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Runtime</w:t>
            </w:r>
          </w:p>
        </w:tc>
        <w:tc>
          <w:tcPr>
            <w:tcW w:type="dxa" w:w="31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Primary responsibility</w:t>
            </w:r>
          </w:p>
        </w:tc>
        <w:tc>
          <w:tcPr>
            <w:tcW w:type="dxa" w:w="29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Dependency rule</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ESP32-C3 node</w:t>
            </w:r>
          </w:p>
        </w:tc>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Sleep/wake firmware</w:t>
            </w:r>
          </w:p>
        </w:tc>
        <w:tc>
          <w:tcPr>
            <w:tcW w:type="dxa" w:w="3100"/>
            <w:tcMar>
              <w:top w:w="80" w:type="dxa"/>
              <w:start w:w="120" w:type="dxa"/>
              <w:bottom w:w="80" w:type="dxa"/>
              <w:end w:w="120" w:type="dxa"/>
            </w:tcMar>
            <w:vAlign w:val="center"/>
          </w:tcPr>
          <w:p>
            <w:pPr>
              <w:keepNext/>
              <w:spacing w:before="0" w:after="60" w:line="240" w:lineRule="auto"/>
            </w:pPr>
            <w:r>
              <w:rPr>
                <w:rFonts w:ascii="Calibri" w:hAnsi="Calibri"/>
                <w:sz w:val="16"/>
              </w:rPr>
              <w:t>Qualify input; persist; retry until application ACK</w:t>
            </w:r>
          </w:p>
        </w:tc>
        <w:tc>
          <w:tcPr>
            <w:tcW w:type="dxa" w:w="2960"/>
            <w:tcMar>
              <w:top w:w="80" w:type="dxa"/>
              <w:start w:w="120" w:type="dxa"/>
              <w:bottom w:w="80" w:type="dxa"/>
              <w:end w:w="120" w:type="dxa"/>
            </w:tcMar>
            <w:vAlign w:val="center"/>
          </w:tcPr>
          <w:p>
            <w:pPr>
              <w:keepNext/>
              <w:spacing w:before="0" w:after="60" w:line="240" w:lineRule="auto"/>
            </w:pPr>
            <w:r>
              <w:rPr>
                <w:rFonts w:ascii="Calibri" w:hAnsi="Calibri"/>
                <w:sz w:val="16"/>
              </w:rPr>
              <w:t>Depends on shared values/ports, never backend/app</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ESP32 hub</w:t>
            </w:r>
          </w:p>
        </w:tc>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ESP-IDF + FreeRTOS</w:t>
            </w:r>
          </w:p>
        </w:tc>
        <w:tc>
          <w:tcPr>
            <w:tcW w:type="dxa" w:w="3100"/>
            <w:tcMar>
              <w:top w:w="80" w:type="dxa"/>
              <w:start w:w="120" w:type="dxa"/>
              <w:bottom w:w="80" w:type="dxa"/>
              <w:end w:w="120" w:type="dxa"/>
            </w:tcMar>
            <w:vAlign w:val="center"/>
          </w:tcPr>
          <w:p>
            <w:pPr>
              <w:keepNext/>
              <w:spacing w:before="0" w:after="60" w:line="240" w:lineRule="auto"/>
            </w:pPr>
            <w:r>
              <w:rPr>
                <w:rFonts w:ascii="Calibri" w:hAnsi="Calibri"/>
                <w:sz w:val="16"/>
              </w:rPr>
              <w:t>Durable ingest, coverage, local rules, resident UI, cloud outbox</w:t>
            </w:r>
          </w:p>
        </w:tc>
        <w:tc>
          <w:tcPr>
            <w:tcW w:type="dxa" w:w="2960"/>
            <w:tcMar>
              <w:top w:w="80" w:type="dxa"/>
              <w:start w:w="120" w:type="dxa"/>
              <w:bottom w:w="80" w:type="dxa"/>
              <w:end w:w="120" w:type="dxa"/>
            </w:tcMar>
            <w:vAlign w:val="center"/>
          </w:tcPr>
          <w:p>
            <w:pPr>
              <w:keepNext/>
              <w:spacing w:before="0" w:after="60" w:line="240" w:lineRule="auto"/>
            </w:pPr>
            <w:r>
              <w:rPr>
                <w:rFonts w:ascii="Calibri" w:hAnsi="Calibri"/>
                <w:sz w:val="16"/>
              </w:rPr>
              <w:t>One state writer; drivers enqueue</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Backend</w:t>
            </w:r>
          </w:p>
        </w:tc>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Python modular monolith</w:t>
            </w:r>
          </w:p>
        </w:tc>
        <w:tc>
          <w:tcPr>
            <w:tcW w:type="dxa" w:w="3100"/>
            <w:tcMar>
              <w:top w:w="80" w:type="dxa"/>
              <w:start w:w="120" w:type="dxa"/>
              <w:bottom w:w="80" w:type="dxa"/>
              <w:end w:w="120" w:type="dxa"/>
            </w:tcMar>
            <w:vAlign w:val="center"/>
          </w:tcPr>
          <w:p>
            <w:pPr>
              <w:keepNext/>
              <w:spacing w:before="0" w:after="60" w:line="240" w:lineRule="auto"/>
            </w:pPr>
            <w:r>
              <w:rPr>
                <w:rFonts w:ascii="Calibri" w:hAnsi="Calibri"/>
                <w:sz w:val="16"/>
              </w:rPr>
              <w:t>Access, durable cloud ingest, workflow, delivery, projections</w:t>
            </w:r>
          </w:p>
        </w:tc>
        <w:tc>
          <w:tcPr>
            <w:tcW w:type="dxa" w:w="2960"/>
            <w:tcMar>
              <w:top w:w="80" w:type="dxa"/>
              <w:start w:w="120" w:type="dxa"/>
              <w:bottom w:w="80" w:type="dxa"/>
              <w:end w:w="120" w:type="dxa"/>
            </w:tcMar>
            <w:vAlign w:val="center"/>
          </w:tcPr>
          <w:p>
            <w:pPr>
              <w:keepNext/>
              <w:spacing w:before="0" w:after="60" w:line="240" w:lineRule="auto"/>
            </w:pPr>
            <w:r>
              <w:rPr>
                <w:rFonts w:ascii="Calibri" w:hAnsi="Calibri"/>
                <w:sz w:val="16"/>
              </w:rPr>
              <w:t>Handlers → services → repositories</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Caregiver app</w:t>
            </w:r>
          </w:p>
        </w:tc>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PWA/browser</w:t>
            </w:r>
          </w:p>
        </w:tc>
        <w:tc>
          <w:tcPr>
            <w:tcW w:type="dxa" w:w="3100"/>
            <w:tcMar>
              <w:top w:w="80" w:type="dxa"/>
              <w:start w:w="120" w:type="dxa"/>
              <w:bottom w:w="80" w:type="dxa"/>
              <w:end w:w="120" w:type="dxa"/>
            </w:tcMar>
            <w:vAlign w:val="center"/>
          </w:tcPr>
          <w:p>
            <w:pPr>
              <w:keepNext/>
              <w:spacing w:before="0" w:after="60" w:line="240" w:lineRule="auto"/>
            </w:pPr>
            <w:r>
              <w:rPr>
                <w:rFonts w:ascii="Calibri" w:hAnsi="Calibri"/>
                <w:sz w:val="16"/>
              </w:rPr>
              <w:t>Present evidence/freshness and submit human commands</w:t>
            </w:r>
          </w:p>
        </w:tc>
        <w:tc>
          <w:tcPr>
            <w:tcW w:type="dxa" w:w="2960"/>
            <w:tcMar>
              <w:top w:w="80" w:type="dxa"/>
              <w:start w:w="120" w:type="dxa"/>
              <w:bottom w:w="80" w:type="dxa"/>
              <w:end w:w="120" w:type="dxa"/>
            </w:tcMar>
            <w:vAlign w:val="center"/>
          </w:tcPr>
          <w:p>
            <w:pPr>
              <w:keepNext/>
              <w:spacing w:before="0" w:after="60" w:line="240" w:lineRule="auto"/>
            </w:pPr>
            <w:r>
              <w:rPr>
                <w:rFonts w:ascii="Calibri" w:hAnsi="Calibri"/>
                <w:sz w:val="16"/>
              </w:rPr>
              <w:t>Never creates missing-routine truth</w:t>
            </w:r>
          </w:p>
        </w:tc>
      </w:tr>
      <w:tr>
        <w:trPr>
          <w:cantSplit/>
        </w:trPr>
        <w:tc>
          <w:tcPr>
            <w:tcW w:type="dxa" w:w="1500"/>
            <w:tcMar>
              <w:top w:w="80" w:type="dxa"/>
              <w:start w:w="120" w:type="dxa"/>
              <w:bottom w:w="80" w:type="dxa"/>
              <w:end w:w="120" w:type="dxa"/>
            </w:tcMar>
            <w:vAlign w:val="center"/>
          </w:tcPr>
          <w:p>
            <w:pPr>
              <w:spacing w:before="0" w:after="60" w:line="240" w:lineRule="auto"/>
            </w:pPr>
            <w:r>
              <w:rPr>
                <w:rFonts w:ascii="Calibri" w:hAnsi="Calibri"/>
                <w:sz w:val="16"/>
              </w:rPr>
              <w:t>Shared/test/ops</w:t>
            </w:r>
          </w:p>
        </w:tc>
        <w:tc>
          <w:tcPr>
            <w:tcW w:type="dxa" w:w="1800"/>
            <w:tcMar>
              <w:top w:w="80" w:type="dxa"/>
              <w:start w:w="120" w:type="dxa"/>
              <w:bottom w:w="80" w:type="dxa"/>
              <w:end w:w="120" w:type="dxa"/>
            </w:tcMar>
            <w:vAlign w:val="center"/>
          </w:tcPr>
          <w:p>
            <w:pPr>
              <w:spacing w:before="0" w:after="60" w:line="240" w:lineRule="auto"/>
            </w:pPr>
            <w:r>
              <w:rPr>
                <w:rFonts w:ascii="Calibri" w:hAnsi="Calibri"/>
                <w:sz w:val="16"/>
              </w:rPr>
              <w:t>C++/contracts/tools</w:t>
            </w:r>
          </w:p>
        </w:tc>
        <w:tc>
          <w:tcPr>
            <w:tcW w:type="dxa" w:w="3100"/>
            <w:tcMar>
              <w:top w:w="80" w:type="dxa"/>
              <w:start w:w="120" w:type="dxa"/>
              <w:bottom w:w="80" w:type="dxa"/>
              <w:end w:w="120" w:type="dxa"/>
            </w:tcMar>
            <w:vAlign w:val="center"/>
          </w:tcPr>
          <w:p>
            <w:pPr>
              <w:spacing w:before="0" w:after="60" w:line="240" w:lineRule="auto"/>
            </w:pPr>
            <w:r>
              <w:rPr>
                <w:rFonts w:ascii="Calibri" w:hAnsi="Calibri"/>
                <w:sz w:val="16"/>
              </w:rPr>
              <w:t>Canonical contracts, deterministic rules, verification and operation</w:t>
            </w:r>
          </w:p>
        </w:tc>
        <w:tc>
          <w:tcPr>
            <w:tcW w:type="dxa" w:w="2960"/>
            <w:tcMar>
              <w:top w:w="80" w:type="dxa"/>
              <w:start w:w="120" w:type="dxa"/>
              <w:bottom w:w="80" w:type="dxa"/>
              <w:end w:w="120" w:type="dxa"/>
            </w:tcMar>
            <w:vAlign w:val="center"/>
          </w:tcPr>
          <w:p>
            <w:pPr>
              <w:spacing w:before="0" w:after="60" w:line="240" w:lineRule="auto"/>
            </w:pPr>
            <w:r>
              <w:rPr>
                <w:rFonts w:ascii="Calibri" w:hAnsi="Calibri"/>
                <w:sz w:val="16"/>
              </w:rPr>
              <w:t>No provider SDK inside domain</w:t>
            </w:r>
          </w:p>
        </w:tc>
      </w:tr>
    </w:tbl>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9360"/>
      </w:tblGrid>
      <w:tr>
        <w:trPr>
          <w:cantSplit/>
        </w:trPr>
        <w:tc>
          <w:tcPr>
            <w:tcW w:type="dxa" w:w="9360"/>
            <w:tcMar>
              <w:top w:w="80" w:type="dxa"/>
              <w:start w:w="120" w:type="dxa"/>
              <w:bottom w:w="80" w:type="dxa"/>
              <w:end w:w="120" w:type="dxa"/>
            </w:tcMar>
            <w:vAlign w:val="center"/>
            <w:shd w:fill="F4F6F9"/>
          </w:tcPr>
          <w:p>
            <w:pPr>
              <w:spacing w:before="0" w:after="60" w:line="240" w:lineRule="auto"/>
            </w:pPr>
            <w:r>
              <w:rPr>
                <w:rFonts w:ascii="Calibri" w:hAnsi="Calibri"/>
                <w:b/>
                <w:color w:val="1F4D78"/>
                <w:sz w:val="19"/>
              </w:rPr>
              <w:t>Single-writer invariant: hub_event_task alone mutates routine, coverage-dependent decision and applied-config state. Backend alone owns caregiver claims, resolution and notification delivery state.</w:t>
            </w:r>
          </w:p>
        </w:tc>
      </w:tr>
    </w:tbl>
    <w:p>
      <w:pPr>
        <w:pStyle w:val="Heading2"/>
      </w:pPr>
      <w:r>
        <w:rPr>
          <w:color w:val="000000"/>
        </w:rPr>
        <w:t>Portable composition</w:t>
      </w:r>
    </w:p>
    <w:p>
      <w:pPr/>
      <w:r>
        <w:t>NodeRuntime composes N02/N05 around the canonical DomainEvent. HubRuntime composes H01/H02/H04/H05 and exposes callback, state-step and deadline operations. Host execution calls them synchronously; ESP-IDF binds the same calls to bounded queues and FreeRTOS tasks.</w:t>
      </w:r>
    </w:p>
    <w:p>
      <w:pPr>
        <w:pStyle w:val="Code"/>
      </w:pPr>
      <w:r>
        <w:t>radio_callback: authenticate → fixed-value copy → radio_rx_queue</w:t>
        <w:br/>
        <w:t>hub_event_task: pop → privacy gate → journal commit → coverage → S02 rule → application ACK</w:t>
        <w:br/>
        <w:t>cloud_sync_task: committed outbox → MQTT QoS1 → backend transaction → DB_COMMITTED ACK</w:t>
      </w:r>
    </w:p>
    <w:p>
      <w:pPr>
        <w:pStyle w:val="Heading1"/>
      </w:pPr>
      <w:r>
        <w:rPr>
          <w:color w:val="000000"/>
        </w:rPr>
        <w:t>3. Requirement-to-module mapping</w:t>
      </w:r>
    </w:p>
    <w:p>
      <w:pPr/>
      <w:r>
        <w:t>Requirement IDs define behavior and acceptance; module IDs identify collaborating code owners. The ownership list does not imply call order or separate deployables. Prefixes: N node, H hub, B backend, A app, S shared and T test/operations.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000"/>
        <w:gridCol w:w="3900"/>
        <w:gridCol w:w="4460"/>
      </w:tblGrid>
      <w:tr>
        <w:trPr>
          <w:cantSplit/>
          <w:tblHeader w:val="true"/>
        </w:trPr>
        <w:tc>
          <w:tcPr>
            <w:tcW w:type="dxa" w:w="1000"/>
            <w:tcMar>
              <w:top w:w="80" w:type="dxa"/>
              <w:start w:w="120" w:type="dxa"/>
              <w:bottom w:w="80" w:type="dxa"/>
              <w:end w:w="120" w:type="dxa"/>
            </w:tcMar>
            <w:vAlign w:val="center"/>
            <w:shd w:fill="E8EEF5"/>
          </w:tcPr>
          <w:p>
            <w:pPr>
              <w:spacing w:before="0" w:after="60" w:line="240" w:lineRule="auto"/>
            </w:pPr>
            <w:r>
              <w:rPr>
                <w:rFonts w:ascii="Calibri" w:hAnsi="Calibri"/>
                <w:b/>
                <w:color w:val="1F4D78"/>
                <w:sz w:val="16"/>
              </w:rPr>
              <w:t>Requirement</w:t>
            </w:r>
          </w:p>
        </w:tc>
        <w:tc>
          <w:tcPr>
            <w:tcW w:type="dxa" w:w="3900"/>
            <w:tcMar>
              <w:top w:w="80" w:type="dxa"/>
              <w:start w:w="120" w:type="dxa"/>
              <w:bottom w:w="80" w:type="dxa"/>
              <w:end w:w="120" w:type="dxa"/>
            </w:tcMar>
            <w:vAlign w:val="center"/>
            <w:shd w:fill="E8EEF5"/>
          </w:tcPr>
          <w:p>
            <w:pPr>
              <w:spacing w:before="0" w:after="60" w:line="240" w:lineRule="auto"/>
            </w:pPr>
            <w:r>
              <w:rPr>
                <w:rFonts w:ascii="Calibri" w:hAnsi="Calibri"/>
                <w:b/>
                <w:color w:val="1F4D78"/>
                <w:sz w:val="16"/>
              </w:rPr>
              <w:t>Capability</w:t>
            </w:r>
          </w:p>
        </w:tc>
        <w:tc>
          <w:tcPr>
            <w:tcW w:type="dxa" w:w="4460"/>
            <w:tcMar>
              <w:top w:w="80" w:type="dxa"/>
              <w:start w:w="120" w:type="dxa"/>
              <w:bottom w:w="80" w:type="dxa"/>
              <w:end w:w="120" w:type="dxa"/>
            </w:tcMar>
            <w:vAlign w:val="center"/>
            <w:shd w:fill="E8EEF5"/>
          </w:tcPr>
          <w:p>
            <w:pPr>
              <w:spacing w:before="0" w:after="60" w:line="240" w:lineRule="auto"/>
            </w:pPr>
            <w:r>
              <w:rPr>
                <w:rFonts w:ascii="Calibri" w:hAnsi="Calibri"/>
                <w:b/>
                <w:color w:val="1F4D78"/>
                <w:sz w:val="16"/>
              </w:rPr>
              <w:t>Owning modules</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F01</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Household profile and caregiver roles</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B01, B02, A01, S01</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F02</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Resident consent and privacy controls</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B02, H06, H07, A01, B08</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F03</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Kit provisioning and installation verification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N04, H07, B06, A01, S03, T02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F04</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Configurable morning routine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A03, B06, H07, H03, H05, S02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F05</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Morning activity evidence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N01, H01, H02, H05, S02, B07,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F06</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Explicit I’m OK check-in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H06, H02, H05, S02, B07,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F07</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Call family request</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H06, H02, H05, B04, B05, A04</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F08</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Missing morning activity workflow</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H03, H04, H05, S02, B04, B05</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F09</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Main-door history and quiet notice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N01, H05, S02, B07, B05,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F10</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Away, pause and visitor modes</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A03, B02, H07, H06, H05, S02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F11</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Caregiver dashboard and timeline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B07, B08, A02, A05</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F12</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Acknowledgement and resolution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B04, B07, B05, A04, H08</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F13</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Backup routing and delivery visibility</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B05, B04, B08, A04, A05</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F14</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Opt-in daily morning summary</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B05, B07, A03,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E01</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Node health, battery and coverage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N03, N02, H04, B08,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E02</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Reliable transport and duplicate handling</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N02, N05, H01, H02, H08, B03, S01</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E03</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Local operation during internet failure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H03, H04, H05, H06, H02, H08</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E04</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Hub/cloud/app connectivity and freshness</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H08, B08, B07, A05,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E05</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Persistence, recovery and bounded storage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N05, H02, B03, B04, B05, B08</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E06</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Trusted time and boundary handling</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H03, H07, H05, S01, S02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E07</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Versioned configuration and atomic application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B06, A03, H07, N04, H08, S01</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E08</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Security, privacy and tenant isolation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S03, B01, B02, B06, B08, A05, T01</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E09</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Signed firmware update and recovery</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S03, H07, N04, B06, B08, T02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E10</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Verification, observability and release evidence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B08, A02, T01, T02, T03, H02, H08</w:t>
            </w:r>
          </w:p>
        </w:tc>
      </w:tr>
    </w:tbl>
    <w:p>
      <w:pPr>
        <w:pStyle w:val="Heading2"/>
      </w:pPr>
      <w:r>
        <w:rPr>
          <w:color w:val="000000"/>
        </w:rPr>
        <w:t>F01 worked example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650"/>
        <w:gridCol w:w="1100"/>
        <w:gridCol w:w="4300"/>
        <w:gridCol w:w="3310"/>
      </w:tblGrid>
      <w:tr>
        <w:trPr>
          <w:cantSplit/>
          <w:tblHeader w:val="true"/>
        </w:trPr>
        <w:tc>
          <w:tcPr>
            <w:tcW w:type="dxa" w:w="6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1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Module</w:t>
            </w:r>
          </w:p>
        </w:tc>
        <w:tc>
          <w:tcPr>
            <w:tcW w:type="dxa" w:w="4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Code-level action</w:t>
            </w:r>
          </w:p>
        </w:tc>
        <w:tc>
          <w:tcPr>
            <w:tcW w:type="dxa" w:w="331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Result</w:t>
            </w:r>
          </w:p>
        </w:tc>
      </w:tr>
      <w:tr>
        <w:trPr>
          <w:cantSplit/>
        </w:trPr>
        <w:tc>
          <w:tcPr>
            <w:tcW w:type="dxa" w:w="65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6"/>
              </w:rPr>
              <w:t>A01</w:t>
            </w:r>
          </w:p>
        </w:tc>
        <w:tc>
          <w:tcPr>
            <w:tcW w:type="dxa" w:w="4300"/>
            <w:tcMar>
              <w:top w:w="80" w:type="dxa"/>
              <w:start w:w="120" w:type="dxa"/>
              <w:bottom w:w="80" w:type="dxa"/>
              <w:end w:w="120" w:type="dxa"/>
            </w:tcMar>
            <w:vAlign w:val="center"/>
          </w:tcPr>
          <w:p>
            <w:pPr>
              <w:keepNext/>
              <w:spacing w:before="0" w:after="60" w:line="240" w:lineRule="auto"/>
            </w:pPr>
            <w:r>
              <w:rPr>
                <w:rFonts w:ascii="Calibri" w:hAnsi="Calibri"/>
                <w:sz w:val="16"/>
              </w:rPr>
              <w:t>validateHouseholdDraft → buildCreateHomeCommand</w:t>
            </w:r>
          </w:p>
        </w:tc>
        <w:tc>
          <w:tcPr>
            <w:tcW w:type="dxa" w:w="3310"/>
            <w:tcMar>
              <w:top w:w="80" w:type="dxa"/>
              <w:start w:w="120" w:type="dxa"/>
              <w:bottom w:w="80" w:type="dxa"/>
              <w:end w:w="120" w:type="dxa"/>
            </w:tcMar>
            <w:vAlign w:val="center"/>
          </w:tcPr>
          <w:p>
            <w:pPr>
              <w:keepNext/>
              <w:spacing w:before="0" w:after="60" w:line="240" w:lineRule="auto"/>
            </w:pPr>
            <w:r>
              <w:rPr>
                <w:rFonts w:ascii="Calibri" w:hAnsi="Calibri"/>
                <w:sz w:val="16"/>
              </w:rPr>
              <w:t>Consent/timezone/caregiver errors stop locally</w:t>
            </w:r>
          </w:p>
        </w:tc>
      </w:tr>
      <w:tr>
        <w:trPr>
          <w:cantSplit/>
        </w:trPr>
        <w:tc>
          <w:tcPr>
            <w:tcW w:type="dxa" w:w="65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6"/>
              </w:rPr>
              <w:t>B02</w:t>
            </w:r>
          </w:p>
        </w:tc>
        <w:tc>
          <w:tcPr>
            <w:tcW w:type="dxa" w:w="4300"/>
            <w:tcMar>
              <w:top w:w="80" w:type="dxa"/>
              <w:start w:w="120" w:type="dxa"/>
              <w:bottom w:w="80" w:type="dxa"/>
              <w:end w:w="120" w:type="dxa"/>
            </w:tcMar>
            <w:vAlign w:val="center"/>
          </w:tcPr>
          <w:p>
            <w:pPr>
              <w:keepNext/>
              <w:spacing w:before="0" w:after="60" w:line="240" w:lineRule="auto"/>
            </w:pPr>
            <w:r>
              <w:rPr>
                <w:rFonts w:ascii="Calibri" w:hAnsi="Calibri"/>
                <w:sz w:val="16"/>
              </w:rPr>
              <w:t>HomeService.create</w:t>
            </w:r>
          </w:p>
        </w:tc>
        <w:tc>
          <w:tcPr>
            <w:tcW w:type="dxa" w:w="3310"/>
            <w:tcMar>
              <w:top w:w="80" w:type="dxa"/>
              <w:start w:w="120" w:type="dxa"/>
              <w:bottom w:w="80" w:type="dxa"/>
              <w:end w:w="120" w:type="dxa"/>
            </w:tcMar>
            <w:vAlign w:val="center"/>
          </w:tcPr>
          <w:p>
            <w:pPr>
              <w:keepNext/>
              <w:spacing w:before="0" w:after="60" w:line="240" w:lineRule="auto"/>
            </w:pPr>
            <w:r>
              <w:rPr>
                <w:rFonts w:ascii="Calibri" w:hAnsi="Calibri"/>
                <w:sz w:val="16"/>
              </w:rPr>
              <w:t>Home/resident-consent snapshot is created</w:t>
            </w:r>
          </w:p>
        </w:tc>
      </w:tr>
      <w:tr>
        <w:trPr>
          <w:cantSplit/>
        </w:trPr>
        <w:tc>
          <w:tcPr>
            <w:tcW w:type="dxa" w:w="65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6"/>
              </w:rPr>
              <w:t>B01</w:t>
            </w:r>
          </w:p>
        </w:tc>
        <w:tc>
          <w:tcPr>
            <w:tcW w:type="dxa" w:w="4300"/>
            <w:tcMar>
              <w:top w:w="80" w:type="dxa"/>
              <w:start w:w="120" w:type="dxa"/>
              <w:bottom w:w="80" w:type="dxa"/>
              <w:end w:w="120" w:type="dxa"/>
            </w:tcMar>
            <w:vAlign w:val="center"/>
          </w:tcPr>
          <w:p>
            <w:pPr>
              <w:keepNext/>
              <w:spacing w:before="0" w:after="60" w:line="240" w:lineRule="auto"/>
            </w:pPr>
            <w:r>
              <w:rPr>
                <w:rFonts w:ascii="Calibri" w:hAnsi="Calibri"/>
                <w:sz w:val="16"/>
              </w:rPr>
              <w:t>IdentityService.grant/require</w:t>
            </w:r>
          </w:p>
        </w:tc>
        <w:tc>
          <w:tcPr>
            <w:tcW w:type="dxa" w:w="3310"/>
            <w:tcMar>
              <w:top w:w="80" w:type="dxa"/>
              <w:start w:w="120" w:type="dxa"/>
              <w:bottom w:w="80" w:type="dxa"/>
              <w:end w:w="120" w:type="dxa"/>
            </w:tcMar>
            <w:vAlign w:val="center"/>
          </w:tcPr>
          <w:p>
            <w:pPr>
              <w:keepNext/>
              <w:spacing w:before="0" w:after="60" w:line="240" w:lineRule="auto"/>
            </w:pPr>
            <w:r>
              <w:rPr>
                <w:rFonts w:ascii="Calibri" w:hAnsi="Calibri"/>
                <w:sz w:val="16"/>
              </w:rPr>
              <w:t>Owner and caregivers are home-scoped</w:t>
            </w:r>
          </w:p>
        </w:tc>
      </w:tr>
      <w:tr>
        <w:trPr>
          <w:cantSplit/>
        </w:trPr>
        <w:tc>
          <w:tcPr>
            <w:tcW w:type="dxa" w:w="650"/>
            <w:tcMar>
              <w:top w:w="80" w:type="dxa"/>
              <w:start w:w="120" w:type="dxa"/>
              <w:bottom w:w="80" w:type="dxa"/>
              <w:end w:w="120" w:type="dxa"/>
            </w:tcMar>
            <w:vAlign w:val="center"/>
          </w:tcPr>
          <w:p>
            <w:pPr>
              <w:keepNext/>
              <w:spacing w:before="0" w:after="60" w:line="240" w:lineRule="auto"/>
            </w:pPr>
            <w:r>
              <w:rPr>
                <w:rFonts w:ascii="Calibri" w:hAnsi="Calibri"/>
                <w:sz w:val="16"/>
              </w:rPr>
              <w:t>4</w:t>
            </w:r>
          </w:p>
        </w:tc>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6"/>
              </w:rPr>
              <w:t>S01</w:t>
            </w:r>
          </w:p>
        </w:tc>
        <w:tc>
          <w:tcPr>
            <w:tcW w:type="dxa" w:w="4300"/>
            <w:tcMar>
              <w:top w:w="80" w:type="dxa"/>
              <w:start w:w="120" w:type="dxa"/>
              <w:bottom w:w="80" w:type="dxa"/>
              <w:end w:w="120" w:type="dxa"/>
            </w:tcMar>
            <w:vAlign w:val="center"/>
          </w:tcPr>
          <w:p>
            <w:pPr>
              <w:keepNext/>
              <w:spacing w:before="0" w:after="60" w:line="240" w:lineRule="auto"/>
            </w:pPr>
            <w:r>
              <w:rPr>
                <w:rFonts w:ascii="Calibri" w:hAnsi="Calibri"/>
                <w:sz w:val="16"/>
              </w:rPr>
              <w:t>OpenAPI/config identifiers and versions</w:t>
            </w:r>
          </w:p>
        </w:tc>
        <w:tc>
          <w:tcPr>
            <w:tcW w:type="dxa" w:w="3310"/>
            <w:tcMar>
              <w:top w:w="80" w:type="dxa"/>
              <w:start w:w="120" w:type="dxa"/>
              <w:bottom w:w="80" w:type="dxa"/>
              <w:end w:w="120" w:type="dxa"/>
            </w:tcMar>
            <w:vAlign w:val="center"/>
          </w:tcPr>
          <w:p>
            <w:pPr>
              <w:keepNext/>
              <w:spacing w:before="0" w:after="60" w:line="240" w:lineRule="auto"/>
            </w:pPr>
            <w:r>
              <w:rPr>
                <w:rFonts w:ascii="Calibri" w:hAnsi="Calibri"/>
                <w:sz w:val="16"/>
              </w:rPr>
              <w:t>Same IDs cross API/device configuration</w:t>
            </w:r>
          </w:p>
        </w:tc>
      </w:tr>
      <w:tr>
        <w:trPr>
          <w:cantSplit/>
        </w:trPr>
        <w:tc>
          <w:tcPr>
            <w:tcW w:type="dxa" w:w="650"/>
            <w:tcMar>
              <w:top w:w="80" w:type="dxa"/>
              <w:start w:w="120" w:type="dxa"/>
              <w:bottom w:w="80" w:type="dxa"/>
              <w:end w:w="120" w:type="dxa"/>
            </w:tcMar>
            <w:vAlign w:val="center"/>
          </w:tcPr>
          <w:p>
            <w:pPr>
              <w:spacing w:before="0" w:after="60" w:line="240" w:lineRule="auto"/>
            </w:pPr>
            <w:r>
              <w:rPr>
                <w:rFonts w:ascii="Calibri" w:hAnsi="Calibri"/>
                <w:sz w:val="16"/>
              </w:rPr>
              <w:t>5</w:t>
            </w:r>
          </w:p>
        </w:tc>
        <w:tc>
          <w:tcPr>
            <w:tcW w:type="dxa" w:w="1100"/>
            <w:tcMar>
              <w:top w:w="80" w:type="dxa"/>
              <w:start w:w="120" w:type="dxa"/>
              <w:bottom w:w="80" w:type="dxa"/>
              <w:end w:w="120" w:type="dxa"/>
            </w:tcMar>
            <w:vAlign w:val="center"/>
          </w:tcPr>
          <w:p>
            <w:pPr>
              <w:spacing w:before="0" w:after="60" w:line="240" w:lineRule="auto"/>
            </w:pPr>
            <w:r>
              <w:rPr>
                <w:rFonts w:ascii="Calibri" w:hAnsi="Calibri"/>
                <w:sz w:val="16"/>
              </w:rPr>
              <w:t>T01</w:t>
            </w:r>
          </w:p>
        </w:tc>
        <w:tc>
          <w:tcPr>
            <w:tcW w:type="dxa" w:w="4300"/>
            <w:tcMar>
              <w:top w:w="80" w:type="dxa"/>
              <w:start w:w="120" w:type="dxa"/>
              <w:bottom w:w="80" w:type="dxa"/>
              <w:end w:w="120" w:type="dxa"/>
            </w:tcMar>
            <w:vAlign w:val="center"/>
          </w:tcPr>
          <w:p>
            <w:pPr>
              <w:spacing w:before="0" w:after="60" w:line="240" w:lineRule="auto"/>
            </w:pPr>
            <w:r>
              <w:rPr>
                <w:rFonts w:ascii="Calibri" w:hAnsi="Calibri"/>
                <w:sz w:val="16"/>
              </w:rPr>
              <w:t>tenant and consent tests</w:t>
            </w:r>
          </w:p>
        </w:tc>
        <w:tc>
          <w:tcPr>
            <w:tcW w:type="dxa" w:w="3310"/>
            <w:tcMar>
              <w:top w:w="80" w:type="dxa"/>
              <w:start w:w="120" w:type="dxa"/>
              <w:bottom w:w="80" w:type="dxa"/>
              <w:end w:w="120" w:type="dxa"/>
            </w:tcMar>
            <w:vAlign w:val="center"/>
          </w:tcPr>
          <w:p>
            <w:pPr>
              <w:spacing w:before="0" w:after="60" w:line="240" w:lineRule="auto"/>
            </w:pPr>
            <w:r>
              <w:rPr>
                <w:rFonts w:ascii="Calibri" w:hAnsi="Calibri"/>
                <w:sz w:val="16"/>
              </w:rPr>
              <w:t>Unknown actor fails; no passive resident identity</w:t>
            </w:r>
          </w:p>
        </w:tc>
      </w:tr>
    </w:tbl>
    <w:p>
      <w:pPr>
        <w:pStyle w:val="Heading1"/>
      </w:pPr>
      <w:r>
        <w:rPr>
          <w:color w:val="000000"/>
        </w:rPr>
        <w:t>4. Hub FreeRTOS and communication design</w:t>
      </w:r>
    </w:p>
    <w:p>
      <w:pPr/>
      <w:r>
        <w:t>ESP-IDF includes FreeRTOS; there is no separate RTOS installation. The values below are bench starting points, not release measurements.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500"/>
        <w:gridCol w:w="1700"/>
        <w:gridCol w:w="3860"/>
        <w:gridCol w:w="2300"/>
      </w:tblGrid>
      <w:tr>
        <w:trPr>
          <w:cantSplit/>
          <w:tblHeader w:val="true"/>
        </w:trPr>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Context</w:t>
            </w:r>
          </w:p>
        </w:tc>
        <w:tc>
          <w:tcPr>
            <w:tcW w:type="dxa" w:w="1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Priority / stack start</w:t>
            </w:r>
          </w:p>
        </w:tc>
        <w:tc>
          <w:tcPr>
            <w:tcW w:type="dxa" w:w="38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Queue / ownership</w:t>
            </w:r>
          </w:p>
        </w:tc>
        <w:tc>
          <w:tcPr>
            <w:tcW w:type="dxa" w:w="2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No-go behavior</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ESP-NOW callback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Driver context</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Copy to static radio_rx_queue</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No flash, rule, network wait or audio</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hub_event_task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8 / 8 KiB</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Only state writer; consumes radio/timer/UI/fault envelopes</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No blocking MQTT/provider call</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ui_task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6 / 5 KiB</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Own GPIO debounce/display; submits action envelopes</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No authoritative incident transition</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cloud_sync_task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5 / 8 KiB</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Own Wi-Fi/MQTT; reads committed outbox</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PUBACK cannot retire business event</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maintenance_task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3 / 8 KiB</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Service window, diagnostics, signed update</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No unauthenticated maintenance</w:t>
            </w:r>
          </w:p>
        </w:tc>
      </w:tr>
      <w:tr>
        <w:trPr>
          <w:cantSplit/>
        </w:trPr>
        <w:tc>
          <w:tcPr>
            <w:tcW w:type="dxa" w:w="1500"/>
            <w:tcMar>
              <w:top w:w="80" w:type="dxa"/>
              <w:start w:w="120" w:type="dxa"/>
              <w:bottom w:w="80" w:type="dxa"/>
              <w:end w:w="120" w:type="dxa"/>
            </w:tcMar>
            <w:vAlign w:val="center"/>
          </w:tcPr>
          <w:p>
            <w:pPr>
              <w:spacing w:before="0" w:after="60" w:line="240" w:lineRule="auto"/>
            </w:pPr>
            <w:r>
              <w:rPr>
                <w:rFonts w:ascii="Calibri" w:hAnsi="Calibri"/>
                <w:sz w:val="16"/>
              </w:rPr>
              <w:t>FreeRTOS timers</w:t>
            </w:r>
          </w:p>
        </w:tc>
        <w:tc>
          <w:tcPr>
            <w:tcW w:type="dxa" w:w="1700"/>
            <w:tcMar>
              <w:top w:w="80" w:type="dxa"/>
              <w:start w:w="120" w:type="dxa"/>
              <w:bottom w:w="80" w:type="dxa"/>
              <w:end w:w="120" w:type="dxa"/>
            </w:tcMar>
            <w:vAlign w:val="center"/>
          </w:tcPr>
          <w:p>
            <w:pPr>
              <w:spacing w:before="0" w:after="60" w:line="240" w:lineRule="auto"/>
            </w:pPr>
            <w:r>
              <w:rPr>
                <w:rFonts w:ascii="Calibri" w:hAnsi="Calibri"/>
                <w:sz w:val="16"/>
              </w:rPr>
              <w:t>Timer service</w:t>
            </w:r>
          </w:p>
        </w:tc>
        <w:tc>
          <w:tcPr>
            <w:tcW w:type="dxa" w:w="3860"/>
            <w:tcMar>
              <w:top w:w="80" w:type="dxa"/>
              <w:start w:w="120" w:type="dxa"/>
              <w:bottom w:w="80" w:type="dxa"/>
              <w:end w:w="120" w:type="dxa"/>
            </w:tcMar>
            <w:vAlign w:val="center"/>
          </w:tcPr>
          <w:p>
            <w:pPr>
              <w:spacing w:before="0" w:after="60" w:line="240" w:lineRule="auto"/>
            </w:pPr>
            <w:r>
              <w:rPr>
                <w:rFonts w:ascii="Calibri" w:hAnsi="Calibri"/>
                <w:sz w:val="16"/>
              </w:rPr>
              <w:t>Enqueue stable ID/deadline</w:t>
            </w:r>
          </w:p>
        </w:tc>
        <w:tc>
          <w:tcPr>
            <w:tcW w:type="dxa" w:w="2300"/>
            <w:tcMar>
              <w:top w:w="80" w:type="dxa"/>
              <w:start w:w="120" w:type="dxa"/>
              <w:bottom w:w="80" w:type="dxa"/>
              <w:end w:w="120" w:type="dxa"/>
            </w:tcMar>
            <w:vAlign w:val="center"/>
          </w:tcPr>
          <w:p>
            <w:pPr>
              <w:spacing w:before="0" w:after="60" w:line="240" w:lineRule="auto"/>
            </w:pPr>
            <w:r>
              <w:rPr>
                <w:rFonts w:ascii="Calibri" w:hAnsi="Calibri"/>
                <w:sz w:val="16"/>
              </w:rPr>
              <w:t>No rule/config mutation</w:t>
            </w:r>
          </w:p>
        </w:tc>
      </w:tr>
    </w:tbl>
    <w:p>
      <w:pPr>
        <w:pStyle w:val="Heading2"/>
      </w:pPr>
      <w:r>
        <w:rPr>
          <w:color w:val="000000"/>
        </w:rPr>
        <w:t>Communication contracts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300"/>
        <w:gridCol w:w="2650"/>
        <w:gridCol w:w="2630"/>
        <w:gridCol w:w="2780"/>
      </w:tblGrid>
      <w:tr>
        <w:trPr>
          <w:cantSplit/>
          <w:tblHeader w:val="true"/>
        </w:trPr>
        <w:tc>
          <w:tcPr>
            <w:tcW w:type="dxa" w:w="1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5"/>
              </w:rPr>
              <w:t>Boundary</w:t>
            </w:r>
          </w:p>
        </w:tc>
        <w:tc>
          <w:tcPr>
            <w:tcW w:type="dxa" w:w="26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5"/>
              </w:rPr>
              <w:t>Current host implementation</w:t>
            </w:r>
          </w:p>
        </w:tc>
        <w:tc>
          <w:tcPr>
            <w:tcW w:type="dxa" w:w="263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5"/>
              </w:rPr>
              <w:t>Production adapter</w:t>
            </w:r>
          </w:p>
        </w:tc>
        <w:tc>
          <w:tcPr>
            <w:tcW w:type="dxa" w:w="278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5"/>
              </w:rPr>
              <w:t>Acknowledgement authority</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5"/>
              </w:rPr>
              <w:t>Node → hub</w:t>
            </w:r>
          </w:p>
        </w:tc>
        <w:tc>
          <w:tcPr>
            <w:tcW w:type="dxa" w:w="2650"/>
            <w:tcMar>
              <w:top w:w="80" w:type="dxa"/>
              <w:start w:w="120" w:type="dxa"/>
              <w:bottom w:w="80" w:type="dxa"/>
              <w:end w:w="120" w:type="dxa"/>
            </w:tcMar>
            <w:vAlign w:val="center"/>
          </w:tcPr>
          <w:p>
            <w:pPr>
              <w:keepNext/>
              <w:spacing w:before="0" w:after="60" w:line="240" w:lineRule="auto"/>
            </w:pPr>
            <w:r>
              <w:rPr>
                <w:rFonts w:ascii="Calibri" w:hAnsi="Calibri"/>
                <w:sz w:val="15"/>
              </w:rPr>
              <w:t>DomainEvent + NodeRadio/HubRuntime</w:t>
            </w:r>
          </w:p>
        </w:tc>
        <w:tc>
          <w:tcPr>
            <w:tcW w:type="dxa" w:w="2630"/>
            <w:tcMar>
              <w:top w:w="80" w:type="dxa"/>
              <w:start w:w="120" w:type="dxa"/>
              <w:bottom w:w="80" w:type="dxa"/>
              <w:end w:w="120" w:type="dxa"/>
            </w:tcMar>
            <w:vAlign w:val="center"/>
          </w:tcPr>
          <w:p>
            <w:pPr>
              <w:keepNext/>
              <w:spacing w:before="0" w:after="60" w:line="240" w:lineRule="auto"/>
            </w:pPr>
            <w:r>
              <w:rPr>
                <w:rFonts w:ascii="Calibri" w:hAnsi="Calibri"/>
                <w:sz w:val="15"/>
              </w:rPr>
              <w:t>Encrypted ESP-NOW; compact CBOR ≤200 B</w:t>
            </w:r>
          </w:p>
        </w:tc>
        <w:tc>
          <w:tcPr>
            <w:tcW w:type="dxa" w:w="2780"/>
            <w:tcMar>
              <w:top w:w="80" w:type="dxa"/>
              <w:start w:w="120" w:type="dxa"/>
              <w:bottom w:w="80" w:type="dxa"/>
              <w:end w:w="120" w:type="dxa"/>
            </w:tcMar>
            <w:vAlign w:val="center"/>
          </w:tcPr>
          <w:p>
            <w:pPr>
              <w:keepNext/>
              <w:spacing w:before="0" w:after="60" w:line="240" w:lineRule="auto"/>
            </w:pPr>
            <w:r>
              <w:rPr>
                <w:rFonts w:ascii="Calibri" w:hAnsi="Calibri"/>
                <w:sz w:val="15"/>
              </w:rPr>
              <w:t>DURABLE only after hub commit; volatile receipt for heartbeat</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5"/>
              </w:rPr>
              <w:t>Hub → backend</w:t>
            </w:r>
          </w:p>
        </w:tc>
        <w:tc>
          <w:tcPr>
            <w:tcW w:type="dxa" w:w="2650"/>
            <w:tcMar>
              <w:top w:w="80" w:type="dxa"/>
              <w:start w:w="120" w:type="dxa"/>
              <w:bottom w:w="80" w:type="dxa"/>
              <w:end w:w="120" w:type="dxa"/>
            </w:tcMar>
            <w:vAlign w:val="center"/>
          </w:tcPr>
          <w:p>
            <w:pPr>
              <w:keepNext/>
              <w:spacing w:before="0" w:after="60" w:line="240" w:lineRule="auto"/>
            </w:pPr>
            <w:r>
              <w:rPr>
                <w:rFonts w:ascii="Calibri" w:hAnsi="Calibri"/>
                <w:sz w:val="15"/>
              </w:rPr>
              <w:t>HubJournal + CloudSync + IngestService</w:t>
            </w:r>
          </w:p>
        </w:tc>
        <w:tc>
          <w:tcPr>
            <w:tcW w:type="dxa" w:w="2630"/>
            <w:tcMar>
              <w:top w:w="80" w:type="dxa"/>
              <w:start w:w="120" w:type="dxa"/>
              <w:bottom w:w="80" w:type="dxa"/>
              <w:end w:w="120" w:type="dxa"/>
            </w:tcMar>
            <w:vAlign w:val="center"/>
          </w:tcPr>
          <w:p>
            <w:pPr>
              <w:keepNext/>
              <w:spacing w:before="0" w:after="60" w:line="240" w:lineRule="auto"/>
            </w:pPr>
            <w:r>
              <w:rPr>
                <w:rFonts w:ascii="Calibri" w:hAnsi="Calibri"/>
                <w:sz w:val="15"/>
              </w:rPr>
              <w:t>MQTT 3.1.1/TLS QoS1 with per-hub ACL</w:t>
            </w:r>
          </w:p>
        </w:tc>
        <w:tc>
          <w:tcPr>
            <w:tcW w:type="dxa" w:w="2780"/>
            <w:tcMar>
              <w:top w:w="80" w:type="dxa"/>
              <w:start w:w="120" w:type="dxa"/>
              <w:bottom w:w="80" w:type="dxa"/>
              <w:end w:w="120" w:type="dxa"/>
            </w:tcMar>
            <w:vAlign w:val="center"/>
          </w:tcPr>
          <w:p>
            <w:pPr>
              <w:keepNext/>
              <w:spacing w:before="0" w:after="60" w:line="240" w:lineRule="auto"/>
            </w:pPr>
            <w:r>
              <w:rPr>
                <w:rFonts w:ascii="Calibri" w:hAnsi="Calibri"/>
                <w:sz w:val="15"/>
              </w:rPr>
              <w:t>Backend DB-commit ACK, not PUBACK</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5"/>
              </w:rPr>
              <w:t>App → backend</w:t>
            </w:r>
          </w:p>
        </w:tc>
        <w:tc>
          <w:tcPr>
            <w:tcW w:type="dxa" w:w="2650"/>
            <w:tcMar>
              <w:top w:w="80" w:type="dxa"/>
              <w:start w:w="120" w:type="dxa"/>
              <w:bottom w:w="80" w:type="dxa"/>
              <w:end w:w="120" w:type="dxa"/>
            </w:tcMar>
            <w:vAlign w:val="center"/>
          </w:tcPr>
          <w:p>
            <w:pPr>
              <w:keepNext/>
              <w:spacing w:before="0" w:after="60" w:line="240" w:lineRule="auto"/>
            </w:pPr>
            <w:r>
              <w:rPr>
                <w:rFonts w:ascii="Calibri" w:hAnsi="Calibri"/>
                <w:sz w:val="15"/>
              </w:rPr>
              <w:t>Command builders + JsonApi domain adapter</w:t>
            </w:r>
          </w:p>
        </w:tc>
        <w:tc>
          <w:tcPr>
            <w:tcW w:type="dxa" w:w="2630"/>
            <w:tcMar>
              <w:top w:w="80" w:type="dxa"/>
              <w:start w:w="120" w:type="dxa"/>
              <w:bottom w:w="80" w:type="dxa"/>
              <w:end w:w="120" w:type="dxa"/>
            </w:tcMar>
            <w:vAlign w:val="center"/>
          </w:tcPr>
          <w:p>
            <w:pPr>
              <w:keepNext/>
              <w:spacing w:before="0" w:after="60" w:line="240" w:lineRule="auto"/>
            </w:pPr>
            <w:r>
              <w:rPr>
                <w:rFonts w:ascii="Calibri" w:hAnsi="Calibri"/>
                <w:sz w:val="15"/>
              </w:rPr>
              <w:t>HTTPS/JSON + verified OIDC + idempotency key</w:t>
            </w:r>
          </w:p>
        </w:tc>
        <w:tc>
          <w:tcPr>
            <w:tcW w:type="dxa" w:w="2780"/>
            <w:tcMar>
              <w:top w:w="80" w:type="dxa"/>
              <w:start w:w="120" w:type="dxa"/>
              <w:bottom w:w="80" w:type="dxa"/>
              <w:end w:w="120" w:type="dxa"/>
            </w:tcMar>
            <w:vAlign w:val="center"/>
          </w:tcPr>
          <w:p>
            <w:pPr>
              <w:keepNext/>
              <w:spacing w:before="0" w:after="60" w:line="240" w:lineRule="auto"/>
            </w:pPr>
            <w:r>
              <w:rPr>
                <w:rFonts w:ascii="Calibri" w:hAnsi="Calibri"/>
                <w:sz w:val="15"/>
              </w:rPr>
              <w:t>Committed resource version</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5"/>
              </w:rPr>
              <w:t>Backend → phone</w:t>
            </w:r>
          </w:p>
        </w:tc>
        <w:tc>
          <w:tcPr>
            <w:tcW w:type="dxa" w:w="2650"/>
            <w:tcMar>
              <w:top w:w="80" w:type="dxa"/>
              <w:start w:w="120" w:type="dxa"/>
              <w:bottom w:w="80" w:type="dxa"/>
              <w:end w:w="120" w:type="dxa"/>
            </w:tcMar>
            <w:vAlign w:val="center"/>
          </w:tcPr>
          <w:p>
            <w:pPr>
              <w:keepNext/>
              <w:spacing w:before="0" w:after="60" w:line="240" w:lineRule="auto"/>
            </w:pPr>
            <w:r>
              <w:rPr>
                <w:rFonts w:ascii="Calibri" w:hAnsi="Calibri"/>
                <w:sz w:val="15"/>
              </w:rPr>
              <w:t>Notification job/ledger state</w:t>
            </w:r>
          </w:p>
        </w:tc>
        <w:tc>
          <w:tcPr>
            <w:tcW w:type="dxa" w:w="2630"/>
            <w:tcMar>
              <w:top w:w="80" w:type="dxa"/>
              <w:start w:w="120" w:type="dxa"/>
              <w:bottom w:w="80" w:type="dxa"/>
              <w:end w:w="120" w:type="dxa"/>
            </w:tcMar>
            <w:vAlign w:val="center"/>
          </w:tcPr>
          <w:p>
            <w:pPr>
              <w:keepNext/>
              <w:spacing w:before="0" w:after="60" w:line="240" w:lineRule="auto"/>
            </w:pPr>
            <w:r>
              <w:rPr>
                <w:rFonts w:ascii="Calibri" w:hAnsi="Calibri"/>
                <w:sz w:val="15"/>
              </w:rPr>
              <w:t>Web Push VAPID/provider</w:t>
            </w:r>
          </w:p>
        </w:tc>
        <w:tc>
          <w:tcPr>
            <w:tcW w:type="dxa" w:w="2780"/>
            <w:tcMar>
              <w:top w:w="80" w:type="dxa"/>
              <w:start w:w="120" w:type="dxa"/>
              <w:bottom w:w="80" w:type="dxa"/>
              <w:end w:w="120" w:type="dxa"/>
            </w:tcMar>
            <w:vAlign w:val="center"/>
          </w:tcPr>
          <w:p>
            <w:pPr>
              <w:keepNext/>
              <w:spacing w:before="0" w:after="60" w:line="240" w:lineRule="auto"/>
            </w:pPr>
            <w:r>
              <w:rPr>
                <w:rFonts w:ascii="Calibri" w:hAnsi="Calibri"/>
                <w:sz w:val="15"/>
              </w:rPr>
              <w:t>Provider acceptance ≠ app receipt ≠ human ACK</w:t>
            </w:r>
          </w:p>
        </w:tc>
      </w:tr>
      <w:tr>
        <w:trPr>
          <w:cantSplit/>
        </w:trPr>
        <w:tc>
          <w:tcPr>
            <w:tcW w:type="dxa" w:w="1300"/>
            <w:tcMar>
              <w:top w:w="80" w:type="dxa"/>
              <w:start w:w="120" w:type="dxa"/>
              <w:bottom w:w="80" w:type="dxa"/>
              <w:end w:w="120" w:type="dxa"/>
            </w:tcMar>
            <w:vAlign w:val="center"/>
          </w:tcPr>
          <w:p>
            <w:pPr>
              <w:spacing w:before="0" w:after="60" w:line="240" w:lineRule="auto"/>
            </w:pPr>
            <w:r>
              <w:rPr>
                <w:rFonts w:ascii="Calibri" w:hAnsi="Calibri"/>
                <w:sz w:val="15"/>
              </w:rPr>
              <w:t>Installer → device</w:t>
            </w:r>
          </w:p>
        </w:tc>
        <w:tc>
          <w:tcPr>
            <w:tcW w:type="dxa" w:w="2650"/>
            <w:tcMar>
              <w:top w:w="80" w:type="dxa"/>
              <w:start w:w="120" w:type="dxa"/>
              <w:bottom w:w="80" w:type="dxa"/>
              <w:end w:w="120" w:type="dxa"/>
            </w:tcMar>
            <w:vAlign w:val="center"/>
          </w:tcPr>
          <w:p>
            <w:pPr>
              <w:spacing w:before="0" w:after="60" w:line="240" w:lineRule="auto"/>
            </w:pPr>
            <w:r>
              <w:rPr>
                <w:rFonts w:ascii="Calibri" w:hAnsi="Calibri"/>
                <w:sz w:val="15"/>
              </w:rPr>
              <w:t>T02 plan/state reducer</w:t>
            </w:r>
          </w:p>
        </w:tc>
        <w:tc>
          <w:tcPr>
            <w:tcW w:type="dxa" w:w="2630"/>
            <w:tcMar>
              <w:top w:w="80" w:type="dxa"/>
              <w:start w:w="120" w:type="dxa"/>
              <w:bottom w:w="80" w:type="dxa"/>
              <w:end w:w="120" w:type="dxa"/>
            </w:tcMar>
            <w:vAlign w:val="center"/>
          </w:tcPr>
          <w:p>
            <w:pPr>
              <w:spacing w:before="0" w:after="60" w:line="240" w:lineRule="auto"/>
            </w:pPr>
            <w:r>
              <w:rPr>
                <w:rFonts w:ascii="Calibri" w:hAnsi="Calibri"/>
                <w:sz w:val="15"/>
              </w:rPr>
              <w:t>Local USB jig in physical service window</w:t>
            </w:r>
          </w:p>
        </w:tc>
        <w:tc>
          <w:tcPr>
            <w:tcW w:type="dxa" w:w="2780"/>
            <w:tcMar>
              <w:top w:w="80" w:type="dxa"/>
              <w:start w:w="120" w:type="dxa"/>
              <w:bottom w:w="80" w:type="dxa"/>
              <w:end w:w="120" w:type="dxa"/>
            </w:tcMar>
            <w:vAlign w:val="center"/>
          </w:tcPr>
          <w:p>
            <w:pPr>
              <w:spacing w:before="0" w:after="60" w:line="240" w:lineRule="auto"/>
            </w:pPr>
            <w:r>
              <w:rPr>
                <w:rFonts w:ascii="Calibri" w:hAnsi="Calibri"/>
                <w:sz w:val="15"/>
              </w:rPr>
              <w:t>Readback plus signed evidence</w:t>
            </w:r>
          </w:p>
        </w:tc>
      </w:tr>
    </w:tbl>
    <w:p>
      <w:pPr>
        <w:pStyle w:val="Heading1"/>
      </w:pPr>
      <w:r>
        <w:rPr>
          <w:color w:val="000000"/>
        </w:rPr>
        <w:t>5. Canonical data, persistence and error model</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500"/>
        <w:gridCol w:w="4350"/>
        <w:gridCol w:w="3510"/>
      </w:tblGrid>
      <w:tr>
        <w:trPr>
          <w:cantSplit/>
          <w:tblHeader w:val="true"/>
        </w:trPr>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Object</w:t>
            </w:r>
          </w:p>
        </w:tc>
        <w:tc>
          <w:tcPr>
            <w:tcW w:type="dxa" w:w="43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Key fields</w:t>
            </w:r>
          </w:p>
        </w:tc>
        <w:tc>
          <w:tcPr>
            <w:tcW w:type="dxa" w:w="351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 / invariant</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EventKey</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source_id, session_id, sequence</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Stable idempotency identity across retry/replay</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DomainEvent</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key, kind, location, monotonic/occurred/received, uncertainty, battery, is_test</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Original occurrence never rewritten by later receipt</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RoutineConfig</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window_id, start/end/grace, locations, enabled</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Stable generated boundary set</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RoutineState</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evidence, explicit_ok, coverage, mode, incident-created</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Hub state task only</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CloudEvent</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home_id, event_id, three times, uncertainty, test, payload</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B03 unique (home_id,event_id)</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Incident</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stable_key, state, owner lease, ack/resolve times</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B04; human workflow is separate from sensor evidence</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NotificationJob</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incident, recipient, stage, due, provider state</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B05 unique incident/recipient/stage</w:t>
            </w:r>
          </w:p>
        </w:tc>
      </w:tr>
      <w:tr>
        <w:trPr>
          <w:cantSplit/>
        </w:trPr>
        <w:tc>
          <w:tcPr>
            <w:tcW w:type="dxa" w:w="1500"/>
            <w:tcMar>
              <w:top w:w="80" w:type="dxa"/>
              <w:start w:w="120" w:type="dxa"/>
              <w:bottom w:w="80" w:type="dxa"/>
              <w:end w:w="120" w:type="dxa"/>
            </w:tcMar>
            <w:vAlign w:val="center"/>
          </w:tcPr>
          <w:p>
            <w:pPr>
              <w:spacing w:before="0" w:after="60" w:line="240" w:lineRule="auto"/>
            </w:pPr>
            <w:r>
              <w:rPr>
                <w:rFonts w:ascii="Calibri" w:hAnsi="Calibri"/>
                <w:sz w:val="16"/>
              </w:rPr>
              <w:t>DesiredConfig</w:t>
            </w:r>
          </w:p>
        </w:tc>
        <w:tc>
          <w:tcPr>
            <w:tcW w:type="dxa" w:w="4350"/>
            <w:tcMar>
              <w:top w:w="80" w:type="dxa"/>
              <w:start w:w="120" w:type="dxa"/>
              <w:bottom w:w="80" w:type="dxa"/>
              <w:end w:w="120" w:type="dxa"/>
            </w:tcMar>
            <w:vAlign w:val="center"/>
          </w:tcPr>
          <w:p>
            <w:pPr>
              <w:spacing w:before="0" w:after="60" w:line="240" w:lineRule="auto"/>
            </w:pPr>
            <w:r>
              <w:rPr>
                <w:rFonts w:ascii="Calibri" w:hAnsi="Calibri"/>
                <w:sz w:val="16"/>
              </w:rPr>
              <w:t>home, version, body, applied_version</w:t>
            </w:r>
          </w:p>
        </w:tc>
        <w:tc>
          <w:tcPr>
            <w:tcW w:type="dxa" w:w="3510"/>
            <w:tcMar>
              <w:top w:w="80" w:type="dxa"/>
              <w:start w:w="120" w:type="dxa"/>
              <w:bottom w:w="80" w:type="dxa"/>
              <w:end w:w="120" w:type="dxa"/>
            </w:tcMar>
            <w:vAlign w:val="center"/>
          </w:tcPr>
          <w:p>
            <w:pPr>
              <w:spacing w:before="0" w:after="60" w:line="240" w:lineRule="auto"/>
            </w:pPr>
            <w:r>
              <w:rPr>
                <w:rFonts w:ascii="Calibri" w:hAnsi="Calibri"/>
                <w:sz w:val="16"/>
              </w:rPr>
              <w:t>Desired does not equal applied</w:t>
            </w:r>
          </w:p>
        </w:tc>
      </w:tr>
    </w:tbl>
    <w:p>
      <w:pPr>
        <w:pStyle w:val="Heading2"/>
      </w:pPr>
      <w:r>
        <w:rPr>
          <w:color w:val="000000"/>
        </w:rPr>
        <w:t>Persistence order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600"/>
        <w:gridCol w:w="4760"/>
        <w:gridCol w:w="3000"/>
      </w:tblGrid>
      <w:tr>
        <w:trPr>
          <w:cantSplit/>
          <w:tblHeader w:val="true"/>
        </w:trPr>
        <w:tc>
          <w:tcPr>
            <w:tcW w:type="dxa" w:w="16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Boundary</w:t>
            </w:r>
          </w:p>
        </w:tc>
        <w:tc>
          <w:tcPr>
            <w:tcW w:type="dxa" w:w="47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Required order</w:t>
            </w:r>
          </w:p>
        </w:tc>
        <w:tc>
          <w:tcPr>
            <w:tcW w:type="dxa" w:w="30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Crash/retry result</w:t>
            </w:r>
          </w:p>
        </w:tc>
      </w:tr>
      <w:tr>
        <w:trPr>
          <w:cantSplit/>
        </w:trPr>
        <w:tc>
          <w:tcPr>
            <w:tcW w:type="dxa" w:w="1600"/>
            <w:tcMar>
              <w:top w:w="80" w:type="dxa"/>
              <w:start w:w="120" w:type="dxa"/>
              <w:bottom w:w="80" w:type="dxa"/>
              <w:end w:w="120" w:type="dxa"/>
            </w:tcMar>
            <w:vAlign w:val="center"/>
          </w:tcPr>
          <w:p>
            <w:pPr>
              <w:keepNext/>
              <w:spacing w:before="0" w:after="60" w:line="240" w:lineRule="auto"/>
            </w:pPr>
            <w:r>
              <w:rPr>
                <w:rFonts w:ascii="Calibri" w:hAnsi="Calibri"/>
                <w:sz w:val="16"/>
              </w:rPr>
              <w:t>Node business event</w:t>
            </w:r>
          </w:p>
        </w:tc>
        <w:tc>
          <w:tcPr>
            <w:tcW w:type="dxa" w:w="4760"/>
            <w:tcMar>
              <w:top w:w="80" w:type="dxa"/>
              <w:start w:w="120" w:type="dxa"/>
              <w:bottom w:w="80" w:type="dxa"/>
              <w:end w:w="120" w:type="dxa"/>
            </w:tcMar>
            <w:vAlign w:val="center"/>
          </w:tcPr>
          <w:p>
            <w:pPr>
              <w:keepNext/>
              <w:spacing w:before="0" w:after="60" w:line="240" w:lineRule="auto"/>
            </w:pPr>
            <w:r>
              <w:rPr>
                <w:rFonts w:ascii="Calibri" w:hAnsi="Calibri"/>
                <w:sz w:val="16"/>
              </w:rPr>
              <w:t>N05 append → N02 send → H02 commit → DURABLE ACK → N05 retire</w:t>
            </w:r>
          </w:p>
        </w:tc>
        <w:tc>
          <w:tcPr>
            <w:tcW w:type="dxa" w:w="3000"/>
            <w:tcMar>
              <w:top w:w="80" w:type="dxa"/>
              <w:start w:w="120" w:type="dxa"/>
              <w:bottom w:w="80" w:type="dxa"/>
              <w:end w:w="120" w:type="dxa"/>
            </w:tcMar>
            <w:vAlign w:val="center"/>
          </w:tcPr>
          <w:p>
            <w:pPr>
              <w:keepNext/>
              <w:spacing w:before="0" w:after="60" w:line="240" w:lineRule="auto"/>
            </w:pPr>
            <w:r>
              <w:rPr>
                <w:rFonts w:ascii="Calibri" w:hAnsi="Calibri"/>
                <w:sz w:val="16"/>
              </w:rPr>
              <w:t>At-least-once delivery; no acknowledged loss</w:t>
            </w:r>
          </w:p>
        </w:tc>
      </w:tr>
      <w:tr>
        <w:trPr>
          <w:cantSplit/>
        </w:trPr>
        <w:tc>
          <w:tcPr>
            <w:tcW w:type="dxa" w:w="1600"/>
            <w:tcMar>
              <w:top w:w="80" w:type="dxa"/>
              <w:start w:w="120" w:type="dxa"/>
              <w:bottom w:w="80" w:type="dxa"/>
              <w:end w:w="120" w:type="dxa"/>
            </w:tcMar>
            <w:vAlign w:val="center"/>
          </w:tcPr>
          <w:p>
            <w:pPr>
              <w:keepNext/>
              <w:spacing w:before="0" w:after="60" w:line="240" w:lineRule="auto"/>
            </w:pPr>
            <w:r>
              <w:rPr>
                <w:rFonts w:ascii="Calibri" w:hAnsi="Calibri"/>
                <w:sz w:val="16"/>
              </w:rPr>
              <w:t>Hub cloud event</w:t>
            </w:r>
          </w:p>
        </w:tc>
        <w:tc>
          <w:tcPr>
            <w:tcW w:type="dxa" w:w="4760"/>
            <w:tcMar>
              <w:top w:w="80" w:type="dxa"/>
              <w:start w:w="120" w:type="dxa"/>
              <w:bottom w:w="80" w:type="dxa"/>
              <w:end w:w="120" w:type="dxa"/>
            </w:tcMar>
            <w:vAlign w:val="center"/>
          </w:tcPr>
          <w:p>
            <w:pPr>
              <w:keepNext/>
              <w:spacing w:before="0" w:after="60" w:line="240" w:lineRule="auto"/>
            </w:pPr>
            <w:r>
              <w:rPr>
                <w:rFonts w:ascii="Calibri" w:hAnsi="Calibri"/>
                <w:sz w:val="16"/>
              </w:rPr>
              <w:t>H02 commit/outbox → H08 publish → B03 transaction → app commit ACK → H02 retire</w:t>
            </w:r>
          </w:p>
        </w:tc>
        <w:tc>
          <w:tcPr>
            <w:tcW w:type="dxa" w:w="3000"/>
            <w:tcMar>
              <w:top w:w="80" w:type="dxa"/>
              <w:start w:w="120" w:type="dxa"/>
              <w:bottom w:w="80" w:type="dxa"/>
              <w:end w:w="120" w:type="dxa"/>
            </w:tcMar>
            <w:vAlign w:val="center"/>
          </w:tcPr>
          <w:p>
            <w:pPr>
              <w:keepNext/>
              <w:spacing w:before="0" w:after="60" w:line="240" w:lineRule="auto"/>
            </w:pPr>
            <w:r>
              <w:rPr>
                <w:rFonts w:ascii="Calibri" w:hAnsi="Calibri"/>
                <w:sz w:val="16"/>
              </w:rPr>
              <w:t>Broker replay cannot duplicate domain effect</w:t>
            </w:r>
          </w:p>
        </w:tc>
      </w:tr>
      <w:tr>
        <w:trPr>
          <w:cantSplit/>
        </w:trPr>
        <w:tc>
          <w:tcPr>
            <w:tcW w:type="dxa" w:w="1600"/>
            <w:tcMar>
              <w:top w:w="80" w:type="dxa"/>
              <w:start w:w="120" w:type="dxa"/>
              <w:bottom w:w="80" w:type="dxa"/>
              <w:end w:w="120" w:type="dxa"/>
            </w:tcMar>
            <w:vAlign w:val="center"/>
          </w:tcPr>
          <w:p>
            <w:pPr>
              <w:spacing w:before="0" w:after="60" w:line="240" w:lineRule="auto"/>
            </w:pPr>
            <w:r>
              <w:rPr>
                <w:rFonts w:ascii="Calibri" w:hAnsi="Calibri"/>
                <w:sz w:val="16"/>
              </w:rPr>
              <w:t>Incident notification</w:t>
            </w:r>
          </w:p>
        </w:tc>
        <w:tc>
          <w:tcPr>
            <w:tcW w:type="dxa" w:w="4760"/>
            <w:tcMar>
              <w:top w:w="80" w:type="dxa"/>
              <w:start w:w="120" w:type="dxa"/>
              <w:bottom w:w="80" w:type="dxa"/>
              <w:end w:w="120" w:type="dxa"/>
            </w:tcMar>
            <w:vAlign w:val="center"/>
          </w:tcPr>
          <w:p>
            <w:pPr>
              <w:spacing w:before="0" w:after="60" w:line="240" w:lineRule="auto"/>
            </w:pPr>
            <w:r>
              <w:rPr>
                <w:rFonts w:ascii="Calibri" w:hAnsi="Calibri"/>
                <w:sz w:val="16"/>
              </w:rPr>
              <w:t>B04 incident + intent key → B05 leased job → provider result → human action</w:t>
            </w:r>
          </w:p>
        </w:tc>
        <w:tc>
          <w:tcPr>
            <w:tcW w:type="dxa" w:w="3000"/>
            <w:tcMar>
              <w:top w:w="80" w:type="dxa"/>
              <w:start w:w="120" w:type="dxa"/>
              <w:bottom w:w="80" w:type="dxa"/>
              <w:end w:w="120" w:type="dxa"/>
            </w:tcMar>
            <w:vAlign w:val="center"/>
          </w:tcPr>
          <w:p>
            <w:pPr>
              <w:spacing w:before="0" w:after="60" w:line="240" w:lineRule="auto"/>
            </w:pPr>
            <w:r>
              <w:rPr>
                <w:rFonts w:ascii="Calibri" w:hAnsi="Calibri"/>
                <w:sz w:val="16"/>
              </w:rPr>
              <w:t>Provider ambiguity stays distinct; one logical stage intent</w:t>
            </w:r>
          </w:p>
        </w:tc>
      </w:tr>
    </w:tbl>
    <w:p>
      <w:pPr>
        <w:pStyle w:val="Heading2"/>
      </w:pPr>
      <w:r>
        <w:rPr>
          <w:color w:val="000000"/>
        </w:rPr>
        <w:t>Error vocabulary</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400"/>
        <w:gridCol w:w="3300"/>
        <w:gridCol w:w="4660"/>
      </w:tblGrid>
      <w:tr>
        <w:trPr>
          <w:cantSplit/>
          <w:tblHeader w:val="true"/>
        </w:trPr>
        <w:tc>
          <w:tcPr>
            <w:tcW w:type="dxa" w:w="14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Class</w:t>
            </w:r>
          </w:p>
        </w:tc>
        <w:tc>
          <w:tcPr>
            <w:tcW w:type="dxa" w:w="3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Examples</w:t>
            </w:r>
          </w:p>
        </w:tc>
        <w:tc>
          <w:tcPr>
            <w:tcW w:type="dxa" w:w="46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Required presentation</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Unknown</w:t>
            </w:r>
          </w:p>
        </w:tc>
        <w:tc>
          <w:tcPr>
            <w:tcW w:type="dxa" w:w="3300"/>
            <w:tcMar>
              <w:top w:w="80" w:type="dxa"/>
              <w:start w:w="120" w:type="dxa"/>
              <w:bottom w:w="80" w:type="dxa"/>
              <w:end w:w="120" w:type="dxa"/>
            </w:tcMar>
            <w:vAlign w:val="center"/>
          </w:tcPr>
          <w:p>
            <w:pPr>
              <w:keepNext/>
              <w:spacing w:before="0" w:after="60" w:line="240" w:lineRule="auto"/>
            </w:pPr>
            <w:r>
              <w:rPr>
                <w:rFonts w:ascii="Calibri" w:hAnsi="Calibri"/>
                <w:sz w:val="16"/>
              </w:rPr>
              <w:t>untrusted time, missing coverage, absent calibration</w:t>
            </w:r>
          </w:p>
        </w:tc>
        <w:tc>
          <w:tcPr>
            <w:tcW w:type="dxa" w:w="4660"/>
            <w:tcMar>
              <w:top w:w="80" w:type="dxa"/>
              <w:start w:w="120" w:type="dxa"/>
              <w:bottom w:w="80" w:type="dxa"/>
              <w:end w:w="120" w:type="dxa"/>
            </w:tcMar>
            <w:vAlign w:val="center"/>
          </w:tcPr>
          <w:p>
            <w:pPr>
              <w:keepNext/>
              <w:spacing w:before="0" w:after="60" w:line="240" w:lineRule="auto"/>
            </w:pPr>
            <w:r>
              <w:rPr>
                <w:rFonts w:ascii="Calibri" w:hAnsi="Calibri"/>
                <w:sz w:val="16"/>
              </w:rPr>
              <w:t>Unknown/degraded with reason; no negative resident inference</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Pending</w:t>
            </w:r>
          </w:p>
        </w:tc>
        <w:tc>
          <w:tcPr>
            <w:tcW w:type="dxa" w:w="3300"/>
            <w:tcMar>
              <w:top w:w="80" w:type="dxa"/>
              <w:start w:w="120" w:type="dxa"/>
              <w:bottom w:w="80" w:type="dxa"/>
              <w:end w:w="120" w:type="dxa"/>
            </w:tcMar>
            <w:vAlign w:val="center"/>
          </w:tcPr>
          <w:p>
            <w:pPr>
              <w:keepNext/>
              <w:spacing w:before="0" w:after="60" w:line="240" w:lineRule="auto"/>
            </w:pPr>
            <w:r>
              <w:rPr>
                <w:rFonts w:ascii="Calibri" w:hAnsi="Calibri"/>
                <w:sz w:val="16"/>
              </w:rPr>
              <w:t>desired config, app command, provider request</w:t>
            </w:r>
          </w:p>
        </w:tc>
        <w:tc>
          <w:tcPr>
            <w:tcW w:type="dxa" w:w="4660"/>
            <w:tcMar>
              <w:top w:w="80" w:type="dxa"/>
              <w:start w:w="120" w:type="dxa"/>
              <w:bottom w:w="80" w:type="dxa"/>
              <w:end w:w="120" w:type="dxa"/>
            </w:tcMar>
            <w:vAlign w:val="center"/>
          </w:tcPr>
          <w:p>
            <w:pPr>
              <w:keepNext/>
              <w:spacing w:before="0" w:after="60" w:line="240" w:lineRule="auto"/>
            </w:pPr>
            <w:r>
              <w:rPr>
                <w:rFonts w:ascii="Calibri" w:hAnsi="Calibri"/>
                <w:sz w:val="16"/>
              </w:rPr>
              <w:t>Show pending until authoritative ACK/version</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Duplicate</w:t>
            </w:r>
          </w:p>
        </w:tc>
        <w:tc>
          <w:tcPr>
            <w:tcW w:type="dxa" w:w="3300"/>
            <w:tcMar>
              <w:top w:w="80" w:type="dxa"/>
              <w:start w:w="120" w:type="dxa"/>
              <w:bottom w:w="80" w:type="dxa"/>
              <w:end w:w="120" w:type="dxa"/>
            </w:tcMar>
            <w:vAlign w:val="center"/>
          </w:tcPr>
          <w:p>
            <w:pPr>
              <w:keepNext/>
              <w:spacing w:before="0" w:after="60" w:line="240" w:lineRule="auto"/>
            </w:pPr>
            <w:r>
              <w:rPr>
                <w:rFonts w:ascii="Calibri" w:hAnsi="Calibri"/>
                <w:sz w:val="16"/>
              </w:rPr>
              <w:t>same EventKey or stable incident key</w:t>
            </w:r>
          </w:p>
        </w:tc>
        <w:tc>
          <w:tcPr>
            <w:tcW w:type="dxa" w:w="4660"/>
            <w:tcMar>
              <w:top w:w="80" w:type="dxa"/>
              <w:start w:w="120" w:type="dxa"/>
              <w:bottom w:w="80" w:type="dxa"/>
              <w:end w:w="120" w:type="dxa"/>
            </w:tcMar>
            <w:vAlign w:val="center"/>
          </w:tcPr>
          <w:p>
            <w:pPr>
              <w:keepNext/>
              <w:spacing w:before="0" w:after="60" w:line="240" w:lineRule="auto"/>
            </w:pPr>
            <w:r>
              <w:rPr>
                <w:rFonts w:ascii="Calibri" w:hAnsi="Calibri"/>
                <w:sz w:val="16"/>
              </w:rPr>
              <w:t>Return prior committed result; do not repeat effect</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Capacity</w:t>
            </w:r>
          </w:p>
        </w:tc>
        <w:tc>
          <w:tcPr>
            <w:tcW w:type="dxa" w:w="3300"/>
            <w:tcMar>
              <w:top w:w="80" w:type="dxa"/>
              <w:start w:w="120" w:type="dxa"/>
              <w:bottom w:w="80" w:type="dxa"/>
              <w:end w:w="120" w:type="dxa"/>
            </w:tcMar>
            <w:vAlign w:val="center"/>
          </w:tcPr>
          <w:p>
            <w:pPr>
              <w:keepNext/>
              <w:spacing w:before="0" w:after="60" w:line="240" w:lineRule="auto"/>
            </w:pPr>
            <w:r>
              <w:rPr>
                <w:rFonts w:ascii="Calibri" w:hAnsi="Calibri"/>
                <w:sz w:val="16"/>
              </w:rPr>
              <w:t>node queue, hub journal, database/broker</w:t>
            </w:r>
          </w:p>
        </w:tc>
        <w:tc>
          <w:tcPr>
            <w:tcW w:type="dxa" w:w="4660"/>
            <w:tcMar>
              <w:top w:w="80" w:type="dxa"/>
              <w:start w:w="120" w:type="dxa"/>
              <w:bottom w:w="80" w:type="dxa"/>
              <w:end w:w="120" w:type="dxa"/>
            </w:tcMar>
            <w:vAlign w:val="center"/>
          </w:tcPr>
          <w:p>
            <w:pPr>
              <w:keepNext/>
              <w:spacing w:before="0" w:after="60" w:line="240" w:lineRule="auto"/>
            </w:pPr>
            <w:r>
              <w:rPr>
                <w:rFonts w:ascii="Calibri" w:hAnsi="Calibri"/>
                <w:sz w:val="16"/>
              </w:rPr>
              <w:t>Reject or reserve action capacity; emit fault/gap</w:t>
            </w:r>
          </w:p>
        </w:tc>
      </w:tr>
      <w:tr>
        <w:trPr>
          <w:cantSplit/>
        </w:trPr>
        <w:tc>
          <w:tcPr>
            <w:tcW w:type="dxa" w:w="1400"/>
            <w:tcMar>
              <w:top w:w="80" w:type="dxa"/>
              <w:start w:w="120" w:type="dxa"/>
              <w:bottom w:w="80" w:type="dxa"/>
              <w:end w:w="120" w:type="dxa"/>
            </w:tcMar>
            <w:vAlign w:val="center"/>
          </w:tcPr>
          <w:p>
            <w:pPr>
              <w:spacing w:before="0" w:after="60" w:line="240" w:lineRule="auto"/>
            </w:pPr>
            <w:r>
              <w:rPr>
                <w:rFonts w:ascii="Calibri" w:hAnsi="Calibri"/>
                <w:sz w:val="16"/>
              </w:rPr>
              <w:t>Authorization</w:t>
            </w:r>
          </w:p>
        </w:tc>
        <w:tc>
          <w:tcPr>
            <w:tcW w:type="dxa" w:w="3300"/>
            <w:tcMar>
              <w:top w:w="80" w:type="dxa"/>
              <w:start w:w="120" w:type="dxa"/>
              <w:bottom w:w="80" w:type="dxa"/>
              <w:end w:w="120" w:type="dxa"/>
            </w:tcMar>
            <w:vAlign w:val="center"/>
          </w:tcPr>
          <w:p>
            <w:pPr>
              <w:spacing w:before="0" w:after="60" w:line="240" w:lineRule="auto"/>
            </w:pPr>
            <w:r>
              <w:rPr>
                <w:rFonts w:ascii="Calibri" w:hAnsi="Calibri"/>
                <w:sz w:val="16"/>
              </w:rPr>
              <w:t>unknown actor/session or wrong home</w:t>
            </w:r>
          </w:p>
        </w:tc>
        <w:tc>
          <w:tcPr>
            <w:tcW w:type="dxa" w:w="4660"/>
            <w:tcMar>
              <w:top w:w="80" w:type="dxa"/>
              <w:start w:w="120" w:type="dxa"/>
              <w:bottom w:w="80" w:type="dxa"/>
              <w:end w:w="120" w:type="dxa"/>
            </w:tcMar>
            <w:vAlign w:val="center"/>
          </w:tcPr>
          <w:p>
            <w:pPr>
              <w:spacing w:before="0" w:after="60" w:line="240" w:lineRule="auto"/>
            </w:pPr>
            <w:r>
              <w:rPr>
                <w:rFonts w:ascii="Calibri" w:hAnsi="Calibri"/>
                <w:sz w:val="16"/>
              </w:rPr>
              <w:t>Fail closed; do not reveal cross-home resource</w:t>
            </w:r>
          </w:p>
        </w:tc>
      </w:tr>
    </w:tbl>
    <w:p>
      <w:pPr>
        <w:pStyle w:val="Heading1"/>
      </w:pPr>
      <w:r>
        <w:rPr>
          <w:color w:val="000000"/>
        </w:rPr>
        <w:t>6. Node firmware module LLD</w:t>
      </w:r>
    </w:p>
    <w:p>
      <w:pPr>
        <w:pStyle w:val="Heading2"/>
      </w:pPr>
      <w:r>
        <w:rPr>
          <w:color w:val="000000"/>
        </w:rPr>
        <w:t>N01 — Node sensing</w:t>
      </w:r>
    </w:p>
    <w:p>
      <w:r>
        <w:rPr>
          <w:b/>
        </w:rPr>
        <w:t xml:space="preserve">How this module works. </w:t>
      </w:r>
      <w:r>
        <w:t>The constructor selects motion or reed semantics. sample is called with a raw level and elapsed milliseconds. Keep GPIO inversion and electrical pull configuration in the adapter. Do not read a PIR high level at boot as a newly observed person. The debounce clock and sensor warm-up are different responsibilities.</w:t>
      </w:r>
    </w:p>
    <w:p>
      <w:r>
        <w:rPr>
          <w:b/>
        </w:rPr>
        <w:t xml:space="preserve">Input to output flow. </w:t>
      </w:r>
      <w:r>
        <w:t>Raw PIR/reed level → optional qualified Motion/DoorOpen/DoorClosed event kind. Initialize without emitting; record raw edge; require stability for debounce interval; enforce retrigger interval; emit only a qualified transition.</w:t>
      </w:r>
    </w:p>
    <w:p>
      <w:r>
        <w:rPr>
          <w:b/>
        </w:rPr>
        <w:t xml:space="preserve">State and lifetime. </w:t>
      </w:r>
      <w:r>
        <w:t>raw/stable level, edge timestamp, debounce and retrigger clocks.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Bounce and repeated PIR holds are suppressed. Initial level is state, not an invented event. Queueing and persistence happen outside this module.</w:t>
      </w:r>
    </w:p>
    <w:p>
      <w:r>
        <w:rPr>
          <w:b/>
        </w:rPr>
        <w:t xml:space="preserve">Code navigation. </w:t>
      </w:r>
      <w:r>
        <w:t>Requirements F05, F09. Files: firmware/node/components/sensing/sensing.hpp, sensing.cpp. Public entry points: QualifiedInput::sample(raw_level, now_ms); stable_level().</w:t>
      </w:r>
    </w:p>
    <w:p>
      <w:r>
        <w:rPr>
          <w:b/>
        </w:rPr>
        <w:t xml:space="preserve">Verification boundary. </w:t>
      </w:r>
      <w:r>
        <w:t>tests/cpp/test_main.cpp: initial, bounce and stable-rise checks. Host behavior passes; hardware exit requires voltage, warm-up, hold-time, wake-loop and placement tests. See the current evidence transcript; historical numerical test counts in retained tables belong to their original release.</w:t>
      </w:r>
    </w:p>
    <w:p>
      <w:r>
        <w:rPr>
          <w:b/>
        </w:rPr>
        <w:t xml:space="preserve">Enhancement scope. </w:t>
      </w:r>
      <w:r>
        <w:t>Per-board sensor adapters, supervised wiring and measured false-trigger diagnostics.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firmware/node/components/sensing/sensing.hpp, sensing.cpp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QualifiedInput::sample(raw_level, now_ms); stable_level()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raw/stable level, edge timestamp, debounce and retrigger clocks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Raw PIR/reed level → optional qualified Motion/DoorOpen/DoorClosed event kind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Initialize without emitting; record raw edge; require stability for debounce interval; enforce retrigger interval; emit only a qualified transition.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Bounce and repeated PIR holds are suppressed. Initial level is state, not an invented event. Queueing and persistence happen outside this module.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tests/cpp/test_main.cpp: initial, bounce and stable-rise checks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behavior passes; hardware exit requires voltage, warm-up, hold-time, wake-loop and placement tests.</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Per-board sensor adapters, supervised wiring and measured false-trigger diagnostics.</w:t>
            </w:r>
          </w:p>
        </w:tc>
      </w:tr>
    </w:tbl>
    <w:p>
      <w:pPr>
        <w:pStyle w:val="Heading2"/>
      </w:pPr>
      <w:r>
        <w:rPr>
          <w:color w:val="000000"/>
        </w:rPr>
        <w:t>N02 — Node radio</w:t>
      </w:r>
    </w:p>
    <w:p>
      <w:r>
        <w:rPr>
          <w:b/>
        </w:rPr>
        <w:t xml:space="preserve">How this module works. </w:t>
      </w:r>
      <w:r>
        <w:t>The pending transmission queue owns retry timing but does not own physical RF. A caller asks next_due, transmits through an adapter, then reports the transport result. Only an application acknowledgement with the expected event identity may retire retained business data. Call this component from one owner, not directly from concurrent radio callbacks.</w:t>
      </w:r>
    </w:p>
    <w:p>
      <w:r>
        <w:rPr>
          <w:b/>
        </w:rPr>
        <w:t xml:space="preserve">Input to output flow. </w:t>
      </w:r>
      <w:r>
        <w:t>DomainEvent + application ACK → scheduled transmissions / retired entries. Queue once; expose due item; schedule deterministic jittered retry; reject volatile ACK for business events; retire only DURABLE or policy-discard ACK.</w:t>
      </w:r>
    </w:p>
    <w:p>
      <w:r>
        <w:rPr>
          <w:b/>
        </w:rPr>
        <w:t xml:space="preserve">State and lifetime. </w:t>
      </w:r>
      <w:r>
        <w:t>bounded PendingTx deque, attempt count and next-attempt deadline.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Full queue returns false. Radio success is not durable success. Backoff is bounded by the scheduled wake policy.</w:t>
      </w:r>
    </w:p>
    <w:p>
      <w:r>
        <w:rPr>
          <w:b/>
        </w:rPr>
        <w:t xml:space="preserve">Code navigation. </w:t>
      </w:r>
      <w:r>
        <w:t>Requirements E01, E02, NFR-04. Files: firmware/node/components/radio/node_radio.hpp, node_radio.cpp. Public entry points: enqueue(); next_due(); record_transport_result(); apply_ack().</w:t>
      </w:r>
    </w:p>
    <w:p>
      <w:r>
        <w:rPr>
          <w:b/>
        </w:rPr>
        <w:t xml:space="preserve">Verification boundary. </w:t>
      </w:r>
      <w:r>
        <w:t>C++ tests cover immediate send, volatile ACK retention and durable retirement. Host retry/ACK semantics pass; ESP-NOW encryption, channel search, callback timing and loss tests remain. See the current evidence transcript; historical numerical test counts in retained tables belong to their original release.</w:t>
      </w:r>
    </w:p>
    <w:p>
      <w:r>
        <w:rPr>
          <w:b/>
        </w:rPr>
        <w:t xml:space="preserve">Enhancement scope. </w:t>
      </w:r>
      <w:r>
        <w:t>ESP-NOW adapter first; BLE/Thread transport may implement the same port later.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firmware/node/components/radio/node_radio.hpp, node_radio.cpp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enqueue(); next_due(); record_transport_result(); apply_ack()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bounded PendingTx deque, attempt count and next-attempt 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DomainEvent + application ACK → scheduled transmissions / retired entries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Queue once; expose due item; schedule deterministic jittered retry; reject volatile ACK for business events; retire only DURABLE or policy-discard 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Full queue returns false. Radio success is not durable success. Backoff is bounded by the scheduled wake policy.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immediate send, volatile ACK retention and durable retirement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retry/ACK semantics pass; ESP-NOW encryption, channel search, callback timing and loss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ESP-NOW adapter first; BLE/Thread transport may implement the same port later.</w:t>
            </w:r>
          </w:p>
        </w:tc>
      </w:tr>
    </w:tbl>
    <w:p>
      <w:pPr>
        <w:pStyle w:val="Heading2"/>
      </w:pPr>
      <w:r>
        <w:rPr>
          <w:color w:val="000000"/>
        </w:rPr>
        <w:t>N03 — Node power</w:t>
      </w:r>
    </w:p>
    <w:p>
      <w:r>
        <w:rPr>
          <w:b/>
        </w:rPr>
        <w:t xml:space="preserve">How this module works. </w:t>
      </w:r>
      <w:r>
        <w:t>Battery classification is a policy applied to a calibrated reading, not a fuel gauge. A 3.7 V cell label is nominal voltage, not a regulated MCU supply. Sleep planning must be reconciled with the heartbeat lease and the actual board current; a sleep duration is not a battery-life promise.</w:t>
      </w:r>
    </w:p>
    <w:p>
      <w:r>
        <w:rPr>
          <w:b/>
        </w:rPr>
        <w:t xml:space="preserve">Input to output flow. </w:t>
      </w:r>
      <w:r>
        <w:t>Calibrated millivolts + pending work + NodeConfig → BatteryReading and SleepPlan. Never convert an uncalibrated voltage to percentage; classify voltage band; shorten wake for retry; lengthen it at critical voltage; enable only configured wake sources.</w:t>
      </w:r>
    </w:p>
    <w:p>
      <w:r>
        <w:rPr>
          <w:b/>
        </w:rPr>
        <w:t xml:space="preserve">State and lifetime. </w:t>
      </w:r>
      <w:r>
        <w:t>No mutable ownership; thresholds are explicit policy inputs/constants.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calibration stays UNKNOWN. Software thresholds do not replace cell protection or charger qualification.</w:t>
      </w:r>
    </w:p>
    <w:p>
      <w:r>
        <w:rPr>
          <w:b/>
        </w:rPr>
        <w:t xml:space="preserve">Code navigation. </w:t>
      </w:r>
      <w:r>
        <w:t>Requirements E01, NFR-05. Files: firmware/node/components/power/power.hpp, power.cpp. Public entry points: PowerPolicy::classify(); PowerPolicy::plan().</w:t>
      </w:r>
    </w:p>
    <w:p>
      <w:r>
        <w:rPr>
          <w:b/>
        </w:rPr>
        <w:t xml:space="preserve">Verification boundary. </w:t>
      </w:r>
      <w:r>
        <w:t>C++ tests verify low/unknown bands and retry wake plan. Logic passes; ADC calibration, divider leakage, charge status and full current profile require hardware. See the current evidence transcript; historical numerical test counts in retained tables belong to their original release.</w:t>
      </w:r>
    </w:p>
    <w:p>
      <w:r>
        <w:rPr>
          <w:b/>
        </w:rPr>
        <w:t xml:space="preserve">Enhancement scope. </w:t>
      </w:r>
      <w:r>
        <w:t>Fuel-gauge adapter, ageing model and observed runtime forecast.</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firmware/node/components/power/power.hpp, power.cpp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PowerPolicy::classify(); PowerPolicy::plan()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mutable ownership; thresholds are explicit policy inputs/constants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Calibrated millivolts + pending work + NodeConfig → BatteryReading and SleepPlan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Never convert an uncalibrated voltage to percentage; classify voltage band; shorten wake for retry; lengthen it at critical voltage; enable only configured wake sources.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calibration stays UNKNOWN. Software thresholds do not replace cell protection or charger qualification.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verify low/unknown bands and retry wake plan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Logic passes; ADC calibration, divider leakage, charge status and full current profile require hardware.</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Fuel-gauge adapter, ageing model and observed runtime forecast.</w:t>
            </w:r>
          </w:p>
        </w:tc>
      </w:tr>
    </w:tbl>
    <w:p>
      <w:pPr>
        <w:pStyle w:val="Heading2"/>
      </w:pPr>
      <w:r>
        <w:rPr>
          <w:color w:val="000000"/>
        </w:rPr>
        <w:t>N04 — Node lifecycle</w:t>
      </w:r>
    </w:p>
    <w:p>
      <w:r>
        <w:rPr>
          <w:b/>
        </w:rPr>
        <w:t xml:space="preserve">How this module works. </w:t>
      </w:r>
      <w:r>
        <w:t>Apply receives a complete proposed configuration and returns a reason rather than partially mutating fields. The service-window timer represents a limited maintenance opportunity. Neither a timer nor a node ID authenticates a provisioning party; the transport and credential adapter must supply that trust.</w:t>
      </w:r>
    </w:p>
    <w:p>
      <w:r>
        <w:rPr>
          <w:b/>
        </w:rPr>
        <w:t xml:space="preserve">Input to output flow. </w:t>
      </w:r>
      <w:r>
        <w:t>Versioned NodeConfig / physical action → atomic applied config or reason. Validate identity, location, enabled capability and heartbeat range; reject same/older version; replace active snapshot atomically.</w:t>
      </w:r>
    </w:p>
    <w:p>
      <w:r>
        <w:rPr>
          <w:b/>
        </w:rPr>
        <w:t xml:space="preserve">State and lifetime. </w:t>
      </w:r>
      <w:r>
        <w:t>active NodeConfig and physical-service-window deadline.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open radio enrollment. Invalid config leaves prior version intact. Service access expires by monotonic deadline.</w:t>
      </w:r>
    </w:p>
    <w:p>
      <w:r>
        <w:rPr>
          <w:b/>
        </w:rPr>
        <w:t xml:space="preserve">Code navigation. </w:t>
      </w:r>
      <w:r>
        <w:t>Requirements F03, E07, E09. Files: firmware/node/components/lifecycle/lifecycle.hpp, lifecycle.cpp. Public entry points: LifecycleService::apply(); open_service_window(); service_window_open().</w:t>
      </w:r>
    </w:p>
    <w:p>
      <w:r>
        <w:rPr>
          <w:b/>
        </w:rPr>
        <w:t xml:space="preserve">Verification boundary. </w:t>
      </w:r>
      <w:r>
        <w:t>C++ tests cover invalid capability, valid apply, rollback and 120-second window. Host state transition passes; NVS atomicity, USB jig and authenticated boot registration remain. See the current evidence transcript; historical numerical test counts in retained tables belong to their original release.</w:t>
      </w:r>
    </w:p>
    <w:p>
      <w:r>
        <w:rPr>
          <w:b/>
        </w:rPr>
        <w:t xml:space="preserve">Enhancement scope. </w:t>
      </w:r>
      <w:r>
        <w:t>Signed delta configuration and controlled node firmware orchestration.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firmware/node/components/lifecycle/lifecycle.hpp, lifecycle.cpp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LifecycleService::apply(); open_service_window(); service_window_open()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active NodeConfig and physical-service-window 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Versioned NodeConfig / physical action → atomic applied config or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 identity, location, enabled capability and heartbeat range; reject same/older version; replace active snapshot atomically.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open radio enrollment. Invalid config leaves prior version intact. Service access expires by monotonic 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invalid capability, valid apply, rollback and 120-second window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state transition passes; NVS atomicity, USB jig and authenticated boot registration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Signed delta configuration and controlled node firmware orchestration.</w:t>
            </w:r>
          </w:p>
        </w:tc>
      </w:tr>
    </w:tbl>
    <w:p>
      <w:pPr>
        <w:pStyle w:val="Heading2"/>
      </w:pPr>
      <w:r>
        <w:rPr>
          <w:color w:val="000000"/>
        </w:rPr>
        <w:t>N05 — Node storage</w:t>
      </w:r>
    </w:p>
    <w:p>
      <w:r>
        <w:rPr>
          <w:b/>
        </w:rPr>
        <w:t xml:space="preserve">How this module works. </w:t>
      </w:r>
      <w:r>
        <w:t>Business events are retained while ordinary heartbeats need not be journalled in the same way. A full store raises a gap requirement. In the current composition a stored event can remain after transmit enqueue fails; do not retry by recording a fresh event, because that changes identity. Add a replay/refill path.</w:t>
      </w:r>
    </w:p>
    <w:p>
      <w:r>
        <w:rPr>
          <w:b/>
        </w:rPr>
        <w:t xml:space="preserve">Input to output flow. </w:t>
      </w:r>
      <w:r>
        <w:t>Business DomainEvent + ACK → retained/released event or overflow signal. Ignore periodic heartbeat for flash journal; deduplicate; append before transmit; retire on DURABLE or DISCARDED_POLICY; signal capacity loss.</w:t>
      </w:r>
    </w:p>
    <w:p>
      <w:r>
        <w:rPr>
          <w:b/>
        </w:rPr>
        <w:t xml:space="preserve">State and lifetime. </w:t>
      </w:r>
      <w:r>
        <w:t>bounded business-event deque and explicit gap-marker flag.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Full store does not silently drop; gap_marker_required becomes true. Volatile ACK cannot delete business evidence.</w:t>
      </w:r>
    </w:p>
    <w:p>
      <w:r>
        <w:rPr>
          <w:b/>
        </w:rPr>
        <w:t xml:space="preserve">Code navigation. </w:t>
      </w:r>
      <w:r>
        <w:t>Requirements E02, E05, NFR-03. Files: firmware/node/components/storage/node_store.hpp, node_store.cpp. Public entry points: NodeStore::append(); acknowledge(); oldest().</w:t>
      </w:r>
    </w:p>
    <w:p>
      <w:r>
        <w:rPr>
          <w:b/>
        </w:rPr>
        <w:t xml:space="preserve">Verification boundary. </w:t>
      </w:r>
      <w:r>
        <w:t>C++ tests cover persist-before-send and ACK class behavior; NodeRuntime composition tested. Host semantics pass; CRC/commit-marker flash ring and interrupted-write recovery require board partitions. See the current evidence transcript; historical numerical test counts in retained tables belong to their original release.</w:t>
      </w:r>
    </w:p>
    <w:p>
      <w:r>
        <w:rPr>
          <w:b/>
        </w:rPr>
        <w:t xml:space="preserve">Enhancement scope. </w:t>
      </w:r>
      <w:r>
        <w:t>Wear-aware compaction and measured retention sizing.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firmware/node/components/storage/node_store.hpp, node_store.cpp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NodeStore::append(); acknowledge(); oldest()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bounded business-event deque and explicit gap-marker flag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Business DomainEvent + ACK → retained/released event or overflow signal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Ignore periodic heartbeat for flash journal; deduplicate; append before transmit; retire on DURABLE or DISCARDED_POLICY; signal capacity loss.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Full store does not silently drop; gap_marker_required becomes true. Volatile ACK cannot delete business evidence.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persist-before-send and ACK class behavior; NodeRuntime composition tested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semantics pass; CRC/commit-marker flash ring and interrupted-write recovery require board partitions.</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Wear-aware compaction and measured retention sizing.</w:t>
            </w:r>
          </w:p>
        </w:tc>
      </w:tr>
    </w:tbl>
    <w:p>
      <w:pPr>
        <w:pStyle w:val="Heading1"/>
      </w:pPr>
      <w:r>
        <w:rPr>
          <w:color w:val="000000"/>
        </w:rPr>
        <w:t>7. Hub firmware module LLD</w:t>
      </w:r>
    </w:p>
    <w:p>
      <w:pPr>
        <w:pStyle w:val="Heading2"/>
      </w:pPr>
      <w:r>
        <w:rPr>
          <w:color w:val="000000"/>
        </w:rPr>
        <w:t>H01 — Hub ingest</w:t>
      </w:r>
    </w:p>
    <w:p>
      <w:r>
        <w:rPr>
          <w:b/>
        </w:rPr>
        <w:t xml:space="preserve">How this module works. </w:t>
      </w:r>
      <w:r>
        <w:t>The callback boundary should validate and copy bounded values, then return quickly. The reference uses STL values and a deque, so it models the ownership rule rather than proving an allocation-free interrupt path. The physical frame parser must validate length, version, authentication and numeric ranges before constructing a DomainEvent.</w:t>
      </w:r>
    </w:p>
    <w:p>
      <w:r>
        <w:rPr>
          <w:b/>
        </w:rPr>
        <w:t xml:space="preserve">Input to output flow. </w:t>
      </w:r>
      <w:r>
        <w:t>Radio callback DomainEvent → admitted fixed-value mailbox entry. Authenticate source/session and sequence; copy into bounded queue; return immediately; state task later pops and processes.</w:t>
      </w:r>
    </w:p>
    <w:p>
      <w:r>
        <w:rPr>
          <w:b/>
        </w:rPr>
        <w:t xml:space="preserve">State and lifetime. </w:t>
      </w:r>
      <w:r>
        <w:t>authorized source→session map, bounded ingress deque and rejection count.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session or full queue rejects and increments observable count. Callback never writes flash or runs rules.</w:t>
      </w:r>
    </w:p>
    <w:p>
      <w:r>
        <w:rPr>
          <w:b/>
        </w:rPr>
        <w:t xml:space="preserve">Code navigation. </w:t>
      </w:r>
      <w:r>
        <w:t>Requirements F05, E02, NFR-04. Files: firmware/hub/components/ingest/ingest.hpp, ingest.cpp. Public entry points: PeerRegistry::authorize/accepts; IngestQueue::callback_copy/pop.</w:t>
      </w:r>
    </w:p>
    <w:p>
      <w:r>
        <w:rPr>
          <w:b/>
        </w:rPr>
        <w:t xml:space="preserve">Verification boundary. </w:t>
      </w:r>
      <w:r>
        <w:t>C++ tests cover known/unknown peer and callback-to-worker copy. Host admission passes; frame authentication, payload bounds and ISR/callback latency remain on ESP-IDF. See the current evidence transcript; historical numerical test counts in retained tables belong to their original release.</w:t>
      </w:r>
    </w:p>
    <w:p>
      <w:r>
        <w:rPr>
          <w:b/>
        </w:rPr>
        <w:t xml:space="preserve">Enhancement scope. </w:t>
      </w:r>
      <w:r>
        <w:t>Per-peer rate caps and captured RF diagnostics.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firmware/hub/components/ingest/ingest.hpp, ingest.cpp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PeerRegistry::authorize/accepts; IngestQueue::callback_copy/pop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authorized source→session map, bounded ingress deque and rejection count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Radio callback DomainEvent → admitted fixed-value mailbox entry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Authenticate source/session and sequence; copy into bounded queue; return immediately; state task later pops and processes.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session or full queue rejects and increments observable count. Callback never writes flash or runs rules.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known/unknown peer and callback-to-worker copy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admission passes; frame authentication, payload bounds and ISR/callback latency remain on ESP-IDF.</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Per-peer rate caps and captured RF diagnostics.</w:t>
            </w:r>
          </w:p>
        </w:tc>
      </w:tr>
    </w:tbl>
    <w:p>
      <w:pPr>
        <w:pStyle w:val="Heading2"/>
      </w:pPr>
      <w:r>
        <w:rPr>
          <w:color w:val="000000"/>
        </w:rPr>
        <w:t>H02 — Hub persistence</w:t>
      </w:r>
    </w:p>
    <w:p>
      <w:r>
        <w:rPr>
          <w:b/>
        </w:rPr>
        <w:t xml:space="preserve">How this module works. </w:t>
      </w:r>
      <w:r>
        <w:t>A commit result has three meanings: Stored adds a new record, Duplicate refers to an already known key, and Full refuses new evidence. The name journal describes intended semantics; the current deque is volatile. Cloud acknowledgements mark records but do not currently free capacity.</w:t>
      </w:r>
    </w:p>
    <w:p>
      <w:r>
        <w:rPr>
          <w:b/>
        </w:rPr>
        <w:t xml:space="preserve">Input to output flow. </w:t>
      </w:r>
      <w:r>
        <w:t>DomainEvent → Stored/Duplicate/Full; committed records → cloud outbox batch. Check event key; commit once; expose unacknowledged records; retain until backend application-commit ACK.</w:t>
      </w:r>
    </w:p>
    <w:p>
      <w:r>
        <w:rPr>
          <w:b/>
        </w:rPr>
        <w:t xml:space="preserve">State and lifetime. </w:t>
      </w:r>
      <w:r>
        <w:t>bounded ordered records, event-ID set and application-ACK set.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Full returns Full and therefore no DURABLE node ACK. Duplicate returns committed equivalence. MQTT PUBACK is intentionally absent from retirement API.</w:t>
      </w:r>
    </w:p>
    <w:p>
      <w:r>
        <w:rPr>
          <w:b/>
        </w:rPr>
        <w:t xml:space="preserve">Code navigation. </w:t>
      </w:r>
      <w:r>
        <w:t>Requirements F05, F06, F07, E02, E03, E05, E10, NFR-03, NFR-05. Files: firmware/hub/components/storage/journal.hpp, journal.cpp. Public entry points: HubJournal::commit(); pending_cloud(); acknowledge_cloud(); contains().</w:t>
      </w:r>
    </w:p>
    <w:p>
      <w:r>
        <w:rPr>
          <w:b/>
        </w:rPr>
        <w:t xml:space="preserve">Verification boundary. </w:t>
      </w:r>
      <w:r>
        <w:t>C++ tests cover store, duplicate, pending outbox and application ACK. Host invariants pass; append-only flash record, CRC, checkpoint, wear and 100-cycle crash test remain. See the current evidence transcript; historical numerical test counts in retained tables belong to their original release.</w:t>
      </w:r>
    </w:p>
    <w:p>
      <w:r>
        <w:rPr>
          <w:b/>
        </w:rPr>
        <w:t xml:space="preserve">Enhancement scope. </w:t>
      </w:r>
      <w:r>
        <w:t>Priority partitions and compaction tuned to measured event volume.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firmware/hub/components/storage/journal.hpp, journal.cpp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HubJournal::commit(); pending_cloud(); acknowledge_cloud(); contains()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bounded ordered records, event-ID set and application-ACK set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DomainEvent → Stored/Duplicate/Full; committed records → cloud outbox batch</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Check event key; commit once; expose unacknowledged records; retain until backend application-commit 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Full returns Full and therefore no DURABLE node ACK. Duplicate returns committed equivalence. MQTT PUBACK is intentionally absent from retirement API.</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store, duplicate, pending outbox and application 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invariants pass; append-only flash record, CRC, checkpoint, wear and 100-cycle crash test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Priority partitions and compaction tuned to measured event volume.</w:t>
            </w:r>
          </w:p>
        </w:tc>
      </w:tr>
    </w:tbl>
    <w:p>
      <w:pPr>
        <w:pStyle w:val="Heading2"/>
      </w:pPr>
      <w:r>
        <w:rPr>
          <w:color w:val="000000"/>
        </w:rPr>
        <w:t>H03 — Hub time</w:t>
      </w:r>
    </w:p>
    <w:p>
      <w:r>
        <w:rPr>
          <w:b/>
        </w:rPr>
        <w:t xml:space="preserve">How this module works. </w:t>
      </w:r>
      <w:r>
        <w:t>Use estimate only with a monotonic value from the same continuity epoch as the anchor. A wall-time correction is not a reason to jump a monotonic timeout. An expired or missing anchor prevents absence inference until trusted time is restored; the reference is not itself a network time client.</w:t>
      </w:r>
    </w:p>
    <w:p>
      <w:r>
        <w:rPr>
          <w:b/>
        </w:rPr>
        <w:t xml:space="preserve">Input to output flow. </w:t>
      </w:r>
      <w:r>
        <w:t>Authenticated time anchor + monotonic now → earliest/latest wall-time estimate and trust. Advance from monotonic elapsed time; expand uncertainty by conservative drift; expire anchor after 72 hours; gate absence evaluation by trust and uncertainty.</w:t>
      </w:r>
    </w:p>
    <w:p>
      <w:r>
        <w:rPr>
          <w:b/>
        </w:rPr>
        <w:t xml:space="preserve">State and lifetime. </w:t>
      </w:r>
      <w:r>
        <w:t>trusted server anchor, monotonic anchor and uncertainty.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anchor, monotonic rollback or expired anchor produces untrusted/expired state. Manual buttons remain valid elsewhere.</w:t>
      </w:r>
    </w:p>
    <w:p>
      <w:r>
        <w:rPr>
          <w:b/>
        </w:rPr>
        <w:t xml:space="preserve">Code navigation. </w:t>
      </w:r>
      <w:r>
        <w:t>Requirements F04, F08, E03, E06. Files: firmware/hub/components/time/clock.hpp, clock.cpp. Public entry points: TrustedClock::anchor(); estimate(); valid_for_absence().</w:t>
      </w:r>
    </w:p>
    <w:p>
      <w:r>
        <w:rPr>
          <w:b/>
        </w:rPr>
        <w:t xml:space="preserve">Verification boundary. </w:t>
      </w:r>
      <w:r>
        <w:t>C++ tests verify unanchored suppression and trusted bounded estimate. Host math passes; authenticated exchange, reboot lower-bound and optional RTC behavior remain. See the current evidence transcript; historical numerical test counts in retained tables belong to their original release.</w:t>
      </w:r>
    </w:p>
    <w:p>
      <w:r>
        <w:rPr>
          <w:b/>
        </w:rPr>
        <w:t xml:space="preserve">Enhancement scope. </w:t>
      </w:r>
      <w:r>
        <w:t>Board-measured oscillator drift and generated DST boundary fixtures.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firmware/hub/components/time/clock.hpp, clock.cpp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TrustedClock::anchor(); estimate(); valid_for_absence()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trusted server anchor, monotonic anchor and uncertainty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Authenticated time anchor + monotonic now → earliest/latest wall-time estimate and trust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Advance from monotonic elapsed time; expand uncertainty by conservative drift; expire anchor after 72 hours; gate absence evaluation by trust and uncertainty.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anchor, monotonic rollback or expired anchor produces untrusted/expired state. Manual buttons remain valid elsewhere.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verify unanchored suppression and trusted bounded estimate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math passes; authenticated exchange, reboot lower-bound and optional RTC behavior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Board-measured oscillator drift and generated DST boundary fixtures.</w:t>
            </w:r>
          </w:p>
        </w:tc>
      </w:tr>
    </w:tbl>
    <w:p>
      <w:pPr>
        <w:pStyle w:val="Heading2"/>
      </w:pPr>
      <w:r>
        <w:rPr>
          <w:color w:val="000000"/>
        </w:rPr>
        <w:t>H04 — Hub coverage</w:t>
      </w:r>
    </w:p>
    <w:p>
      <w:r>
        <w:rPr>
          <w:b/>
        </w:rPr>
        <w:t xml:space="preserve">How this module works. </w:t>
      </w:r>
      <w:r>
        <w:t>CoverageTracker owns contact and fault state for required nodes. Optional nodes should not invalidate unrelated routines. Its current/reasons methods describe the present moment; they do not reconstruct whether the entire morning was observable. Store interval history before making that stronger claim.</w:t>
      </w:r>
    </w:p>
    <w:p>
      <w:r>
        <w:rPr>
          <w:b/>
        </w:rPr>
        <w:t xml:space="preserve">Input to output flow. </w:t>
      </w:r>
      <w:r>
        <w:t>Heartbeat/business contact + lease clock → Covered/Unknown/Fault and reason list. Require only configured routine sources; refresh contact; report unknown for unseen/expired source; report fault separately from activity.</w:t>
      </w:r>
    </w:p>
    <w:p>
      <w:r>
        <w:rPr>
          <w:b/>
        </w:rPr>
        <w:t xml:space="preserve">State and lifetime. </w:t>
      </w:r>
      <w:r>
        <w:t>required-node set and per-node last contact, battery and fault.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Current recovery never erases the historical gap. A heartbeat cannot clear an explicit sensor fault.</w:t>
      </w:r>
    </w:p>
    <w:p>
      <w:r>
        <w:rPr>
          <w:b/>
        </w:rPr>
        <w:t xml:space="preserve">Code navigation. </w:t>
      </w:r>
      <w:r>
        <w:t>Requirements F08, E01, E03. Files: firmware/hub/components/coverage/coverage.hpp, coverage.cpp. Public entry points: require_node(); observe(); set_sensor_fault(); current(); reasons().</w:t>
      </w:r>
    </w:p>
    <w:p>
      <w:r>
        <w:rPr>
          <w:b/>
        </w:rPr>
        <w:t xml:space="preserve">Verification boundary. </w:t>
      </w:r>
      <w:r>
        <w:t>C++ tests cover never-seen, fresh and 190-second expired lease. Current-state host logic passes; interval reconstruction and physical sensor-path drills remain. See the current evidence transcript; historical numerical test counts in retained tables belong to their original release.</w:t>
      </w:r>
    </w:p>
    <w:p>
      <w:r>
        <w:rPr>
          <w:b/>
        </w:rPr>
        <w:t xml:space="preserve">Enhancement scope. </w:t>
      </w:r>
      <w:r>
        <w:t>Coverage intervals, mounting-drift checks and source-specific eligibility.</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firmware/hub/components/coverage/coverage.hpp, coverage.cpp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require_node(); observe(); set_sensor_fault(); current(); reasons()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required-node set and per-node last contact, battery and fault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Heartbeat/business contact + lease clock → Covered/Unknown/Fault and reason list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 only configured routine sources; refresh contact; report unknown for unseen/expired source; report fault separately from activity.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Current recovery never erases the historical gap. A heartbeat cannot clear an explicit sensor fault.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never-seen, fresh and 190-second expired lease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Current-state host logic passes; interval reconstruction and physical sensor-path drills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Coverage intervals, mounting-drift checks and source-specific eligibility.</w:t>
            </w:r>
          </w:p>
        </w:tc>
      </w:tr>
    </w:tbl>
    <w:p>
      <w:pPr>
        <w:pStyle w:val="Heading2"/>
      </w:pPr>
      <w:r>
        <w:rPr>
          <w:color w:val="000000"/>
        </w:rPr>
        <w:t>H05 — Hub rules adapter</w:t>
      </w:r>
    </w:p>
    <w:p>
      <w:r>
        <w:rPr>
          <w:b/>
        </w:rPr>
        <w:t xml:space="preserve">How this module works. </w:t>
      </w:r>
      <w:r>
        <w:t>RoutineService is the stateful shell around the pure RulesCore. start_window replaces configuration and resets the caller-owned routine state. It is the natural owner for future persisted window checkpoints, but the current code has no autonomous timer, calendar scheduler or prompt/grace coordinator.</w:t>
      </w:r>
    </w:p>
    <w:p>
      <w:r>
        <w:rPr>
          <w:b/>
        </w:rPr>
        <w:t xml:space="preserve">Input to output flow. </w:t>
      </w:r>
      <w:r>
        <w:t>Committed event / deadline / coverage → evidence state or stable incident decision. Reset on stable window ID; apply pure S02 reducer; at grace deadline require trusted time, HOME mode and Covered state; create once if no evidence.</w:t>
      </w:r>
    </w:p>
    <w:p>
      <w:r>
        <w:rPr>
          <w:b/>
        </w:rPr>
        <w:t xml:space="preserve">State and lifetime. </w:t>
      </w:r>
      <w:r>
        <w:t>one RoutineConfig and RoutineState owned by the hub state task.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coverage, privacy/away/pause, test data or untrusted time suppresses missing-activity creation with a reason.</w:t>
      </w:r>
    </w:p>
    <w:p>
      <w:r>
        <w:rPr>
          <w:b/>
        </w:rPr>
        <w:t xml:space="preserve">Code navigation. </w:t>
      </w:r>
      <w:r>
        <w:t>Requirements F04, F05, F06, F07, F08, F09, F10, E03, E06, AI05, NFR-01. Files: firmware/hub/components/rules/routine_service.hpp, routine_service.cpp. Public entry points: start_window(); set_coverage(); apply(); deadline().</w:t>
      </w:r>
    </w:p>
    <w:p>
      <w:r>
        <w:rPr>
          <w:b/>
        </w:rPr>
        <w:t xml:space="preserve">Verification boundary. </w:t>
      </w:r>
      <w:r>
        <w:t>C++ tests cover evidence, missing, duplicate deadline, coverage unknown and privacy. Rule paths pass; full scenario replay and long-running device timer/reboot tests remain. See the current evidence transcript; historical numerical test counts in retained tables belong to their original release.</w:t>
      </w:r>
    </w:p>
    <w:p>
      <w:r>
        <w:rPr>
          <w:b/>
        </w:rPr>
        <w:t xml:space="preserve">Enhancement scope. </w:t>
      </w:r>
      <w:r>
        <w:t>Additional deterministic routines without opaque risk scores.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firmware/hub/components/rules/routine_service.hpp, routine_service.cpp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start_window(); set_coverage(); apply(); 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one RoutineConfig and RoutineState owned by the hub state task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Committed event / deadline / coverage → evidence state or stable incident decision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Reset on stable window ID; apply pure S02 reducer; at grace deadline require trusted time, HOME mode and Covered state; create once if no evidence.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coverage, privacy/away/pause, test data or untrusted time suppresses missing-activity creation with a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evidence, missing, duplicate deadline, coverage unknown and privacy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Rule paths pass; full scenario replay and long-running device timer/reboot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Additional deterministic routines without opaque risk scores.</w:t>
            </w:r>
          </w:p>
        </w:tc>
      </w:tr>
    </w:tbl>
    <w:p>
      <w:pPr>
        <w:pStyle w:val="Heading2"/>
      </w:pPr>
      <w:r>
        <w:rPr>
          <w:color w:val="000000"/>
        </w:rPr>
        <w:t>H06 — Hub resident interface</w:t>
      </w:r>
    </w:p>
    <w:p>
      <w:r>
        <w:rPr>
          <w:b/>
        </w:rPr>
        <w:t xml:space="preserve">How this module works. </w:t>
      </w:r>
      <w:r>
        <w:t>ResidentUi creates semantic events and feedback values. The physical input adapter must separately debounce, distinguish buttons and enforce accessibility. feedback_for receives remote availability from the caller; that boolean is not proof that a notification was delivered to a person.</w:t>
      </w:r>
    </w:p>
    <w:p>
      <w:r>
        <w:rPr>
          <w:b/>
        </w:rPr>
        <w:t xml:space="preserve">Input to output flow. </w:t>
      </w:r>
      <w:r>
        <w:t>OK/Call/Privacy action → durable DomainEvent and local feedback code/text. Map physically distinct controls to explicit event kinds; state whether action was saved locally or accepted remotely; use fixed prompt flag only.</w:t>
      </w:r>
    </w:p>
    <w:p>
      <w:r>
        <w:rPr>
          <w:b/>
        </w:rPr>
        <w:t xml:space="preserve">State and lifetime. </w:t>
      </w:r>
      <w:r>
        <w:t>Stateless command builder; physical debounce belongs to GPIO adapter.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microphone or generated speech. Offline Call family remains stored and explicitly says internet unavailable.</w:t>
      </w:r>
    </w:p>
    <w:p>
      <w:r>
        <w:rPr>
          <w:b/>
        </w:rPr>
        <w:t xml:space="preserve">Code navigation. </w:t>
      </w:r>
      <w:r>
        <w:t>Requirements F02, F06, F07, F10, E03, AI05, NFR-02, NFR-10. Files: firmware/hub/components/ui/resident_ui.hpp, resident_ui.cpp. Public entry points: ResidentUi::make_action(); feedback_for().</w:t>
      </w:r>
    </w:p>
    <w:p>
      <w:r>
        <w:rPr>
          <w:b/>
        </w:rPr>
        <w:t xml:space="preserve">Verification boundary. </w:t>
      </w:r>
      <w:r>
        <w:t>C++ tests verify Call family event and offline wording. Host event/feedback contract passes; buttons, latching switch, OLED/LED, audio load and resident usability remain. See the current evidence transcript; historical numerical test counts in retained tables belong to their original release.</w:t>
      </w:r>
    </w:p>
    <w:p>
      <w:r>
        <w:rPr>
          <w:b/>
        </w:rPr>
        <w:t xml:space="preserve">Enhancement scope. </w:t>
      </w:r>
      <w:r>
        <w:t>Localized fixed prompts and accessibility options after testing.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firmware/hub/components/ui/resident_ui.hpp, resident_ui.cpp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ResidentUi::make_action(); feedback_for()</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Stateless command builder; physical debounce belongs to GPIO adapter</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OK/Call/Privacy action → durable DomainEvent and local feedback code/text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Map physically distinct controls to explicit event kinds; state whether action was saved locally or accepted remotely; use fixed prompt flag only.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microphone or generated speech. Offline Call family remains stored and explicitly says internet unavailable.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verify Call family event and offline wording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event/feedback contract passes; buttons, latching switch, OLED/LED, audio load and resident usability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Localized fixed prompts and accessibility options after testing.</w:t>
            </w:r>
          </w:p>
        </w:tc>
      </w:tr>
    </w:tbl>
    <w:p>
      <w:pPr>
        <w:pStyle w:val="Heading2"/>
      </w:pPr>
      <w:r>
        <w:rPr>
          <w:color w:val="000000"/>
        </w:rPr>
        <w:t>H07 — Hub lifecycle/config</w:t>
      </w:r>
    </w:p>
    <w:p>
      <w:r>
        <w:rPr>
          <w:b/>
        </w:rPr>
        <w:t xml:space="preserve">How this module works. </w:t>
      </w:r>
      <w:r>
        <w:t>ConfigService maintains the active hub snapshot and rejects stale versions and invalid ordering. Production persistence must replace the whole snapshot atomically and retain the prior valid one after interruption. Report both desired and applied versions to avoid hiding an offline hub.</w:t>
      </w:r>
    </w:p>
    <w:p>
      <w:r>
        <w:rPr>
          <w:b/>
        </w:rPr>
        <w:t xml:space="preserve">Input to output flow. </w:t>
      </w:r>
      <w:r>
        <w:t>Desired HomeConfig → applied version or rejection reason. Validate home/timezone and ordered window boundaries; reject same/older version; replace atomically; expose applied version.</w:t>
      </w:r>
    </w:p>
    <w:p>
      <w:r>
        <w:rPr>
          <w:b/>
        </w:rPr>
        <w:t xml:space="preserve">State and lifetime. </w:t>
      </w:r>
      <w:r>
        <w:t>active immutable HomeConfig snapshot and applied version.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Invalid version never partially mutates active rules. Device update orchestration is separated by S03 policy.</w:t>
      </w:r>
    </w:p>
    <w:p>
      <w:r>
        <w:rPr>
          <w:b/>
        </w:rPr>
        <w:t xml:space="preserve">Code navigation. </w:t>
      </w:r>
      <w:r>
        <w:t>Requirements F02, F03, F04, F10, E06, E07, E09, NFR-07. Files: firmware/hub/components/lifecycle/config_service.hpp, config_service.cpp. Public entry points: ConfigService::apply(); active().</w:t>
      </w:r>
    </w:p>
    <w:p>
      <w:r>
        <w:rPr>
          <w:b/>
        </w:rPr>
        <w:t xml:space="preserve">Verification boundary. </w:t>
      </w:r>
      <w:r>
        <w:t>C++ tests cover valid apply and stale-version rejection. Host atomic snapshot passes; NVS transaction, reboot restore, provisioning and OTA binding remain. See the current evidence transcript; historical numerical test counts in retained tables belong to their original release.</w:t>
      </w:r>
    </w:p>
    <w:p>
      <w:r>
        <w:rPr>
          <w:b/>
        </w:rPr>
        <w:t xml:space="preserve">Enhancement scope. </w:t>
      </w:r>
      <w:r>
        <w:t>Staged rollout, rollback health window and fleet cohort controls.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firmware/hub/components/lifecycle/config_service.hpp, config_service.cpp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ConfigService::apply(); active()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active immutable HomeConfig snapshot and applied version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Desired HomeConfig → applied version or rejection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 home/timezone and ordered window boundaries; reject same/older version; replace atomically; expose applied version.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Invalid version never partially mutates active rules. Device update orchestration is separated by S03 policy.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valid apply and stale-version rejection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atomic snapshot passes; NVS transaction, reboot restore, provisioning and OTA binding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Staged rollout, rollback health window and fleet cohort controls.</w:t>
            </w:r>
          </w:p>
        </w:tc>
      </w:tr>
    </w:tbl>
    <w:p>
      <w:pPr>
        <w:pStyle w:val="Heading2"/>
      </w:pPr>
      <w:r>
        <w:rPr>
          <w:color w:val="000000"/>
        </w:rPr>
        <w:t>H08 — Hub cloud link</w:t>
      </w:r>
    </w:p>
    <w:p>
      <w:r>
        <w:rPr>
          <w:b/>
        </w:rPr>
        <w:t xml:space="preserve">How this module works. </w:t>
      </w:r>
      <w:r>
        <w:t>CloudSync asks the journal for outstanding events, orders important events and applies backoff. Transport-level PUBACK does not call application_commit_ack. The backend acknowledgement must mean its transaction has committed the event and its required effects.</w:t>
      </w:r>
    </w:p>
    <w:p>
      <w:r>
        <w:rPr>
          <w:b/>
        </w:rPr>
        <w:t xml:space="preserve">Input to output flow. </w:t>
      </w:r>
      <w:r>
        <w:t>Committed outbox + connection/ACK → prioritized batch and retirement. Send only when connected/due; prioritize Call family over history; use bounded reconnect schedule; retire on backend commit ACK.</w:t>
      </w:r>
    </w:p>
    <w:p>
      <w:r>
        <w:rPr>
          <w:b/>
        </w:rPr>
        <w:t xml:space="preserve">State and lifetime. </w:t>
      </w:r>
      <w:r>
        <w:t>connection flag, failure count and retry-after deadline; journal owns payload.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Disconnect/backoff preserves outbox. Transport ACK cannot call application_commit_ack. Original event time is unchanged.</w:t>
      </w:r>
    </w:p>
    <w:p>
      <w:r>
        <w:rPr>
          <w:b/>
        </w:rPr>
        <w:t xml:space="preserve">Code navigation. </w:t>
      </w:r>
      <w:r>
        <w:t>Requirements F12, E02, E03, E04, E07, E10, NFR-03. Files: firmware/hub/components/cloud/cloud_sync.hpp, cloud_sync.cpp. Public entry points: set_connected(); next_batch(); application_commit_ack(); record_failure().</w:t>
      </w:r>
    </w:p>
    <w:p>
      <w:r>
        <w:rPr>
          <w:b/>
        </w:rPr>
        <w:t xml:space="preserve">Verification boundary. </w:t>
      </w:r>
      <w:r>
        <w:t>C++ tests cover urgent ordering and application-level retirement; simulator replays one offline record. Host scheduling passes; Wi-Fi/TLS/MQTT, ACL, broker failure and 72-hour field replay remain. See the current evidence transcript; historical numerical test counts in retained tables belong to their original release.</w:t>
      </w:r>
    </w:p>
    <w:p>
      <w:r>
        <w:rPr>
          <w:b/>
        </w:rPr>
        <w:t xml:space="preserve">Enhancement scope. </w:t>
      </w:r>
      <w:r>
        <w:t>Cellular adapter only after cost and operational design.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firmware/hub/components/cloud/cloud_sync.hpp, cloud_sync.cpp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set_connected(); next_batch(); application_commit_ack(); record_failure()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connection flag, failure count and retry-after deadline; journal owns payload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Committed outbox + connection/ACK → prioritized batch and retirement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Send only when connected/due; prioritize Call family over history; use bounded reconnect schedule; retire on backend commit 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Disconnect/backoff preserves outbox. Transport ACK cannot call application_commit_ack. Original event time is unchanged.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urgent ordering and application-level retirement; simulator replays one offline record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scheduling passes; Wi-Fi/TLS/MQTT, ACL, broker failure and 72-hour field replay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Cellular adapter only after cost and operational design.</w:t>
            </w:r>
          </w:p>
        </w:tc>
      </w:tr>
    </w:tbl>
    <w:p>
      <w:pPr>
        <w:pStyle w:val="Heading1"/>
      </w:pPr>
      <w:r>
        <w:rPr>
          <w:color w:val="000000"/>
        </w:rPr>
        <w:t>8. Backend module LLD</w:t>
      </w:r>
    </w:p>
    <w:p>
      <w:pPr>
        <w:pStyle w:val="Heading2"/>
      </w:pPr>
      <w:r>
        <w:rPr>
          <w:color w:val="000000"/>
        </w:rPr>
        <w:t>B01 — Identity/access</w:t>
      </w:r>
    </w:p>
    <w:p>
      <w:r>
        <w:rPr>
          <w:b/>
        </w:rPr>
        <w:t xml:space="preserve">How this module works. </w:t>
      </w:r>
      <w:r>
        <w:t>IdentityService checks a household membership and its permission/expiry rules. It does not perform OIDC token validation. The API adapter must turn an authenticated principal into actor_id, and mutating methods need stricter permissions than an unrestricted read role.</w:t>
      </w:r>
    </w:p>
    <w:p>
      <w:r>
        <w:rPr>
          <w:b/>
        </w:rPr>
        <w:t xml:space="preserve">Input to output flow. </w:t>
      </w:r>
      <w:r>
        <w:t>Verified actor claim + home + permission → membership or AuthorizationError. Resolve exact home-scoped membership; distinguish manage/read role sets; enforce expiry; audit grant/revoke.</w:t>
      </w:r>
    </w:p>
    <w:p>
      <w:r>
        <w:rPr>
          <w:b/>
        </w:rPr>
        <w:t xml:space="preserve">State and lifetime. </w:t>
      </w:r>
      <w:r>
        <w:t>Membership rows keyed by (home_id, actor_id), active flag and expiry.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global caregiver access and no serial-number authorization. Cross-home lookup fails closed.</w:t>
      </w:r>
    </w:p>
    <w:p>
      <w:r>
        <w:rPr>
          <w:b/>
        </w:rPr>
        <w:t xml:space="preserve">Code navigation. </w:t>
      </w:r>
      <w:r>
        <w:t>Requirements F01, E08, AI07, NFR-06. Files: backend/ghar_sajag/identity.py. Public entry points: IdentityService.grant/revoke/require.</w:t>
      </w:r>
    </w:p>
    <w:p>
      <w:r>
        <w:rPr>
          <w:b/>
        </w:rPr>
        <w:t xml:space="preserve">Verification boundary. </w:t>
      </w:r>
      <w:r>
        <w:t>test_B01_F01_membership_is_tenant_scoped. Domain policy passes; production OIDC verification, token audience/issuer and database row-level controls remain. See the current evidence transcript; historical numerical test counts in retained tables belong to their original release.</w:t>
      </w:r>
    </w:p>
    <w:p>
      <w:r>
        <w:rPr>
          <w:b/>
        </w:rPr>
        <w:t xml:space="preserve">Enhancement scope. </w:t>
      </w:r>
      <w:r>
        <w:t>Delegated care teams and support impersonation with explicit approval/audit.</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backend/ghar_sajag/identity.py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IdentityService.grant/revoke/require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Membership rows keyed by (home_id, actor_id), active flag and expiry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Verified actor claim + home + permission → membership or AuthorizationError</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Resolve exact home-scoped membership; distinguish manage/read role sets; enforce expiry; audit grant/revoke.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global caregiver access and no serial-number authorization. Cross-home lookup fails closed.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test_B01_F01_membership_is_tenant_scoped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 policy passes; production OIDC verification, token audience/issuer and database row-level controls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Delegated care teams and support impersonation with explicit approval/audit.</w:t>
            </w:r>
          </w:p>
        </w:tc>
      </w:tr>
    </w:tbl>
    <w:p>
      <w:pPr>
        <w:pStyle w:val="Heading2"/>
      </w:pPr>
      <w:r>
        <w:rPr>
          <w:color w:val="000000"/>
        </w:rPr>
        <w:t>B02 — Home/consent</w:t>
      </w:r>
    </w:p>
    <w:p>
      <w:r>
        <w:rPr>
          <w:b/>
        </w:rPr>
        <w:t xml:space="preserve">How this module works. </w:t>
      </w:r>
      <w:r>
        <w:t>HomeService creates household state and records consent/mode changes in an in-memory store. A production transaction must make household, memberships and audit records consistent. Consent withdrawal must also reach devices and retention workers; changing one dictionary is not the full privacy flow.</w:t>
      </w:r>
    </w:p>
    <w:p>
      <w:r>
        <w:rPr>
          <w:b/>
        </w:rPr>
        <w:t xml:space="preserve">Input to output flow. </w:t>
      </w:r>
      <w:r>
        <w:t>Owner commands → validated home/configuration changes and audit. Require valid timezone/name and active resident consent; create owner membership; require distinct primary/backup; privacy on withdrawal.</w:t>
      </w:r>
    </w:p>
    <w:p>
      <w:r>
        <w:rPr>
          <w:b/>
        </w:rPr>
        <w:t xml:space="preserve">State and lifetime. </w:t>
      </w:r>
      <w:r>
        <w:t>Home, resident consents, caregiver route, mode and version.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Duplicate home, missing consent or same backup fails. Purchase does not imply consent and PIR never identifies a resident.</w:t>
      </w:r>
    </w:p>
    <w:p>
      <w:r>
        <w:rPr>
          <w:b/>
        </w:rPr>
        <w:t xml:space="preserve">Code navigation. </w:t>
      </w:r>
      <w:r>
        <w:t>Requirements F01, F02, F10, E08, AI02, AI04, NFR-07. Files: backend/ghar_sajag/homes.py. Public entry points: HomeService.create/set_caregivers/set_mode/withdraw_resident_consent.</w:t>
      </w:r>
    </w:p>
    <w:p>
      <w:r>
        <w:rPr>
          <w:b/>
        </w:rPr>
        <w:t xml:space="preserve">Verification boundary. </w:t>
      </w:r>
      <w:r>
        <w:t>F01 role test and test_B02_consent_withdrawal_enters_privacy. Domain state passes; invitation tokens, durable repository and deletion workflow remain. See the current evidence transcript; historical numerical test counts in retained tables belong to their original release.</w:t>
      </w:r>
    </w:p>
    <w:p>
      <w:r>
        <w:rPr>
          <w:b/>
        </w:rPr>
        <w:t xml:space="preserve">Enhancement scope. </w:t>
      </w:r>
      <w:r>
        <w:t>Multiple residents without passive identity inference.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backend/ghar_sajag/homes.py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HomeService.create/set_caregivers/set_mode/withdraw_resident_consent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Home, resident consents, caregiver route, mode and version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Owner commands → validated home/configuration changes and audit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 valid timezone/name and active resident consent; create owner membership; require distinct primary/backup; privacy on withdrawal.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Duplicate home, missing consent or same backup fails. Purchase does not imply consent and PIR never identifies a resident.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F01 role test and test_B02_consent_withdrawal_enters_privacy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 state passes; invitation tokens, durable repository and deletion workflow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Multiple residents without passive identity inference.</w:t>
            </w:r>
          </w:p>
        </w:tc>
      </w:tr>
    </w:tbl>
    <w:p>
      <w:pPr>
        <w:pStyle w:val="Heading2"/>
      </w:pPr>
      <w:r>
        <w:rPr>
          <w:color w:val="000000"/>
        </w:rPr>
        <w:t>B03 — Event ingestion</w:t>
      </w:r>
    </w:p>
    <w:p>
      <w:r>
        <w:rPr>
          <w:b/>
        </w:rPr>
        <w:t xml:space="preserve">How this module works. </w:t>
      </w:r>
      <w:r>
        <w:t>IngestService accepts a cloud event once per home/event key and updates receipt state. A production unique constraint must reproduce this behaviour under concurrent workers. Domain event acceptance must not be acknowledged until required incident/outbox effects are safely committed.</w:t>
      </w:r>
    </w:p>
    <w:p>
      <w:r>
        <w:rPr>
          <w:b/>
        </w:rPr>
        <w:t xml:space="preserve">Input to output flow. </w:t>
      </w:r>
      <w:r>
        <w:t>Validated CloudEvent → (stored event, duplicate flag). Verify known home, event kind and timing fields; use unique event key; append audit in the same host operation.</w:t>
      </w:r>
    </w:p>
    <w:p>
      <w:r>
        <w:rPr>
          <w:b/>
        </w:rPr>
        <w:t xml:space="preserve">State and lifetime. </w:t>
      </w:r>
      <w:r>
        <w:t>CloudEvent dictionary keyed by (home_id, event_id).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home/kind and invalid timing fail. Duplicate returns prior commit without another domain effect.</w:t>
      </w:r>
    </w:p>
    <w:p>
      <w:r>
        <w:rPr>
          <w:b/>
        </w:rPr>
        <w:t xml:space="preserve">Code navigation. </w:t>
      </w:r>
      <w:r>
        <w:t>Requirements E02, E05, NFR-03. Files: backend/ghar_sajag/ingest.py. Public entry points: IngestService.accept().</w:t>
      </w:r>
    </w:p>
    <w:p>
      <w:r>
        <w:rPr>
          <w:b/>
        </w:rPr>
        <w:t xml:space="preserve">Verification boundary. </w:t>
      </w:r>
      <w:r>
        <w:t>test_B03_ingest_is_idempotent. Domain idempotency passes; PostgreSQL transaction/outbox, MQTT consumer and commit ACK adapter remain. See the current evidence transcript; historical numerical test counts in retained tables belong to their original release.</w:t>
      </w:r>
    </w:p>
    <w:p>
      <w:r>
        <w:rPr>
          <w:b/>
        </w:rPr>
        <w:t xml:space="preserve">Enhancement scope. </w:t>
      </w:r>
      <w:r>
        <w:t>Partitioning and batch replay after measured load.</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backend/ghar_sajag/ingest.py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IngestService.accept()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CloudEvent dictionary keyed by (home_id, event_id)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Validated CloudEvent → (stored event, duplicate flag)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Verify known home, event kind and timing fields; use unique event key; append audit in the same host operation.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home/kind and invalid timing fail. Duplicate returns prior commit without another domain effect.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test_B03_ingest_is_idempotent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 idempotency passes; PostgreSQL transaction/outbox, MQTT consumer and commit ACK adapter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Partitioning and batch replay after measured load.</w:t>
            </w:r>
          </w:p>
        </w:tc>
      </w:tr>
    </w:tbl>
    <w:p>
      <w:pPr>
        <w:pStyle w:val="Heading2"/>
      </w:pPr>
      <w:r>
        <w:rPr>
          <w:color w:val="000000"/>
        </w:rPr>
        <w:t>B04 — Incident workflow</w:t>
      </w:r>
    </w:p>
    <w:p>
      <w:r>
        <w:rPr>
          <w:b/>
        </w:rPr>
        <w:t xml:space="preserve">How this module works. </w:t>
      </w:r>
      <w:r>
        <w:t>IncidentService uses a stable business key to avoid duplicate incidents and a lease to coordinate caregivers. A lease expiry allows a deliberate new owner; it does not prove an earlier caregiver stopped acting. Resolve currently calls acknowledge first. Database compare-and-set and explicit mutation roles remain necessary.</w:t>
      </w:r>
    </w:p>
    <w:p>
      <w:r>
        <w:rPr>
          <w:b/>
        </w:rPr>
        <w:t xml:space="preserve">Input to output flow. </w:t>
      </w:r>
      <w:r>
        <w:t>Hub incident intent / caregiver command → idempotent incident transition. Create once by stable key; claim with bounded lease; prevent live dual ownership; acknowledge then explicitly resolve; audit human action.</w:t>
      </w:r>
    </w:p>
    <w:p>
      <w:r>
        <w:rPr>
          <w:b/>
        </w:rPr>
        <w:t xml:space="preserve">State and lifetime. </w:t>
      </w:r>
      <w:r>
        <w:t>Incident plus stable-key index, owner and lease.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Closed incidents reject claim; another live owner causes conflict; home mismatch behaves as not found.</w:t>
      </w:r>
    </w:p>
    <w:p>
      <w:r>
        <w:rPr>
          <w:b/>
        </w:rPr>
        <w:t xml:space="preserve">Code navigation. </w:t>
      </w:r>
      <w:r>
        <w:t>Requirements F07, F08, F12, F13, E05. Files: backend/ghar_sajag/incidents.py. Public entry points: IncidentService.create/claim/acknowledge/resolve.</w:t>
      </w:r>
    </w:p>
    <w:p>
      <w:r>
        <w:rPr>
          <w:b/>
        </w:rPr>
        <w:t xml:space="preserve">Verification boundary. </w:t>
      </w:r>
      <w:r>
        <w:t>call idempotency and test_B04_claim_lease_prevents_double_ownership. State machine passes; database compare-and-set, HANDOFF_TO_BACKUP and concurrency load tests remain. See the current evidence transcript; historical numerical test counts in retained tables belong to their original release.</w:t>
      </w:r>
    </w:p>
    <w:p>
      <w:r>
        <w:rPr>
          <w:b/>
        </w:rPr>
        <w:t xml:space="preserve">Enhancement scope. </w:t>
      </w:r>
      <w:r>
        <w:t>Structured Contacted/Unable-to-reach outcome and professional adapter only under contract.</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backend/ghar_sajag/incidents.py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IncidentService.create/claim/acknowledge/resolve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 plus stable-key index, owner and lease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Hub incident intent / caregiver command → idempotent incident transition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Create once by stable key; claim with bounded lease; prevent live dual ownership; acknowledge then explicitly resolve; audit human action.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Closed incidents reject claim; another live owner causes conflict; home mismatch behaves as not found.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call idempotency and test_B04_claim_lease_prevents_double_ownership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State machine passes; database compare-and-set, HANDOFF_TO_BACKUP and concurrency load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Structured Contacted/Unable-to-reach outcome and professional adapter only under contract.</w:t>
            </w:r>
          </w:p>
        </w:tc>
      </w:tr>
    </w:tbl>
    <w:p>
      <w:pPr>
        <w:pStyle w:val="Heading2"/>
      </w:pPr>
      <w:r>
        <w:rPr>
          <w:color w:val="000000"/>
        </w:rPr>
        <w:t>B05 — Notification routing</w:t>
      </w:r>
    </w:p>
    <w:p>
      <w:r>
        <w:rPr>
          <w:b/>
        </w:rPr>
        <w:t xml:space="preserve">How this module works. </w:t>
      </w:r>
      <w:r>
        <w:t>NotificationService is a scheduler/state model, not an SMS or push sender. due returns created jobs whose deadline arrived. provider_result records acceptance/failure; it does not implement a retry worker. Daily summaries need date filtering and consent enforcement before use outside fixtures.</w:t>
      </w:r>
    </w:p>
    <w:p>
      <w:r>
        <w:rPr>
          <w:b/>
        </w:rPr>
        <w:t xml:space="preserve">Input to output flow. </w:t>
      </w:r>
      <w:r>
        <w:t>Incident/event/window projection → primary/backup jobs, opt-in advisory or summary. Schedule primary now and backup at +300 s; select due open jobs; keep provider acceptance separate from human ACK; cancel pending jobs after ACK; summarize coverage honestly.</w:t>
      </w:r>
    </w:p>
    <w:p>
      <w:r>
        <w:rPr>
          <w:b/>
        </w:rPr>
        <w:t xml:space="preserve">State and lifetime. </w:t>
      </w:r>
      <w:r>
        <w:t>unique stage jobs, provider state, advisory notices and one-per-day summary keys.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recipient means no invented route; tests never create production notice; a summary cannot resolve an incident; duplicate keys reuse prior intent.</w:t>
      </w:r>
    </w:p>
    <w:p>
      <w:r>
        <w:rPr>
          <w:b/>
        </w:rPr>
        <w:t xml:space="preserve">Code navigation. </w:t>
      </w:r>
      <w:r>
        <w:t>Requirements F07, F08, F09, F12, F13, F14, E05. Files: backend/ghar_sajag/notifications.py. Public entry points: schedule_for_incident(); due(); provider_result(); human_acknowledged(); create_door_notice(); build_daily_summary().</w:t>
      </w:r>
    </w:p>
    <w:p>
      <w:r>
        <w:rPr>
          <w:b/>
        </w:rPr>
        <w:t xml:space="preserve">Verification boundary. </w:t>
      </w:r>
      <w:r>
        <w:t>B04/B05 route tests, F09 notice test, F14 summary test and TEST exclusion. Domain routing passes; real Web Push, worker lease, retry/jitter and phone delivery tests remain. See the current evidence transcript; historical numerical test counts in retained tables belong to their original release.</w:t>
      </w:r>
    </w:p>
    <w:p>
      <w:r>
        <w:rPr>
          <w:b/>
        </w:rPr>
        <w:t xml:space="preserve">Enhancement scope. </w:t>
      </w:r>
      <w:r>
        <w:t>Funded SMS/voice and emergency-response service only with explicit provider contract.</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backend/ghar_sajag/notifications.py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schedule_for_incident(); due(); provider_result(); human_acknowledged(); create_door_notice(); build_daily_summary()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unique stage jobs, provider state, advisory notices and one-per-day summary keys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Incident/event/window projection → primary/backup jobs, opt-in advisory or summary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Schedule primary now and backup at +300 s; select due open jobs; keep provider acceptance separate from human ACK; cancel pending jobs after ACK; summarize coverage honestly.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recipient means no invented route; tests never create production notice; a summary cannot resolve an incident; duplicate keys reuse prior intent.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B04/B05 route tests, F09 notice test, F14 summary test and TEST exclusion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 routing passes; real Web Push, worker lease, retry/jitter and phone delivery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Funded SMS/voice and emergency-response service only with explicit provider contract.</w:t>
            </w:r>
          </w:p>
        </w:tc>
      </w:tr>
    </w:tbl>
    <w:p>
      <w:pPr>
        <w:pStyle w:val="Heading2"/>
      </w:pPr>
      <w:r>
        <w:rPr>
          <w:color w:val="000000"/>
        </w:rPr>
        <w:t>B06 — Fleet/config</w:t>
      </w:r>
    </w:p>
    <w:p>
      <w:r>
        <w:rPr>
          <w:b/>
        </w:rPr>
        <w:t xml:space="preserve">How this module works. </w:t>
      </w:r>
      <w:r>
        <w:t>FleetService handles device records and desired/applied configuration. A desired configuration cannot be called active until the target confirms it. The service needs manufacturing claim trust, protected device credentials and persisted version concurrency before field rollout.</w:t>
      </w:r>
    </w:p>
    <w:p>
      <w:r>
        <w:rPr>
          <w:b/>
        </w:rPr>
        <w:t xml:space="preserve">Input to output flow. </w:t>
      </w:r>
      <w:r>
        <w:t>Owner/install command or hub ACK → device/config version state. Authorize owner; prevent cross-home device rebind; increment desired version; record only known applied versions; audit.</w:t>
      </w:r>
    </w:p>
    <w:p>
      <w:r>
        <w:rPr>
          <w:b/>
        </w:rPr>
        <w:t xml:space="preserve">State and lifetime. </w:t>
      </w:r>
      <w:r>
        <w:t>device registry and latest desired/applied configuration.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future apply and device conflict reject. Desired does not equal applied until hub reports it.</w:t>
      </w:r>
    </w:p>
    <w:p>
      <w:r>
        <w:rPr>
          <w:b/>
        </w:rPr>
        <w:t xml:space="preserve">Code navigation. </w:t>
      </w:r>
      <w:r>
        <w:t>Requirements F03, F04, E07, E08, E09, NFR-06. Files: backend/ghar_sajag/fleet.py. Public entry points: register_device(); publish_config(); record_applied().</w:t>
      </w:r>
    </w:p>
    <w:p>
      <w:r>
        <w:rPr>
          <w:b/>
        </w:rPr>
        <w:t xml:space="preserve">Verification boundary. </w:t>
      </w:r>
      <w:r>
        <w:t>test_B06_config_version_and_device_binding. Version semantics pass; PostgreSQL, one-use claim, signed manifest publication and cohort rollout remain. See the current evidence transcript; historical numerical test counts in retained tables belong to their original release.</w:t>
      </w:r>
    </w:p>
    <w:p>
      <w:r>
        <w:rPr>
          <w:b/>
        </w:rPr>
        <w:t xml:space="preserve">Enhancement scope. </w:t>
      </w:r>
      <w:r>
        <w:t>Fleet cohorts, staged update and field diagnostics.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backend/ghar_sajag/fleet.py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register_device(); publish_config(); record_applied()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device registry and latest desired/applied configuration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Owner/install command or hub ACK → device/config version state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Authorize owner; prevent cross-home device rebind; increment desired version; record only known applied versions; audit.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future apply and device conflict reject. Desired does not equal applied until hub reports it.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test_B06_config_version_and_device_binding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 semantics pass; PostgreSQL, one-use claim, signed manifest publication and cohort rollout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Fleet cohorts, staged update and field diagnostics.</w:t>
            </w:r>
          </w:p>
        </w:tc>
      </w:tr>
    </w:tbl>
    <w:p>
      <w:pPr>
        <w:pStyle w:val="Heading2"/>
      </w:pPr>
      <w:r>
        <w:rPr>
          <w:color w:val="000000"/>
        </w:rPr>
        <w:t>B07 — Read models/API</w:t>
      </w:r>
    </w:p>
    <w:p>
      <w:r>
        <w:rPr>
          <w:b/>
        </w:rPr>
        <w:t xml:space="preserve">How this module works. </w:t>
      </w:r>
      <w:r>
        <w:t>QueryService builds a caregiver projection from authoritative backend records and checks household access. The projection may be stale even when the backend is healthy; include source ages. The demo HTTP adapter is a local development adapter and is not equivalent to the planned authenticated production API.</w:t>
      </w:r>
    </w:p>
    <w:p>
      <w:r>
        <w:rPr>
          <w:b/>
        </w:rPr>
        <w:t xml:space="preserve">Input to output flow. </w:t>
      </w:r>
      <w:r>
        <w:t>Authorized read + events/incidents → dashboard snapshot/timeline JSON. Sort by original occurrence; compute hub lease from server receipts; choose latest activity independently; expose incidents and fetched time.</w:t>
      </w:r>
    </w:p>
    <w:p>
      <w:r>
        <w:rPr>
          <w:b/>
        </w:rPr>
        <w:t xml:space="preserve">State and lifetime. </w:t>
      </w:r>
      <w:r>
        <w:t>Derived view only; source facts remain in store.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Fresh phone fetch cannot make stale hub data current. Test events are excluded from production timeline.</w:t>
      </w:r>
    </w:p>
    <w:p>
      <w:r>
        <w:rPr>
          <w:b/>
        </w:rPr>
        <w:t xml:space="preserve">Code navigation. </w:t>
      </w:r>
      <w:r>
        <w:t>Requirements F05, F06, F09, F11, F12, F14, E04. Files: backend/ghar_sajag/queries.py, http_api.py. Public entry points: QueryService.snapshot/timeline; JsonApi.dispatch/WSGI.</w:t>
      </w:r>
    </w:p>
    <w:p>
      <w:r>
        <w:rPr>
          <w:b/>
        </w:rPr>
        <w:t xml:space="preserve">Verification boundary. </w:t>
      </w:r>
      <w:r>
        <w:t>test_B07_B08_snapshot_separates_activity_from_reachability. Projection logic passes; pagination, SSE, OpenAPI conformance and React integration remain. See the current evidence transcript; historical numerical test counts in retained tables belong to their original release.</w:t>
      </w:r>
    </w:p>
    <w:p>
      <w:r>
        <w:rPr>
          <w:b/>
        </w:rPr>
        <w:t xml:space="preserve">Enhancement scope. </w:t>
      </w:r>
      <w:r>
        <w:t>Materialized PostgreSQL projections and regional read replicas only when needed.</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backend/ghar_sajag/queries.py, http_api.py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QueryService.snapshot/timeline; JsonApi.dispatch/WSGI</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Derived view only; source facts remain in store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Authorized read + events/incidents → dashboard snapshot/timeline JSON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Sort by original occurrence; compute hub lease from server receipts; choose latest activity independently; expose incidents and fetched time.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Fresh phone fetch cannot make stale hub data current. Test events are excluded from production timeline.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test_B07_B08_snapshot_separates_activity_from_reachability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Projection logic passes; pagination, SSE, OpenAPI conformance and React integration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Materialized PostgreSQL projections and regional read replicas only when needed.</w:t>
            </w:r>
          </w:p>
        </w:tc>
      </w:tr>
    </w:tbl>
    <w:p>
      <w:pPr>
        <w:pStyle w:val="Heading2"/>
      </w:pPr>
      <w:r>
        <w:rPr>
          <w:color w:val="000000"/>
        </w:rPr>
        <w:t>B08 — Operations/data</w:t>
      </w:r>
    </w:p>
    <w:p>
      <w:r>
        <w:rPr>
          <w:b/>
        </w:rPr>
        <w:t xml:space="preserve">How this module works. </w:t>
      </w:r>
      <w:r>
        <w:t>OperationsService separates fleet freshness and support auditing from routine evidence. Operational counters can identify missing links without recording resident names or raw payloads. Backups, export/deletion, retention and independent service monitoring need a real storage/deployment adapter.</w:t>
      </w:r>
    </w:p>
    <w:p>
      <w:r>
        <w:rPr>
          <w:b/>
        </w:rPr>
        <w:t xml:space="preserve">Input to output flow. </w:t>
      </w:r>
      <w:r>
        <w:t>Events/actions/current time → health, diagnostics and auditable support record. Evaluate hub server-receipt lease; count each domain independently; record support actions without editing historical events.</w:t>
      </w:r>
    </w:p>
    <w:p>
      <w:r>
        <w:rPr>
          <w:b/>
        </w:rPr>
        <w:t xml:space="preserve">State and lifetime. </w:t>
      </w:r>
      <w:r>
        <w:t>audit trail plus counts and independent hub lease.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Broker retained online state is not authoritative. In-memory store is a host adapter, not a durable production claim.</w:t>
      </w:r>
    </w:p>
    <w:p>
      <w:r>
        <w:rPr>
          <w:b/>
        </w:rPr>
        <w:t xml:space="preserve">Code navigation. </w:t>
      </w:r>
      <w:r>
        <w:t>Requirements F02, F11, F13, E01, E04, E05, E08, E09, E10, NFR-09. Files: backend/ghar_sajag/operations.py, store.py. Public entry points: hub_health(); diagnostics(); record_support_action().</w:t>
      </w:r>
    </w:p>
    <w:p>
      <w:r>
        <w:rPr>
          <w:b/>
        </w:rPr>
        <w:t xml:space="preserve">Verification boundary. </w:t>
      </w:r>
      <w:r>
        <w:t>B07/B08 snapshot test and diagnostics assertions. Host observability passes; PostgreSQL retention/export, independent uptime and restore drill remain. See the current evidence transcript; historical numerical test counts in retained tables belong to their original release.</w:t>
      </w:r>
    </w:p>
    <w:p>
      <w:r>
        <w:rPr>
          <w:b/>
        </w:rPr>
        <w:t xml:space="preserve">Enhancement scope. </w:t>
      </w:r>
      <w:r>
        <w:t>Privacy-preserving fleet metrics and support bundle redaction.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backend/ghar_sajag/operations.py, store.py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hub_health(); diagnostics(); record_support_action()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audit trail plus counts and independent hub lease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Events/actions/current time → health, diagnostics and auditable support record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Evaluate hub server-receipt lease; count each domain independently; record support actions without editing historical events.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Broker retained online state is not authoritative. In-memory store is a host adapter, not a durable production claim.</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B07/B08 snapshot test and diagnostics assertions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observability passes; PostgreSQL retention/export, independent uptime and restore drill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Privacy-preserving fleet metrics and support bundle redaction.</w:t>
            </w:r>
          </w:p>
        </w:tc>
      </w:tr>
    </w:tbl>
    <w:p>
      <w:pPr>
        <w:pStyle w:val="Heading1"/>
      </w:pPr>
      <w:r>
        <w:rPr>
          <w:color w:val="000000"/>
        </w:rPr>
        <w:t>9. Caregiver application module LLD</w:t>
      </w:r>
    </w:p>
    <w:p>
      <w:pPr>
        <w:pStyle w:val="Heading2"/>
      </w:pPr>
      <w:r>
        <w:rPr>
          <w:color w:val="000000"/>
        </w:rPr>
        <w:t>A01 — App onboarding</w:t>
      </w:r>
    </w:p>
    <w:p>
      <w:r>
        <w:rPr>
          <w:b/>
        </w:rPr>
        <w:t xml:space="preserve">How this module works. </w:t>
      </w:r>
      <w:r>
        <w:t>Onboarding functions validate a draft and produce a command; they do not persist it. installationGate consumes evidence flags, so the caller must distinguish a genuine completed drill from a manually checked box. The UI should explain every missing prerequisite.</w:t>
      </w:r>
    </w:p>
    <w:p>
      <w:r>
        <w:rPr>
          <w:b/>
        </w:rPr>
        <w:t xml:space="preserve">Input to output flow. </w:t>
      </w:r>
      <w:r>
        <w:t>Household draft and install evidence → validation errors, API command, pilot eligibility. Require home/timezone/resident consent/distinct caregiver pair; construct idempotent home command; require every enabled input plus hub controls and real delivery drill.</w:t>
      </w:r>
    </w:p>
    <w:p>
      <w:r>
        <w:rPr>
          <w:b/>
        </w:rPr>
        <w:t xml:space="preserve">State and lifetime. </w:t>
      </w:r>
      <w:r>
        <w:t>Pure draft/result values; no hidden authoritative state.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Missing check remains visible and blocks unattended eligibility. No default consent or inferred backup.</w:t>
      </w:r>
    </w:p>
    <w:p>
      <w:r>
        <w:rPr>
          <w:b/>
        </w:rPr>
        <w:t xml:space="preserve">Code navigation. </w:t>
      </w:r>
      <w:r>
        <w:t>Requirements F01, F02, F03, NFR-10. Files: app/src/features/onboarding/index.mjs. Public entry points: validateHouseholdDraft(); buildCreateHomeCommand(); installationGate().</w:t>
      </w:r>
    </w:p>
    <w:p>
      <w:r>
        <w:rPr>
          <w:b/>
        </w:rPr>
        <w:t xml:space="preserve">Verification boundary. </w:t>
      </w:r>
      <w:r>
        <w:t>Node tests: onboarding validation and installation gate. Domain/UI model passes; React form, QR claim, accessibility and real phone workflow remain. See the current evidence transcript; historical numerical test counts in retained tables belong to their original release.</w:t>
      </w:r>
    </w:p>
    <w:p>
      <w:r>
        <w:rPr>
          <w:b/>
        </w:rPr>
        <w:t xml:space="preserve">Enhancement scope. </w:t>
      </w:r>
      <w:r>
        <w:t>Installer role UX and multilingual consent evidence.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app/src/features/onboarding/index.mjs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validateHouseholdDraft(); buildCreateHomeCommand(); installationGate()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Pure draft/result values; no hidden authoritative state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Household draft and install evidence → validation errors, API command, pilot eligibility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 home/timezone/resident consent/distinct caregiver pair; construct idempotent home command; require every enabled input plus hub controls and real delivery drill.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Missing check remains visible and blocks unattended eligibility. No default consent or inferred backup.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Node tests: onboarding validation and installation gate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Domain/UI model passes; React form, QR claim, accessibility and real phone workflow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Installer role UX and multilingual consent evidence.</w:t>
            </w:r>
          </w:p>
        </w:tc>
      </w:tr>
    </w:tbl>
    <w:p>
      <w:pPr>
        <w:pStyle w:val="Heading2"/>
      </w:pPr>
      <w:r>
        <w:rPr>
          <w:color w:val="000000"/>
        </w:rPr>
        <w:t>A02 — App home</w:t>
      </w:r>
    </w:p>
    <w:p>
      <w:r>
        <w:rPr>
          <w:b/>
        </w:rPr>
        <w:t xml:space="preserve">How this module works. </w:t>
      </w:r>
      <w:r>
        <w:t>Home view functions convert a server snapshot to readable labels. Do not move eligibility or incident creation into this layer. A stale value can remain visible if labelled with age; it must not acquire a new timestamp because the page rerendered.</w:t>
      </w:r>
    </w:p>
    <w:p>
      <w:r>
        <w:rPr>
          <w:b/>
        </w:rPr>
        <w:t xml:space="preserve">Input to output flow. </w:t>
      </w:r>
      <w:r>
        <w:t>Backend snapshot/timeline + phone now → evidence/connectivity cards. Format separate freshness; show household activity only; render hub availability independently; explicitly state no activity evidence is not presence proof.</w:t>
      </w:r>
    </w:p>
    <w:p>
      <w:r>
        <w:rPr>
          <w:b/>
        </w:rPr>
        <w:t xml:space="preserve">State and lifetime. </w:t>
      </w:r>
      <w:r>
        <w:t>Rendered projection only; optional A05 cache.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Stale/never-seen is visible. No safe/fine/wellbeing label and no resident identity inference.</w:t>
      </w:r>
    </w:p>
    <w:p>
      <w:r>
        <w:rPr>
          <w:b/>
        </w:rPr>
        <w:t xml:space="preserve">Code navigation. </w:t>
      </w:r>
      <w:r>
        <w:t>Requirements F05, F06, F09, F11, F14, E01, E04, E10, NFR-01, NFR-02, NFR-10. Files: app/src/features/home/index.mjs, app/public/*. Public entry points: formatFreshness(); buildHomeView(); timelineLabel().</w:t>
      </w:r>
    </w:p>
    <w:p>
      <w:r>
        <w:rPr>
          <w:b/>
        </w:rPr>
        <w:t xml:space="preserve">Verification boundary. </w:t>
      </w:r>
      <w:r>
        <w:t>Home-view separation test; static responsive prototype included. View-model tests pass; React/PWA accessibility, localization and supported-phone tests remain. See the current evidence transcript; historical numerical test counts in retained tables belong to their original release.</w:t>
      </w:r>
    </w:p>
    <w:p>
      <w:r>
        <w:rPr>
          <w:b/>
        </w:rPr>
        <w:t xml:space="preserve">Enhancement scope. </w:t>
      </w:r>
      <w:r>
        <w:t>Weekly digest and richer source explanations.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app/src/features/home/index.mjs, app/public/*</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formatFreshness(); buildHomeView(); timelineLabel()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Rendered projection only; optional A05 cache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 snapshot/timeline + phone now → evidence/connectivity cards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Format separate freshness; show household activity only; render hub availability independently; explicitly state no activity evidence is not presence proof.</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Stale/never-seen is visible. No safe/fine/wellbeing label and no resident identity inference.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Home-view separation test; static responsive prototype included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View-model tests pass; React/PWA accessibility, localization and supported-phone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Weekly digest and richer source explanations.</w:t>
            </w:r>
          </w:p>
        </w:tc>
      </w:tr>
    </w:tbl>
    <w:p>
      <w:pPr>
        <w:pStyle w:val="Heading2"/>
      </w:pPr>
      <w:r>
        <w:rPr>
          <w:color w:val="000000"/>
        </w:rPr>
        <w:t>A03 — App routines</w:t>
      </w:r>
    </w:p>
    <w:p>
      <w:r>
        <w:rPr>
          <w:b/>
        </w:rPr>
        <w:t xml:space="preserve">How this module works. </w:t>
      </w:r>
      <w:r>
        <w:t>Routine functions validate local form values and build a desired-version request. The hub remains authoritative for what it has applied. A newer applied version than the screen knows about is a conflict requiring refresh, not permission to overwrite it.</w:t>
      </w:r>
    </w:p>
    <w:p>
      <w:r>
        <w:rPr>
          <w:b/>
        </w:rPr>
        <w:t xml:space="preserve">Input to output flow. </w:t>
      </w:r>
      <w:r>
        <w:t>Schedule/mode form → schema-aligned desired configuration and status. Validate minute ranges/grace; deduplicate locations; build versioned config; compare desired against applied without pretending pending succeeded.</w:t>
      </w:r>
    </w:p>
    <w:p>
      <w:r>
        <w:rPr>
          <w:b/>
        </w:rPr>
        <w:t xml:space="preserve">State and lifetime. </w:t>
      </w:r>
      <w:r>
        <w:t>Desired draft and server/applied versions.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Invalid mode/routine throws explicit client error. Newer hub version becomes conflict, not silent overwrite.</w:t>
      </w:r>
    </w:p>
    <w:p>
      <w:r>
        <w:rPr>
          <w:b/>
        </w:rPr>
        <w:t xml:space="preserve">Code navigation. </w:t>
      </w:r>
      <w:r>
        <w:t>Requirements F04, F10, F14, E07. Files: app/src/features/routines/index.mjs. Public entry points: validateMorningRoutine(); buildDesiredConfig(); configStatus().</w:t>
      </w:r>
    </w:p>
    <w:p>
      <w:r>
        <w:rPr>
          <w:b/>
        </w:rPr>
        <w:t xml:space="preserve">Verification boundary. </w:t>
      </w:r>
      <w:r>
        <w:t>Routine command and desired/applied status test. Pure UI logic passes; screen, timezone boundary preview and backend persistence remain. See the current evidence transcript; historical numerical test counts in retained tables belong to their original release.</w:t>
      </w:r>
    </w:p>
    <w:p>
      <w:r>
        <w:rPr>
          <w:b/>
        </w:rPr>
        <w:t xml:space="preserve">Enhancement scope. </w:t>
      </w:r>
      <w:r>
        <w:t>Multiple deterministic routine templates.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app/src/features/routines/index.mjs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validateMorningRoutine(); buildDesiredConfig(); configStatus()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Desired draft and server/applied versions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Schedule/mode form → schema-aligned desired configuration and status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 minute ranges/grace; deduplicate locations; build versioned config; compare desired against applied without pretending pending succeeded.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Invalid mode/routine throws explicit client error. Newer hub version becomes conflict, not silent overwrite.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Routine command and desired/applied status test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Pure UI logic passes; screen, timezone boundary preview and backend persistence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Multiple deterministic routine templates.</w:t>
            </w:r>
          </w:p>
        </w:tc>
      </w:tr>
    </w:tbl>
    <w:p>
      <w:pPr>
        <w:pStyle w:val="Heading2"/>
      </w:pPr>
      <w:r>
        <w:rPr>
          <w:color w:val="000000"/>
        </w:rPr>
        <w:t>A04 — App incidents</w:t>
      </w:r>
    </w:p>
    <w:p>
      <w:r>
        <w:rPr>
          <w:b/>
        </w:rPr>
        <w:t xml:space="preserve">How this module works. </w:t>
      </w:r>
      <w:r>
        <w:t>Incident UI helpers expose actions consistent with a snapshot and build commands with idempotency keys. The server repeats authorisation and lease checks because the view can be stale. A pending click must not be shown as completed human acknowledgement before a confirmed result.</w:t>
      </w:r>
    </w:p>
    <w:p>
      <w:r>
        <w:rPr>
          <w:b/>
        </w:rPr>
        <w:t xml:space="preserve">Input to output flow. </w:t>
      </w:r>
      <w:r>
        <w:t>Incident/actor/time → permitted actions and idempotent REST command. Hide mutation actions when another live owner holds lease; distinguish claim, acknowledge and resolve; label provider acceptance separately.</w:t>
      </w:r>
    </w:p>
    <w:p>
      <w:r>
        <w:rPr>
          <w:b/>
        </w:rPr>
        <w:t xml:space="preserve">State and lifetime. </w:t>
      </w:r>
      <w:r>
        <w:t>Server incident snapshot and pending client command only.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Offline action cannot become authoritative. Unsupported action is rejected before request.</w:t>
      </w:r>
    </w:p>
    <w:p>
      <w:r>
        <w:rPr>
          <w:b/>
        </w:rPr>
        <w:t xml:space="preserve">Code navigation. </w:t>
      </w:r>
      <w:r>
        <w:t>Requirements F07, F12, F13, NFR-10. Files: app/src/features/incidents/index.mjs. Public entry points: incidentActions(); actionCommand(); deliveryLabel().</w:t>
      </w:r>
    </w:p>
    <w:p>
      <w:r>
        <w:rPr>
          <w:b/>
        </w:rPr>
        <w:t xml:space="preserve">Verification boundary. </w:t>
      </w:r>
      <w:r>
        <w:t>Incident ownership/action and command-path test. View/action rules pass; optimistic-pending UI, SSE reconciliation and caregiver comprehension remain. See the current evidence transcript; historical numerical test counts in retained tables belong to their original release.</w:t>
      </w:r>
    </w:p>
    <w:p>
      <w:r>
        <w:rPr>
          <w:b/>
        </w:rPr>
        <w:t xml:space="preserve">Enhancement scope. </w:t>
      </w:r>
      <w:r>
        <w:t>Contact outcome and deliberate handoff UI.</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app/src/features/incidents/index.mjs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incidentActions(); actionCommand(); deliveryLabel()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Server incident snapshot and pending client command only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Incident/actor/time → permitted actions and idempotent REST command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Hide mutation actions when another live owner holds lease; distinguish claim, acknowledge and resolve; label provider acceptance separately.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Offline action cannot become authoritative. Unsupported action is rejected before request.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 ownership/action and command-path test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View/action rules pass; optimistic-pending UI, SSE reconciliation and caregiver comprehension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Contact outcome and deliberate handoff UI.</w:t>
            </w:r>
          </w:p>
        </w:tc>
      </w:tr>
    </w:tbl>
    <w:p>
      <w:pPr>
        <w:pStyle w:val="Heading2"/>
      </w:pPr>
      <w:r>
        <w:rPr>
          <w:color w:val="000000"/>
        </w:rPr>
        <w:t>A05 — App platform</w:t>
      </w:r>
    </w:p>
    <w:p>
      <w:r>
        <w:rPr>
          <w:b/>
        </w:rPr>
        <w:t xml:space="preserve">How this module works. </w:t>
      </w:r>
      <w:r>
        <w:t>ApiClient uses injected fetch and token providers so tests can simulate failures. VersionedCache refuses older snapshots and labels age. Browser cache and service-worker assets are not durable server state, and a push subscription is not notification delivery evidence.</w:t>
      </w:r>
    </w:p>
    <w:p>
      <w:r>
        <w:rPr>
          <w:b/>
        </w:rPr>
        <w:t xml:space="preserve">Input to output flow. </w:t>
      </w:r>
      <w:r>
        <w:t>Injected fetch/token + command → JSON result/error; cached snapshot → explicit stale flag. Attach bearer/idempotency headers; classify auth/service/network failures; retain only newer cache versions; expose exact push capability reason.</w:t>
      </w:r>
    </w:p>
    <w:p>
      <w:r>
        <w:rPr>
          <w:b/>
        </w:rPr>
        <w:t xml:space="preserve">State and lifetime. </w:t>
      </w:r>
      <w:r>
        <w:t>Versioned local cache; browser subscription state.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Cache never claims server commit. Push permission/subscription is not human acknowledgement.</w:t>
      </w:r>
    </w:p>
    <w:p>
      <w:r>
        <w:rPr>
          <w:b/>
        </w:rPr>
        <w:t xml:space="preserve">Code navigation. </w:t>
      </w:r>
      <w:r>
        <w:t>Requirements F11, F13, E04, E08. Files: app/src/platform/index.mjs, app/public/service-worker.mjs. Public entry points: ApiClient.request(); VersionedCache.put/get(); pushCapability(); classifyFetchFailure().</w:t>
      </w:r>
    </w:p>
    <w:p>
      <w:r>
        <w:rPr>
          <w:b/>
        </w:rPr>
        <w:t xml:space="preserve">Verification boundary. </w:t>
      </w:r>
      <w:r>
        <w:t>Cache and push capability test. Framework-neutral adapter passes; OIDC SDK, service worker push handler, IndexedDB and real browser tests remain. See the current evidence transcript; historical numerical test counts in retained tables belong to their original release.</w:t>
      </w:r>
    </w:p>
    <w:p>
      <w:r>
        <w:rPr>
          <w:b/>
        </w:rPr>
        <w:t xml:space="preserve">Enhancement scope. </w:t>
      </w:r>
      <w:r>
        <w:t>Native wrapper only if PWA constraints justify it.</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app/src/platform/index.mjs, app/public/service-worker.mjs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ApiClient.request(); VersionedCache.put/get(); pushCapability(); classifyFetchFailure()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Versioned local cache; browser subscription state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Injected fetch/token + command → JSON result/error; cached snapshot → explicit stale flag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Attach bearer/idempotency headers; classify auth/service/network failures; retain only newer cache versions; expose exact push capability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Cache never claims server commit. Push permission/subscription is not human acknowledgement.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Cache and push capability test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Framework-neutral adapter passes; OIDC SDK, service worker push handler, IndexedDB and real browser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Native wrapper only if PWA constraints justify it.</w:t>
            </w:r>
          </w:p>
        </w:tc>
      </w:tr>
    </w:tbl>
    <w:p>
      <w:pPr>
        <w:pStyle w:val="Heading1"/>
      </w:pPr>
      <w:r>
        <w:rPr>
          <w:color w:val="000000"/>
        </w:rPr>
        <w:t>10. Shared module LLD</w:t>
      </w:r>
    </w:p>
    <w:p>
      <w:pPr>
        <w:pStyle w:val="Heading2"/>
      </w:pPr>
      <w:r>
        <w:rPr>
          <w:color w:val="000000"/>
        </w:rPr>
        <w:t>S01 — Shared contracts</w:t>
      </w:r>
    </w:p>
    <w:p>
      <w:r>
        <w:rPr>
          <w:b/>
        </w:rPr>
        <w:t xml:space="preserve">How this module works. </w:t>
      </w:r>
      <w:r>
        <w:t>Contracts are the shared vocabulary across languages. Field names and event identity require explicit adapters; the C++ enum spelling is not the JSON wire spelling. The current contracts check validates source structure, so add producer/consumer golden payload tests before relying on schema compatibility.</w:t>
      </w:r>
    </w:p>
    <w:p>
      <w:r>
        <w:rPr>
          <w:b/>
        </w:rPr>
        <w:t xml:space="preserve">Input to output flow. </w:t>
      </w:r>
      <w:r>
        <w:t>Producer payload → structural acceptance or explicit schema/version rejection. Keep node event identity, cloud timestamps/test flag and desired configuration version canonical; validate source structure in CI.</w:t>
      </w:r>
    </w:p>
    <w:p>
      <w:r>
        <w:rPr>
          <w:b/>
        </w:rPr>
        <w:t xml:space="preserve">State and lifetime. </w:t>
      </w:r>
      <w:r>
        <w:t>Versioned source files only.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additional fields fail in JSON schemas; schema change requires a new version and compatibility tests.</w:t>
      </w:r>
    </w:p>
    <w:p>
      <w:r>
        <w:rPr>
          <w:b/>
        </w:rPr>
        <w:t xml:space="preserve">Code navigation. </w:t>
      </w:r>
      <w:r>
        <w:t>Requirements F01, E02, E06, E07, NFR-08. Files: contracts/node.schema.json, cloud.schema.json, config.schema.json, openapi.yaml; scripts/verify_contracts.py. Public entry points: Schema v1 fields and OpenAPI operation IDs.</w:t>
      </w:r>
    </w:p>
    <w:p>
      <w:r>
        <w:rPr>
          <w:b/>
        </w:rPr>
        <w:t xml:space="preserve">Verification boundary. </w:t>
      </w:r>
      <w:r>
        <w:t>make contracts verifies three required-field sets and API surface. Source contracts pass; CBOR CDDL/generated C++/Python/TypeScript bindings and golden vectors remain. See the current evidence transcript; historical numerical test counts in retained tables belong to their original release.</w:t>
      </w:r>
    </w:p>
    <w:p>
      <w:r>
        <w:rPr>
          <w:b/>
        </w:rPr>
        <w:t xml:space="preserve">Enhancement scope. </w:t>
      </w:r>
      <w:r>
        <w:t>Generated clients and formal compatibility matrix.</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contracts/node.schema.json, cloud.schema.json, config.schema.json, openapi.yaml; scripts/verify_contracts.py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Schema v1 fields and OpenAPI operation IDs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Versioned source files only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Producer payload → structural acceptance or explicit schema/version rejection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Keep node event identity, cloud timestamps/test flag and desired configuration version canonical; validate source structure in CI.</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additional fields fail in JSON schemas; schema change requires a new version and compatibility tests.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make contracts verifies three required-field sets and API surface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Source contracts pass; CBOR CDDL/generated C++/Python/TypeScript bindings and golden vectors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Generated clients and formal compatibility matrix.</w:t>
            </w:r>
          </w:p>
        </w:tc>
      </w:tr>
    </w:tbl>
    <w:p>
      <w:pPr>
        <w:pStyle w:val="Heading2"/>
      </w:pPr>
      <w:r>
        <w:rPr>
          <w:color w:val="000000"/>
        </w:rPr>
        <w:t>S02 — Deterministic rules core</w:t>
      </w:r>
    </w:p>
    <w:p>
      <w:r>
        <w:rPr>
          <w:b/>
        </w:rPr>
        <w:t xml:space="preserve">How this module works. </w:t>
      </w:r>
      <w:r>
        <w:t>The reducer has no network or storage I/O and mutates only the supplied RoutineState. apply_event uses window overlap including timestamp uncertainty. evaluate_deadline returns a stable incident key after ordered gates. Evidence IDs are not deduplicated or bounded here; callers must not assume pure means resource-safe.</w:t>
      </w:r>
    </w:p>
    <w:p>
      <w:r>
        <w:rPr>
          <w:b/>
        </w:rPr>
        <w:t xml:space="preserve">Input to output flow. </w:t>
      </w:r>
      <w:r>
        <w:t>RoutineConfig + ordered DomainEvent/deadline → deterministic state and IncidentDecision. Use uncertainty interval overlap; ignore tests; gate modes; record evidence IDs; produce stable incident key only after all eligibility gates.</w:t>
      </w:r>
    </w:p>
    <w:p>
      <w:r>
        <w:rPr>
          <w:b/>
        </w:rPr>
        <w:t xml:space="preserve">State and lifetime. </w:t>
      </w:r>
      <w:r>
        <w:t>Caller-owned RoutineState; no global state or I/O.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Time, coverage and mode uncertainty return a reason instead of a false incident. Same state/input is replayable.</w:t>
      </w:r>
    </w:p>
    <w:p>
      <w:r>
        <w:rPr>
          <w:b/>
        </w:rPr>
        <w:t xml:space="preserve">Code navigation. </w:t>
      </w:r>
      <w:r>
        <w:t>Requirements F04, F05, F06, F08, F09, F10, E06, AI08, NFR-01. Files: shared/include/gs/rules.hpp, shared/src/rules.cpp, domain.hpp. Public entry points: RulesCore::event_overlaps_window/apply_event/evaluate_deadline.</w:t>
      </w:r>
    </w:p>
    <w:p>
      <w:r>
        <w:rPr>
          <w:b/>
        </w:rPr>
        <w:t xml:space="preserve">Verification boundary. </w:t>
      </w:r>
      <w:r>
        <w:t>C++ rule tests and HubRuntime composition. Host reducer passes; scenario-property, reorder and reboot checkpoint tests remain. See the current evidence transcript; historical numerical test counts in retained tables belong to their original release.</w:t>
      </w:r>
    </w:p>
    <w:p>
      <w:r>
        <w:rPr>
          <w:b/>
        </w:rPr>
        <w:t xml:space="preserve">Enhancement scope. </w:t>
      </w:r>
      <w:r>
        <w:t>Additional transparent rules compiled into the same host/firmware core.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shared/include/gs/rules.hpp, shared/src/rules.cpp, domain.hpp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RulesCore::event_overlaps_window/apply_event/evaluate_deadline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Caller-owned RoutineState; no global state or I/O</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RoutineConfig + ordered DomainEvent/deadline → deterministic state and IncidentDecision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Use uncertainty interval overlap; ignore tests; gate modes; record evidence IDs; produce stable incident key only after all eligibility gates.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Time, coverage and mode uncertainty return a reason instead of a false incident. Same state/input is replayable.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rule tests and HubRuntime composition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reducer passes; scenario-property, reorder and reboot checkpoint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Additional transparent rules compiled into the same host/firmware core.</w:t>
            </w:r>
          </w:p>
        </w:tc>
      </w:tr>
    </w:tbl>
    <w:p>
      <w:pPr>
        <w:pStyle w:val="Heading2"/>
      </w:pPr>
      <w:r>
        <w:rPr>
          <w:color w:val="000000"/>
        </w:rPr>
        <w:t>S03 — Firmware security/update</w:t>
      </w:r>
    </w:p>
    <w:p>
      <w:r>
        <w:rPr>
          <w:b/>
        </w:rPr>
        <w:t xml:space="preserve">How this module works. </w:t>
      </w:r>
      <w:r>
        <w:t>CredentialRegistry keeps credential references and UpdatePolicy delegates authenticity to a verifier. The reference tests can replace that verifier. Production cryptographic verification, secret protection, revocation transport and bootloader enforcement must be proved separately.</w:t>
      </w:r>
    </w:p>
    <w:p>
      <w:r>
        <w:rPr>
          <w:b/>
        </w:rPr>
        <w:t xml:space="preserve">Input to output flow. </w:t>
      </w:r>
      <w:r>
        <w:t>Credential/update manifest + verifier → install/reject decision with reason. Reject missing/stale credential; match board; prevent rollback; validate hash text; delegate signature verification to injected production crypto.</w:t>
      </w:r>
    </w:p>
    <w:p>
      <w:r>
        <w:rPr>
          <w:b/>
        </w:rPr>
        <w:t xml:space="preserve">State and lifetime. </w:t>
      </w:r>
      <w:r>
        <w:t>versioned credential references; no raw secret bytes; running version supplied.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Host verifier is a seam, not cryptographic proof. Wrong board/version/hash/signature fails closed.</w:t>
      </w:r>
    </w:p>
    <w:p>
      <w:r>
        <w:rPr>
          <w:b/>
        </w:rPr>
        <w:t xml:space="preserve">Code navigation. </w:t>
      </w:r>
      <w:r>
        <w:t>Requirements F03, E08, E09, NFR-06. Files: firmware/common/security/security.hpp, security.cpp. Public entry points: CredentialRegistry::install/revoke/get; UpdatePolicy::validate.</w:t>
      </w:r>
    </w:p>
    <w:p>
      <w:r>
        <w:rPr>
          <w:b/>
        </w:rPr>
        <w:t xml:space="preserve">Verification boundary. </w:t>
      </w:r>
      <w:r>
        <w:t>C++ tests cover install, rollback, revoke and manifest policy. Policy passes; protected NVS/secure element, real SHA-256/ECDSA, secure boot and rollback recovery remain. See the current evidence transcript; historical numerical test counts in retained tables belong to their original release.</w:t>
      </w:r>
    </w:p>
    <w:p>
      <w:r>
        <w:rPr>
          <w:b/>
        </w:rPr>
        <w:t xml:space="preserve">Enhancement scope. </w:t>
      </w:r>
      <w:r>
        <w:t>Key rotation and manufacturing HSM workflow.</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firmware/common/security/security.hpp, security.cpp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CredentialRegistry::install/revoke/get; UpdatePolicy::validate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versioned credential references; no raw secret bytes; running version supplied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Credential/update manifest + verifier → install/reject decision with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Reject missing/stale credential; match board; prevent rollback; validate hash text; delegate signature verification to injected production crypto.</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verifier is a seam, not cryptographic proof. Wrong board/version/hash/signature fails closed.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install, rollback, revoke and manifest policy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Policy passes; protected NVS/secure element, real SHA-256/ECDSA, secure boot and rollback recovery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Key rotation and manufacturing HSM workflow.</w:t>
            </w:r>
          </w:p>
        </w:tc>
      </w:tr>
    </w:tbl>
    <w:p>
      <w:pPr>
        <w:pStyle w:val="Heading1"/>
      </w:pPr>
      <w:r>
        <w:rPr>
          <w:color w:val="000000"/>
        </w:rPr>
        <w:t>11. Verification and operations module LLD</w:t>
      </w:r>
    </w:p>
    <w:p>
      <w:pPr>
        <w:pStyle w:val="Heading2"/>
      </w:pPr>
      <w:r>
        <w:rPr>
          <w:color w:val="000000"/>
        </w:rPr>
        <w:t>T01 — Simulation/CI</w:t>
      </w:r>
    </w:p>
    <w:p>
      <w:r>
        <w:rPr>
          <w:b/>
        </w:rPr>
        <w:t xml:space="preserve">How this module works. </w:t>
      </w:r>
      <w:r>
        <w:t>The Makefile builds host C++17 and runs Python/JavaScript tests plus simulator fixtures. Tests prove their asserted paths, not every SRD criterion. Keep a clean command transcript and attach additional scenario tests as requirements are integrated.</w:t>
      </w:r>
    </w:p>
    <w:p>
      <w:r>
        <w:rPr>
          <w:b/>
        </w:rPr>
        <w:t xml:space="preserve">Input to output flow. </w:t>
      </w:r>
      <w:r>
        <w:t>Source tree → contract/build/test/simulator result. Validate contracts; compile strict C++17; execute 52 checks; run simulator; run 10 Python and 6 Node tests.</w:t>
      </w:r>
    </w:p>
    <w:p>
      <w:r>
        <w:rPr>
          <w:b/>
        </w:rPr>
        <w:t xml:space="preserve">State and lifetime. </w:t>
      </w:r>
      <w:r>
        <w:t>Deterministic fixtures and executable assertions.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Any command returns non-zero. Report never claims RF/power/provider coverage.</w:t>
      </w:r>
    </w:p>
    <w:p>
      <w:r>
        <w:rPr>
          <w:b/>
        </w:rPr>
        <w:t xml:space="preserve">Code navigation. </w:t>
      </w:r>
      <w:r>
        <w:t>Requirements E08, E10, V01, AI01, AI03, NFR-08. Files: Makefile, tests/cpp/test_main.cpp, tests/python/test_backend.py, tests/js/app.test.mjs, tests/scenarios.json, host/simulator/main.cpp. Public entry points: make verify.</w:t>
      </w:r>
    </w:p>
    <w:p>
      <w:r>
        <w:rPr>
          <w:b/>
        </w:rPr>
        <w:t xml:space="preserve">Verification boundary. </w:t>
      </w:r>
      <w:r>
        <w:t>VERIFICATION_REPORT.md records the successful 7 September 2026 run. Current host suite green; add CI runner, fuzz/property tests and coverage thresholds. See the current evidence transcript; historical numerical test counts in retained tables belong to their original release.</w:t>
      </w:r>
    </w:p>
    <w:p>
      <w:r>
        <w:rPr>
          <w:b/>
        </w:rPr>
        <w:t xml:space="preserve">Enhancement scope. </w:t>
      </w:r>
      <w:r>
        <w:t>Nightly long replay and hardware-in-loop lane.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Makefile, tests/cpp/test_main.cpp, tests/python/test_backend.py, tests/js/app.test.mjs, tests/scenarios.json, host/simulator/main.cpp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make verify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Deterministic fixtures and executable assertions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Source tree → contract/build/test/simulator result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 contracts; compile strict C++17; execute 52 checks; run simulator; run 10 Python and 6 Node tests.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Any command returns non-zero. Report never claims RF/power/provider coverage.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VERIFICATION_REPORT.md records the successful 7 September 2026 run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Current host suite green; add CI runner, fuzz/property tests and coverage thresholds.</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Nightly long replay and hardware-in-loop lane.</w:t>
            </w:r>
          </w:p>
        </w:tc>
      </w:tr>
    </w:tbl>
    <w:p>
      <w:pPr>
        <w:pStyle w:val="Heading2"/>
      </w:pPr>
      <w:r>
        <w:rPr>
          <w:color w:val="000000"/>
        </w:rPr>
        <w:t>T02 — Hardware-in-loop tools</w:t>
      </w:r>
    </w:p>
    <w:p>
      <w:r>
        <w:rPr>
          <w:b/>
        </w:rPr>
        <w:t xml:space="preserve">How this module works. </w:t>
      </w:r>
      <w:r>
        <w:t>The HIL scripts model provisioning plans, installation checks and current summaries. They do not operate a board without serial, power and instrument adapters. Record measured evidence and instrument settings rather than marking a design target green.</w:t>
      </w:r>
    </w:p>
    <w:p>
      <w:r>
        <w:rPr>
          <w:b/>
        </w:rPr>
        <w:t xml:space="preserve">Input to output flow. </w:t>
      </w:r>
      <w:r>
        <w:t>Kit IDs / physical observations / current CSV → redacted plan, eligibility, power summary. Require four unique nodes; never print claim token; fail unknown checks; gate eligibility on every required check; summarize measured current.</w:t>
      </w:r>
    </w:p>
    <w:p>
      <w:r>
        <w:rPr>
          <w:b/>
        </w:rPr>
        <w:t xml:space="preserve">State and lifetime. </w:t>
      </w:r>
      <w:r>
        <w:t>Provisioning plan, required/pass/fail check set and current capture statistics.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Scripts cannot prove a board action without an adapter/evidence. Sensitive plan is explicitly separated from console output.</w:t>
      </w:r>
    </w:p>
    <w:p>
      <w:r>
        <w:rPr>
          <w:b/>
        </w:rPr>
        <w:t xml:space="preserve">Code navigation. </w:t>
      </w:r>
      <w:r>
        <w:t>Requirements F03, E09, E10, NFR-05. Files: tools/hil/provision.py, runner.py, power_profile.py, installation_checklist.md. Public entry points: build_plan(); InstallationRun.observe/result(); summarize().</w:t>
      </w:r>
    </w:p>
    <w:p>
      <w:r>
        <w:rPr>
          <w:b/>
        </w:rPr>
        <w:t xml:space="preserve">Verification boundary. </w:t>
      </w:r>
      <w:r>
        <w:t>Syntax/import covered by backend run context; physical execution deliberately pending. Host tooling exists; serial adapter, fault injector, power instrument and installed-home run are required. See the current evidence transcript; historical numerical test counts in retained tables belong to their original release.</w:t>
      </w:r>
    </w:p>
    <w:p>
      <w:r>
        <w:rPr>
          <w:b/>
        </w:rPr>
        <w:t xml:space="preserve">Enhancement scope. </w:t>
      </w:r>
      <w:r>
        <w:t>Automated relay/power-cycle jig and signed evidence bundle.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tools/hil/provision.py, runner.py, power_profile.py, installation_checklist.md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build_plan(); InstallationRun.observe/result(); summarize()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Provisioning plan, required/pass/fail check set and current capture statistics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Kit IDs / physical observations / current CSV → redacted plan, eligibility, power summary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 four unique nodes; never print claim token; fail unknown checks; gate eligibility on every required check; summarize measured current.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Scripts cannot prove a board action without an adapter/evidence. Sensitive plan is explicitly separated from console output.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Syntax/import covered by backend run context; physical execution deliberately pending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tooling exists; serial adapter, fault injector, power instrument and installed-home run are required.</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Automated relay/power-cycle jig and signed evidence bundle.</w:t>
            </w:r>
          </w:p>
        </w:tc>
      </w:tr>
    </w:tbl>
    <w:p>
      <w:pPr>
        <w:pStyle w:val="Heading2"/>
      </w:pPr>
      <w:r>
        <w:rPr>
          <w:color w:val="000000"/>
        </w:rPr>
        <w:t>T03 — Deployment/operations</w:t>
      </w:r>
    </w:p>
    <w:p>
      <w:r>
        <w:rPr>
          <w:b/>
        </w:rPr>
        <w:t xml:space="preserve">How this module works. </w:t>
      </w:r>
      <w:r>
        <w:t>The compose, broker and runbook files are deployment examples. A configured container is not evidence of production authentication, backups or a successful restore. Keep secrets outside version control and record a staging rollout/rollback drill.</w:t>
      </w:r>
    </w:p>
    <w:p>
      <w:r>
        <w:rPr>
          <w:b/>
        </w:rPr>
        <w:t xml:space="preserve">Input to output flow. </w:t>
      </w:r>
      <w:r>
        <w:t>Deployment secrets/certs/images → regional pilot services and independent alerts. Use TLS client identity and topic ACL; durable broker/database; alert ingest/backlog/fleet/backup; follow idempotent recovery runbook.</w:t>
      </w:r>
    </w:p>
    <w:p>
      <w:r>
        <w:rPr>
          <w:b/>
        </w:rPr>
        <w:t xml:space="preserve">State and lifetime. </w:t>
      </w:r>
      <w:r>
        <w:t>PostgreSQL volume, broker persistence, alert/routing state outside application domain.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Example files omit secrets by design and are not a production deployment certificate. Restore and provider failures remain explicit.</w:t>
      </w:r>
    </w:p>
    <w:p>
      <w:r>
        <w:rPr>
          <w:b/>
        </w:rPr>
        <w:t xml:space="preserve">Code navigation. </w:t>
      </w:r>
      <w:r>
        <w:t>Requirements E10. Files: ops/compose.yaml, mosquitto.conf, broker_acl.conf, alerts.yaml, runbook.md. Public entry points: Container/broker configuration and operator procedures.</w:t>
      </w:r>
    </w:p>
    <w:p>
      <w:r>
        <w:rPr>
          <w:b/>
        </w:rPr>
        <w:t xml:space="preserve">Verification boundary. </w:t>
      </w:r>
      <w:r>
        <w:t>Configuration reviewed structurally; live broker/database/backup drill pending. Examples complete; staging deployment, secret store, migrations, external monitoring and restore evidence remain. See the current evidence transcript; historical numerical test counts in retained tables belong to their original release.</w:t>
      </w:r>
    </w:p>
    <w:p>
      <w:r>
        <w:rPr>
          <w:b/>
        </w:rPr>
        <w:t xml:space="preserve">Enhancement scope. </w:t>
      </w:r>
      <w:r>
        <w:t>Horizontal process replicas before service decomposition.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ops/compose.yaml, mosquitto.conf, broker_acl.conf, alerts.yaml, runbook.md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Container/broker configuration and operator procedures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PostgreSQL volume, broker persistence, alert/routing state outside application domain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Deployment secrets/certs/images → regional pilot services and independent alerts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Use TLS client identity and topic ACL; durable broker/database; alert ingest/backlog/fleet/backup; follow idempotent recovery runbook.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Example files omit secrets by design and are not a production deployment certificate. Restore and provider failures remain explicit.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Configuration reviewed structurally; live broker/database/backup drill pending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Examples complete; staging deployment, secret store, migrations, external monitoring and restore evidence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Horizontal process replicas before service decomposition.</w:t>
            </w:r>
          </w:p>
        </w:tc>
      </w:tr>
    </w:tbl>
    <w:p>
      <w:pPr>
        <w:pStyle w:val="Heading1"/>
      </w:pPr>
      <w:r>
        <w:rPr>
          <w:color w:val="000000"/>
        </w:rPr>
        <w:t>12. End-to-end code flows</w:t>
      </w:r>
    </w:p>
    <w:p>
      <w:pPr>
        <w:pStyle w:val="Heading2"/>
      </w:pPr>
      <w:r>
        <w:rPr>
          <w:color w:val="000000"/>
        </w:rPr>
        <w:t>Normal morning motion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N01</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QualifiedInput emits Motion after debounce/retrigger gate.</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N05/N02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NodeRuntime appends, queues and retries with stable EventKey.</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H01/H02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Callback admits/copies; hub_event_task commits or identifies duplicate.</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H04/H05/S02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Contact refreshes coverage; committed motion becomes evidence.</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5</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H08/B03</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Outbox replays until backend transaction returns commit ACK.</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6</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B07/A02</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Timeline shows household/location activity and independent freshness.</w:t>
            </w:r>
          </w:p>
        </w:tc>
      </w:tr>
    </w:tbl>
    <w:p>
      <w:pPr>
        <w:pStyle w:val="Heading2"/>
      </w:pPr>
      <w:r>
        <w:rPr>
          <w:color w:val="000000"/>
        </w:rPr>
        <w:t>Covered quiet morning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H03 timer</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GRACE_ENDED envelope reaches hub_event_task with stable window ID.</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H04</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Every required source must cover the eligible interval; otherwise return unknown.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H05/S02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Trusted time + HOME + Covered + no evidence creates one stable decision.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H02/H08</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Persist incident intent locally and sync without duplicate creation.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5</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B03/B04/B05</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Store once, create incident once, route primary then backup at +5 minutes.</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6</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A04/B04</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Caregiver claims, acknowledges and explicitly resolves; motion cannot resolve it.</w:t>
            </w:r>
          </w:p>
        </w:tc>
      </w:tr>
    </w:tbl>
    <w:p>
      <w:pPr>
        <w:pStyle w:val="Heading2"/>
      </w:pPr>
      <w:r>
        <w:rPr>
          <w:color w:val="000000"/>
        </w:rPr>
        <w:t>Call family while WAN is down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H06</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Physical action creates CallFamily event and local saved feedback.</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Reserved business capacity commits before feedback claims saved.</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H08</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Disconnected state preserves outbox; action does not wait on cloud.</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Reconnect</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CallFamily is prioritized before ordinary historical evidence.</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5</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B04/B05</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Incident/primary/backup jobs are idempotent by stable keys.</w:t>
            </w:r>
          </w:p>
        </w:tc>
      </w:tr>
    </w:tbl>
    <w:p>
      <w:pPr>
        <w:pStyle w:val="Heading2"/>
      </w:pPr>
      <w:r>
        <w:rPr>
          <w:color w:val="000000"/>
        </w:rPr>
        <w:t>Configuration change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A03</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Validate and submit a versioned desired configuration.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B06</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Authorize owner, increment version and expose desired state.</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H08/H07</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Receive command ID/version; hub_event_task validates and atomically swaps snapshot.</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B06/A03</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Applied-version ACK updates status; pending remains visible until then.</w:t>
            </w:r>
          </w:p>
        </w:tc>
      </w:tr>
    </w:tbl>
    <w:p>
      <w:pPr>
        <w:pStyle w:val="Heading2"/>
      </w:pPr>
      <w:r>
        <w:rPr>
          <w:color w:val="000000"/>
        </w:rPr>
        <w:t>Privacy</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H06</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Latching physical switch creates PrivacyOn immediately.</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HubRuntime</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State owner enters privacy; passive events return DISCARDED_POLICY without journal.</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H08/B02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Remote state catches up when available; local switch remains authoritative.</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A02</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Dashboard may be stale but must show last known mode/freshness, not activity inference.</w:t>
            </w:r>
          </w:p>
        </w:tc>
      </w:tr>
    </w:tbl>
    <w:p>
      <w:pPr>
        <w:pStyle w:val="Heading1"/>
      </w:pPr>
      <w:r>
        <w:rPr>
          <w:color w:val="000000"/>
        </w:rPr>
        <w:t>13. Build, verification and engineering handoff</w:t>
      </w:r>
    </w:p>
    <w:p>
      <w:pPr>
        <w:pStyle w:val="Heading2"/>
      </w:pPr>
      <w:r>
        <w:rPr>
          <w:color w:val="000000"/>
        </w:rPr>
        <w:t>Reproduce the host result</w:t>
      </w:r>
    </w:p>
    <w:p>
      <w:pPr>
        <w:pStyle w:val="Code"/>
      </w:pPr>
      <w:r>
        <w:t>cd ghar_sajag_reference</w:t>
        <w:br/>
        <w:t>make verify</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500"/>
        <w:gridCol w:w="2900"/>
        <w:gridCol w:w="4960"/>
      </w:tblGrid>
      <w:tr>
        <w:trPr>
          <w:cantSplit/>
          <w:tblHeader w:val="true"/>
        </w:trPr>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Lane</w:t>
            </w:r>
          </w:p>
        </w:tc>
        <w:tc>
          <w:tcPr>
            <w:tcW w:type="dxa" w:w="29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Observed result</w:t>
            </w:r>
          </w:p>
        </w:tc>
        <w:tc>
          <w:tcPr>
            <w:tcW w:type="dxa" w:w="49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Coverage boundary</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Contracts</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6"/>
              </w:rPr>
              <w:t>3 JSON + OpenAPI structural pass</w:t>
            </w:r>
          </w:p>
        </w:tc>
        <w:tc>
          <w:tcPr>
            <w:tcW w:type="dxa" w:w="4960"/>
            <w:tcMar>
              <w:top w:w="80" w:type="dxa"/>
              <w:start w:w="120" w:type="dxa"/>
              <w:bottom w:w="80" w:type="dxa"/>
              <w:end w:w="120" w:type="dxa"/>
            </w:tcMar>
            <w:vAlign w:val="center"/>
          </w:tcPr>
          <w:p>
            <w:pPr>
              <w:keepNext/>
              <w:spacing w:before="0" w:after="60" w:line="240" w:lineRule="auto"/>
            </w:pPr>
            <w:r>
              <w:rPr>
                <w:rFonts w:ascii="Calibri" w:hAnsi="Calibri"/>
                <w:sz w:val="16"/>
              </w:rPr>
              <w:t>No generated binding/golden-vector claim</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6"/>
              </w:rPr>
              <w:t>52 assertions; strict C++17 build</w:t>
            </w:r>
          </w:p>
        </w:tc>
        <w:tc>
          <w:tcPr>
            <w:tcW w:type="dxa" w:w="4960"/>
            <w:tcMar>
              <w:top w:w="80" w:type="dxa"/>
              <w:start w:w="120" w:type="dxa"/>
              <w:bottom w:w="80" w:type="dxa"/>
              <w:end w:w="120" w:type="dxa"/>
            </w:tcMar>
            <w:vAlign w:val="center"/>
          </w:tcPr>
          <w:p>
            <w:pPr>
              <w:keepNext/>
              <w:spacing w:before="0" w:after="60" w:line="240" w:lineRule="auto"/>
            </w:pPr>
            <w:r>
              <w:rPr>
                <w:rFonts w:ascii="Calibri" w:hAnsi="Calibri"/>
                <w:sz w:val="16"/>
              </w:rPr>
              <w:t>Portable logic only, no ESP-IDF driver</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Simulator</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6"/>
              </w:rPr>
              <w:t>Motion evidence; one offline replay; no false missing incident</w:t>
            </w:r>
          </w:p>
        </w:tc>
        <w:tc>
          <w:tcPr>
            <w:tcW w:type="dxa" w:w="4960"/>
            <w:tcMar>
              <w:top w:w="80" w:type="dxa"/>
              <w:start w:w="120" w:type="dxa"/>
              <w:bottom w:w="80" w:type="dxa"/>
              <w:end w:w="120" w:type="dxa"/>
            </w:tcMar>
            <w:vAlign w:val="center"/>
          </w:tcPr>
          <w:p>
            <w:pPr>
              <w:keepNext/>
              <w:spacing w:before="0" w:after="60" w:line="240" w:lineRule="auto"/>
            </w:pPr>
            <w:r>
              <w:rPr>
                <w:rFonts w:ascii="Calibri" w:hAnsi="Calibri"/>
                <w:sz w:val="16"/>
              </w:rPr>
              <w:t>Single deterministic vertical slice</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Python</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6"/>
              </w:rPr>
              <w:t>10 unittest cases</w:t>
            </w:r>
          </w:p>
        </w:tc>
        <w:tc>
          <w:tcPr>
            <w:tcW w:type="dxa" w:w="4960"/>
            <w:tcMar>
              <w:top w:w="80" w:type="dxa"/>
              <w:start w:w="120" w:type="dxa"/>
              <w:bottom w:w="80" w:type="dxa"/>
              <w:end w:w="120" w:type="dxa"/>
            </w:tcMar>
            <w:vAlign w:val="center"/>
          </w:tcPr>
          <w:p>
            <w:pPr>
              <w:keepNext/>
              <w:spacing w:before="0" w:after="60" w:line="240" w:lineRule="auto"/>
            </w:pPr>
            <w:r>
              <w:rPr>
                <w:rFonts w:ascii="Calibri" w:hAnsi="Calibri"/>
                <w:sz w:val="16"/>
              </w:rPr>
              <w:t>In-memory repository, no PostgreSQL/provider concurrency</w:t>
            </w:r>
          </w:p>
        </w:tc>
      </w:tr>
      <w:tr>
        <w:trPr>
          <w:cantSplit/>
        </w:trPr>
        <w:tc>
          <w:tcPr>
            <w:tcW w:type="dxa" w:w="1500"/>
            <w:tcMar>
              <w:top w:w="80" w:type="dxa"/>
              <w:start w:w="120" w:type="dxa"/>
              <w:bottom w:w="80" w:type="dxa"/>
              <w:end w:w="120" w:type="dxa"/>
            </w:tcMar>
            <w:vAlign w:val="center"/>
          </w:tcPr>
          <w:p>
            <w:pPr>
              <w:spacing w:before="0" w:after="60" w:line="240" w:lineRule="auto"/>
            </w:pPr>
            <w:r>
              <w:rPr>
                <w:rFonts w:ascii="Calibri" w:hAnsi="Calibri"/>
                <w:sz w:val="16"/>
              </w:rPr>
              <w:t>Node.js</w:t>
            </w:r>
          </w:p>
        </w:tc>
        <w:tc>
          <w:tcPr>
            <w:tcW w:type="dxa" w:w="2900"/>
            <w:tcMar>
              <w:top w:w="80" w:type="dxa"/>
              <w:start w:w="120" w:type="dxa"/>
              <w:bottom w:w="80" w:type="dxa"/>
              <w:end w:w="120" w:type="dxa"/>
            </w:tcMar>
            <w:vAlign w:val="center"/>
          </w:tcPr>
          <w:p>
            <w:pPr>
              <w:spacing w:before="0" w:after="60" w:line="240" w:lineRule="auto"/>
            </w:pPr>
            <w:r>
              <w:rPr>
                <w:rFonts w:ascii="Calibri" w:hAnsi="Calibri"/>
                <w:sz w:val="16"/>
              </w:rPr>
              <w:t>6 app-domain tests</w:t>
            </w:r>
          </w:p>
        </w:tc>
        <w:tc>
          <w:tcPr>
            <w:tcW w:type="dxa" w:w="4960"/>
            <w:tcMar>
              <w:top w:w="80" w:type="dxa"/>
              <w:start w:w="120" w:type="dxa"/>
              <w:bottom w:w="80" w:type="dxa"/>
              <w:end w:w="120" w:type="dxa"/>
            </w:tcMar>
            <w:vAlign w:val="center"/>
          </w:tcPr>
          <w:p>
            <w:pPr>
              <w:spacing w:before="0" w:after="60" w:line="240" w:lineRule="auto"/>
            </w:pPr>
            <w:r>
              <w:rPr>
                <w:rFonts w:ascii="Calibri" w:hAnsi="Calibri"/>
                <w:sz w:val="16"/>
              </w:rPr>
              <w:t>Framework-neutral logic, not complete React/browser matrix</w:t>
            </w:r>
          </w:p>
        </w:tc>
      </w:tr>
    </w:tbl>
    <w:p>
      <w:pPr>
        <w:pStyle w:val="Heading2"/>
      </w:pPr>
      <w:r>
        <w:rPr>
          <w:color w:val="000000"/>
        </w:rPr>
        <w:t>Recommended next implementation order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800"/>
        <w:gridCol w:w="3550"/>
        <w:gridCol w:w="5010"/>
      </w:tblGrid>
      <w:tr>
        <w:trPr>
          <w:cantSplit/>
          <w:tblHeader w:val="true"/>
        </w:trPr>
        <w:tc>
          <w:tcPr>
            <w:tcW w:type="dxa" w:w="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Phase</w:t>
            </w:r>
          </w:p>
        </w:tc>
        <w:tc>
          <w:tcPr>
            <w:tcW w:type="dxa" w:w="35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Action</w:t>
            </w:r>
          </w:p>
        </w:tc>
        <w:tc>
          <w:tcPr>
            <w:tcW w:type="dxa" w:w="501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Exit criterion</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A</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Engineer checkout and code walkthrough</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Clean make verify; trace normal and missing flow using this LLD.</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B</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Create pinned ESP-IDF hub/C3 projects and adapters</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Exact boards build; board profiles and safe pins recorded.</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C</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Wire one PIR node to one hub</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Power-cut/duplicate tests prove persist-before-ACK path.</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D</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Bind all local controls/rules</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Privacy, OK, Call, coverage and untrusted-time cases pass on bench.</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E</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Replace backend host adapters</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PostgreSQL/MQTT/OIDC/Web Push staging tests and restore evidence pass.</w:t>
            </w:r>
          </w:p>
        </w:tc>
      </w:tr>
      <w:tr>
        <w:trPr>
          <w:cantSplit/>
        </w:trPr>
        <w:tc>
          <w:tcPr>
            <w:tcW w:type="dxa" w:w="800"/>
            <w:tcMar>
              <w:top w:w="80" w:type="dxa"/>
              <w:start w:w="120" w:type="dxa"/>
              <w:bottom w:w="80" w:type="dxa"/>
              <w:end w:w="120" w:type="dxa"/>
            </w:tcMar>
            <w:vAlign w:val="center"/>
          </w:tcPr>
          <w:p>
            <w:pPr>
              <w:spacing w:before="0" w:after="60" w:line="240" w:lineRule="auto"/>
            </w:pPr>
            <w:r>
              <w:rPr>
                <w:rFonts w:ascii="Calibri" w:hAnsi="Calibri"/>
                <w:sz w:val="16"/>
              </w:rPr>
              <w:t>F</w:t>
            </w:r>
          </w:p>
        </w:tc>
        <w:tc>
          <w:tcPr>
            <w:tcW w:type="dxa" w:w="3550"/>
            <w:tcMar>
              <w:top w:w="80" w:type="dxa"/>
              <w:start w:w="120" w:type="dxa"/>
              <w:bottom w:w="80" w:type="dxa"/>
              <w:end w:w="120" w:type="dxa"/>
            </w:tcMar>
            <w:vAlign w:val="center"/>
          </w:tcPr>
          <w:p>
            <w:pPr>
              <w:spacing w:before="0" w:after="60" w:line="240" w:lineRule="auto"/>
            </w:pPr>
            <w:r>
              <w:rPr>
                <w:rFonts w:ascii="Calibri" w:hAnsi="Calibri"/>
                <w:sz w:val="16"/>
              </w:rPr>
              <w:t>Install four-node household pilot</w:t>
            </w:r>
          </w:p>
        </w:tc>
        <w:tc>
          <w:tcPr>
            <w:tcW w:type="dxa" w:w="5010"/>
            <w:tcMar>
              <w:top w:w="80" w:type="dxa"/>
              <w:start w:w="120" w:type="dxa"/>
              <w:bottom w:w="80" w:type="dxa"/>
              <w:end w:w="120" w:type="dxa"/>
            </w:tcMar>
            <w:vAlign w:val="center"/>
          </w:tcPr>
          <w:p>
            <w:pPr>
              <w:spacing w:before="0" w:after="60" w:line="240" w:lineRule="auto"/>
            </w:pPr>
            <w:r>
              <w:rPr>
                <w:rFonts w:ascii="Calibri" w:hAnsi="Calibri"/>
                <w:sz w:val="16"/>
              </w:rPr>
              <w:t>Placement, power, 72-hour WAN, TEST alert and caregiver comprehension gates pass.</w:t>
            </w:r>
          </w:p>
        </w:tc>
      </w:tr>
    </w:tbl>
    <w:p>
      <w:pPr>
        <w:pStyle w:val="Heading2"/>
      </w:pPr>
      <w:r>
        <w:rPr>
          <w:color w:val="000000"/>
        </w:rPr>
        <w:t>Hardware/provider work queue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300"/>
        <w:gridCol w:w="5500"/>
        <w:gridCol w:w="2560"/>
      </w:tblGrid>
      <w:tr>
        <w:trPr>
          <w:cantSplit/>
          <w:tblHeader w:val="true"/>
        </w:trPr>
        <w:tc>
          <w:tcPr>
            <w:tcW w:type="dxa" w:w="1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Gate</w:t>
            </w:r>
          </w:p>
        </w:tc>
        <w:tc>
          <w:tcPr>
            <w:tcW w:type="dxa" w:w="5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Must be measured or integrated</w:t>
            </w:r>
          </w:p>
        </w:tc>
        <w:tc>
          <w:tcPr>
            <w:tcW w:type="dxa" w:w="25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Blocks</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Board profile</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Exact DevKit V1/C3 schematic, pins, flash, boot straps and leakage</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Firmware wiring freeze</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Power</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Protected cell/pack, charger/power path, current, thermal and transition behavior</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Unattended battery use</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Radio</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Encryption, coexistence/channel change, range, loss and queue occupancy</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Installed four-node claim</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Persistence</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Partition, CRC/commit marker, wear, full storage and repeated cut</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Durable ACK claim</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Cloud identity</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TLS cert lifecycle, broker ACL, OIDC validation and secret store</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Remote pilot</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Notification</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Supported phones, permission, provider acceptance, app receipt and human drill</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Caregiver routing claim</w:t>
            </w:r>
          </w:p>
        </w:tc>
      </w:tr>
      <w:tr>
        <w:trPr>
          <w:cantSplit/>
        </w:trPr>
        <w:tc>
          <w:tcPr>
            <w:tcW w:type="dxa" w:w="1300"/>
            <w:tcMar>
              <w:top w:w="80" w:type="dxa"/>
              <w:start w:w="120" w:type="dxa"/>
              <w:bottom w:w="80" w:type="dxa"/>
              <w:end w:w="120" w:type="dxa"/>
            </w:tcMar>
            <w:vAlign w:val="center"/>
          </w:tcPr>
          <w:p>
            <w:pPr>
              <w:spacing w:before="0" w:after="60" w:line="240" w:lineRule="auto"/>
            </w:pPr>
            <w:r>
              <w:rPr>
                <w:rFonts w:ascii="Calibri" w:hAnsi="Calibri"/>
                <w:sz w:val="16"/>
              </w:rPr>
              <w:t>OTA</w:t>
            </w:r>
          </w:p>
        </w:tc>
        <w:tc>
          <w:tcPr>
            <w:tcW w:type="dxa" w:w="5500"/>
            <w:tcMar>
              <w:top w:w="80" w:type="dxa"/>
              <w:start w:w="120" w:type="dxa"/>
              <w:bottom w:w="80" w:type="dxa"/>
              <w:end w:w="120" w:type="dxa"/>
            </w:tcMar>
            <w:vAlign w:val="center"/>
          </w:tcPr>
          <w:p>
            <w:pPr>
              <w:spacing w:before="0" w:after="60" w:line="240" w:lineRule="auto"/>
            </w:pPr>
            <w:r>
              <w:rPr>
                <w:rFonts w:ascii="Calibri" w:hAnsi="Calibri"/>
                <w:sz w:val="16"/>
              </w:rPr>
              <w:t>Real cryptographic signature, secure boot, rollback and interrupted update</w:t>
            </w:r>
          </w:p>
        </w:tc>
        <w:tc>
          <w:tcPr>
            <w:tcW w:type="dxa" w:w="2560"/>
            <w:tcMar>
              <w:top w:w="80" w:type="dxa"/>
              <w:start w:w="120" w:type="dxa"/>
              <w:bottom w:w="80" w:type="dxa"/>
              <w:end w:w="120" w:type="dxa"/>
            </w:tcMar>
            <w:vAlign w:val="center"/>
          </w:tcPr>
          <w:p>
            <w:pPr>
              <w:spacing w:before="0" w:after="60" w:line="240" w:lineRule="auto"/>
            </w:pPr>
            <w:r>
              <w:rPr>
                <w:rFonts w:ascii="Calibri" w:hAnsi="Calibri"/>
                <w:sz w:val="16"/>
              </w:rPr>
              <w:t>Remote update</w:t>
            </w:r>
          </w:p>
        </w:tc>
      </w:tr>
    </w:tbl>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9360"/>
      </w:tblGrid>
      <w:tr>
        <w:trPr>
          <w:cantSplit/>
        </w:trPr>
        <w:tc>
          <w:tcPr>
            <w:tcW w:type="dxa" w:w="9360"/>
            <w:tcMar>
              <w:top w:w="80" w:type="dxa"/>
              <w:start w:w="120" w:type="dxa"/>
              <w:bottom w:w="80" w:type="dxa"/>
              <w:end w:w="120" w:type="dxa"/>
            </w:tcMar>
            <w:vAlign w:val="center"/>
            <w:shd w:fill="F4F6F9"/>
          </w:tcPr>
          <w:p>
            <w:pPr>
              <w:spacing w:before="0" w:after="60" w:line="240" w:lineRule="auto"/>
            </w:pPr>
            <w:r>
              <w:rPr>
                <w:rFonts w:ascii="Calibri" w:hAnsi="Calibri"/>
                <w:b/>
                <w:color w:val="1F5E4C"/>
                <w:sz w:val="19"/>
              </w:rPr>
              <w:t>Handoff acceptance: a new engineer can locate every module, run the complete host suite, explain the durable ACK path and the coverage-unknown safety gate, and identify which remaining claims require actual boards or providers.</w:t>
            </w:r>
          </w:p>
        </w:tc>
      </w:tr>
    </w:tbl>
    <w:p>
      <w:r>
        <w:br w:type="page"/>
      </w:r>
    </w:p>
    <w:p>
      <w:pPr>
        <w:pStyle w:val="Heading1"/>
      </w:pPr>
      <w:r>
        <w:rPr>
          <w:color w:val="000000"/>
        </w:rPr>
        <w:t>Logging and runtime diagnostics — implementation addendum</w:t>
      </w:r>
    </w:p>
    <w:p>
      <w:r>
        <w:t>Version 1.1 · 8 September 2026 · Host-verified, hardware binding pending</w:t>
      </w:r>
    </w:p>
    <w:p>
      <w:r>
        <w:t>This addendum defines the diagnostic implementation added to every hardware-independent layer. It is deliberately bounded and privacy-minimising: stable module/event codes are stored, but resident activity payloads, names, tokens, Wi-Fi credentials and raw memory addresses are not.</w:t>
      </w:r>
    </w:p>
    <w:p>
      <w:pPr>
        <w:pStyle w:val="Heading2"/>
      </w:pPr>
      <w:r>
        <w:rPr>
          <w:color w:val="000000"/>
        </w:rPr>
        <w:t>Design goals and non-goals</w:t>
      </w:r>
    </w:p>
    <w:tbl>
      <w:tblPr>
        <w:tblStyle w:val="TableGrid"/>
        <w:tblW w:type="auto" w:w="0"/>
        <w:tblLook w:firstColumn="1" w:firstRow="1" w:lastColumn="0" w:lastRow="0" w:noHBand="0" w:noVBand="1" w:val="04A0"/>
      </w:tblPr>
      <w:tblGrid>
        <w:gridCol w:w="4680"/>
        <w:gridCol w:w="4680"/>
      </w:tblGrid>
      <w:tr>
        <w:tc>
          <w:tcPr>
            <w:tcW w:type="dxa" w:w="4680"/>
            <w:shd w:fill="D9EAF7"/>
          </w:tcPr>
          <w:p>
            <w:r>
              <w:rPr>
                <w:b/>
              </w:rPr>
              <w:t>Goal</w:t>
            </w:r>
          </w:p>
        </w:tc>
        <w:tc>
          <w:tcPr>
            <w:tcW w:type="dxa" w:w="4680"/>
            <w:shd w:fill="D9EAF7"/>
          </w:tcPr>
          <w:p>
            <w:r>
              <w:rPr>
                <w:b/>
              </w:rPr>
              <w:t>Design response</w:t>
            </w:r>
          </w:p>
        </w:tc>
      </w:tr>
      <w:tr>
        <w:tc>
          <w:tcPr>
            <w:tcW w:type="dxa" w:w="4680"/>
          </w:tcPr>
          <w:p>
            <w:r>
              <w:t>Commercial fault evidence</w:t>
            </w:r>
          </w:p>
        </w:tc>
        <w:tc>
          <w:tcPr>
            <w:tcW w:type="dxa" w:w="4680"/>
          </w:tcPr>
          <w:p>
            <w:r>
              <w:t>ERROR is always compiled/available and is used only for flow-breaking failures.</w:t>
            </w:r>
          </w:p>
        </w:tc>
      </w:tr>
      <w:tr>
        <w:tc>
          <w:tcPr>
            <w:tcW w:type="dxa" w:w="4680"/>
          </w:tcPr>
          <w:p>
            <w:r>
              <w:t>Development call-flow</w:t>
            </w:r>
          </w:p>
        </w:tc>
        <w:tc>
          <w:tcPr>
            <w:tcW w:type="dxa" w:w="4680"/>
          </w:tcPr>
          <w:p>
            <w:r>
              <w:t>TRACE is compiled into C++ only with GS_ENABLE_TRACE=1; backend/app tracing is disabled by default.</w:t>
            </w:r>
          </w:p>
        </w:tc>
      </w:tr>
      <w:tr>
        <w:tc>
          <w:tcPr>
            <w:tcW w:type="dxa" w:w="4680"/>
          </w:tcPr>
          <w:p>
            <w:r>
              <w:t>Small memory and storage</w:t>
            </w:r>
          </w:p>
        </w:tc>
        <w:tc>
          <w:tcPr>
            <w:tcW w:type="dxa" w:w="4680"/>
          </w:tcPr>
          <w:p>
            <w:r>
              <w:t>C++ uses a fixed 384-byte stack record; files rotate at 128 KiB with two backups; browser ring holds 128 lines.</w:t>
            </w:r>
          </w:p>
        </w:tc>
      </w:tr>
      <w:tr>
        <w:tc>
          <w:tcPr>
            <w:tcW w:type="dxa" w:w="4680"/>
          </w:tcPr>
          <w:p>
            <w:r>
              <w:t>Failure isolation</w:t>
            </w:r>
          </w:p>
        </w:tc>
        <w:tc>
          <w:tcPr>
            <w:tcW w:type="dxa" w:w="4680"/>
          </w:tcPr>
          <w:p>
            <w:r>
              <w:t>Sink failure never blocks sensing, persistence, rules, acknowledgement or escalation logic.</w:t>
            </w:r>
          </w:p>
        </w:tc>
      </w:tr>
      <w:tr>
        <w:tc>
          <w:tcPr>
            <w:tcW w:type="dxa" w:w="4680"/>
          </w:tcPr>
          <w:p>
            <w:r>
              <w:t>Privacy</w:t>
            </w:r>
          </w:p>
        </w:tc>
        <w:tc>
          <w:tcPr>
            <w:tcW w:type="dxa" w:w="4680"/>
          </w:tcPr>
          <w:p>
            <w:r>
              <w:t>No resident event payloads, secrets, names, exact household history or pointer addresses in diagnostic records.</w:t>
            </w:r>
          </w:p>
        </w:tc>
      </w:tr>
      <w:tr>
        <w:tc>
          <w:tcPr>
            <w:tcW w:type="dxa" w:w="4680"/>
          </w:tcPr>
          <w:p>
            <w:r>
              <w:t>Non-goal</w:t>
            </w:r>
          </w:p>
        </w:tc>
        <w:tc>
          <w:tcPr>
            <w:tcW w:type="dxa" w:w="4680"/>
          </w:tcPr>
          <w:p>
            <w:r>
              <w:t>Logging does not itself detect all memory corruption. Sanitizers and ESP-IDF panic/watchdog/coredump facilities are separate controls.</w:t>
            </w:r>
          </w:p>
        </w:tc>
      </w:tr>
    </w:tbl>
    <w:p>
      <w:pPr>
        <w:pStyle w:val="Heading2"/>
      </w:pPr>
      <w:r>
        <w:rPr>
          <w:color w:val="000000"/>
        </w:rPr>
        <w:t>Interfaces and record contract</w:t>
      </w:r>
    </w:p>
    <w:p>
      <w:r>
        <w:t>C++ modules call GS_ERROR(category, module, event, detail) or GS_TRACE(...). A gs::log::Sink receives a complete bounded line. The host sink appends and rotates text files; the future ESP-IDF sink will use a bounded RAM/RTC or wear-levelled implementation.</w:t>
      </w:r>
    </w:p>
    <w:p>
      <w:r>
        <w:t>Canonical record:</w:t>
      </w:r>
    </w:p>
    <w:p>
      <w:r>
        <w:rPr>
          <w:rFonts w:ascii="Consolas" w:hAnsi="Consolas"/>
          <w:sz w:val="18"/>
        </w:rPr>
        <w:t>level=ERROR category=STORAGE module=H02 event=commit.failed detail=capacity_exhausted</w:t>
      </w:r>
    </w:p>
    <w:p>
      <w:pPr>
        <w:pStyle w:val="Heading2"/>
      </w:pPr>
      <w:r>
        <w:rPr>
          <w:color w:val="000000"/>
        </w:rPr>
        <w:t>Module integration</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Layer</w:t>
            </w:r>
          </w:p>
        </w:tc>
        <w:tc>
          <w:tcPr>
            <w:tcW w:type="dxa" w:w="3120"/>
            <w:shd w:fill="D9EAF7"/>
          </w:tcPr>
          <w:p>
            <w:r>
              <w:rPr>
                <w:b/>
              </w:rPr>
              <w:t>Modules</w:t>
            </w:r>
          </w:p>
        </w:tc>
        <w:tc>
          <w:tcPr>
            <w:tcW w:type="dxa" w:w="3120"/>
            <w:shd w:fill="D9EAF7"/>
          </w:tcPr>
          <w:p>
            <w:r>
              <w:rPr>
                <w:b/>
              </w:rPr>
              <w:t>Instrumentation</w:t>
            </w:r>
          </w:p>
        </w:tc>
      </w:tr>
      <w:tr>
        <w:tc>
          <w:tcPr>
            <w:tcW w:type="dxa" w:w="3120"/>
          </w:tcPr>
          <w:p>
            <w:r>
              <w:t>Node</w:t>
            </w:r>
          </w:p>
        </w:tc>
        <w:tc>
          <w:tcPr>
            <w:tcW w:type="dxa" w:w="3120"/>
          </w:tcPr>
          <w:p>
            <w:r>
              <w:t>N00–N05</w:t>
            </w:r>
          </w:p>
        </w:tc>
        <w:tc>
          <w:tcPr>
            <w:tcW w:type="dxa" w:w="3120"/>
          </w:tcPr>
          <w:p>
            <w:r>
              <w:t>Runtime and all component entry traces; journal/radio capacity failures are ERROR.</w:t>
            </w:r>
          </w:p>
        </w:tc>
      </w:tr>
      <w:tr>
        <w:tc>
          <w:tcPr>
            <w:tcW w:type="dxa" w:w="3120"/>
          </w:tcPr>
          <w:p>
            <w:r>
              <w:t>Hub</w:t>
            </w:r>
          </w:p>
        </w:tc>
        <w:tc>
          <w:tcPr>
            <w:tcW w:type="dxa" w:w="3120"/>
          </w:tcPr>
          <w:p>
            <w:r>
              <w:t>H00–H08</w:t>
            </w:r>
          </w:p>
        </w:tc>
        <w:tc>
          <w:tcPr>
            <w:tcW w:type="dxa" w:w="3120"/>
          </w:tcPr>
          <w:p>
            <w:r>
              <w:t>Runtime and component entry traces; unauthorized/full ingest and full journal are ERROR.</w:t>
            </w:r>
          </w:p>
        </w:tc>
      </w:tr>
      <w:tr>
        <w:tc>
          <w:tcPr>
            <w:tcW w:type="dxa" w:w="3120"/>
          </w:tcPr>
          <w:p>
            <w:r>
              <w:t>Shared/security</w:t>
            </w:r>
          </w:p>
        </w:tc>
        <w:tc>
          <w:tcPr>
            <w:tcW w:type="dxa" w:w="3120"/>
          </w:tcPr>
          <w:p>
            <w:r>
              <w:t>S01–S03</w:t>
            </w:r>
          </w:p>
        </w:tc>
        <w:tc>
          <w:tcPr>
            <w:tcW w:type="dxa" w:w="3120"/>
          </w:tcPr>
          <w:p>
            <w:r>
              <w:t>Rule-flow traces; malformed credential installation is ERROR.</w:t>
            </w:r>
          </w:p>
        </w:tc>
      </w:tr>
      <w:tr>
        <w:tc>
          <w:tcPr>
            <w:tcW w:type="dxa" w:w="3120"/>
          </w:tcPr>
          <w:p>
            <w:r>
              <w:t>Backend</w:t>
            </w:r>
          </w:p>
        </w:tc>
        <w:tc>
          <w:tcPr>
            <w:tcW w:type="dxa" w:w="3120"/>
          </w:tcPr>
          <w:p>
            <w:r>
              <w:t>B01–B08</w:t>
            </w:r>
          </w:p>
        </w:tc>
        <w:tc>
          <w:tcPr>
            <w:tcW w:type="dxa" w:w="3120"/>
          </w:tcPr>
          <w:p>
            <w:r>
              <w:t>Decorator records entry/exit in development and selected uncaught validation/runtime failure types as ERROR.</w:t>
            </w:r>
          </w:p>
        </w:tc>
      </w:tr>
      <w:tr>
        <w:tc>
          <w:tcPr>
            <w:tcW w:type="dxa" w:w="3120"/>
          </w:tcPr>
          <w:p>
            <w:r>
              <w:t>Application</w:t>
            </w:r>
          </w:p>
        </w:tc>
        <w:tc>
          <w:tcPr>
            <w:tcW w:type="dxa" w:w="3120"/>
          </w:tcPr>
          <w:p>
            <w:r>
              <w:t>A01–A05</w:t>
            </w:r>
          </w:p>
        </w:tc>
        <w:tc>
          <w:tcPr>
            <w:tcW w:type="dxa" w:w="3120"/>
          </w:tcPr>
          <w:p>
            <w:r>
              <w:t>Entry traces; authorization/service-request failures are ERROR; 128-line exportable ring.</w:t>
            </w:r>
          </w:p>
        </w:tc>
      </w:tr>
      <w:tr>
        <w:tc>
          <w:tcPr>
            <w:tcW w:type="dxa" w:w="3120"/>
          </w:tcPr>
          <w:p>
            <w:r>
              <w:t>Verification</w:t>
            </w:r>
          </w:p>
        </w:tc>
        <w:tc>
          <w:tcPr>
            <w:tcW w:type="dxa" w:w="3120"/>
          </w:tcPr>
          <w:p>
            <w:r>
              <w:t>T01–T03</w:t>
            </w:r>
          </w:p>
        </w:tc>
        <w:tc>
          <w:tcPr>
            <w:tcW w:type="dxa" w:w="3120"/>
          </w:tcPr>
          <w:p>
            <w:r>
              <w:t>Tests confirm production filtering, development traces and structured text export.</w:t>
            </w:r>
          </w:p>
        </w:tc>
      </w:tr>
    </w:tbl>
    <w:p>
      <w:pPr>
        <w:pStyle w:val="Heading2"/>
      </w:pPr>
      <w:r>
        <w:rPr>
          <w:color w:val="000000"/>
        </w:rPr>
        <w:t>Runtime behaviour</w:t>
      </w:r>
    </w:p>
    <w:p>
      <w:pPr>
        <w:pStyle w:val="ListBullet"/>
      </w:pPr>
      <w:r>
        <w:t>Production boot installs a sink, leaves tracing disabled and immediately flushes ERROR records.</w:t>
      </w:r>
    </w:p>
    <w:p>
      <w:pPr>
        <w:pStyle w:val="ListBullet"/>
      </w:pPr>
      <w:r>
        <w:t>A module emits a stable event code before returning from a critical failure path.</w:t>
      </w:r>
    </w:p>
    <w:p>
      <w:pPr>
        <w:pStyle w:val="ListBullet"/>
      </w:pPr>
      <w:r>
        <w:t>If the record would exceed its bound, it is truncated safely and remains newline-terminated.</w:t>
      </w:r>
    </w:p>
    <w:p>
      <w:pPr>
        <w:pStyle w:val="ListBullet"/>
      </w:pPr>
      <w:r>
        <w:t>When the current text file would exceed 128 KiB, it is renamed to .1; older files advance to .2.</w:t>
      </w:r>
    </w:p>
    <w:p>
      <w:pPr>
        <w:pStyle w:val="ListBullet"/>
      </w:pPr>
      <w:r>
        <w:t>If opening, seeking, rotating or writing the sink fails, product logic continues without retry loops in the critical path.</w:t>
      </w:r>
    </w:p>
    <w:p>
      <w:pPr>
        <w:pStyle w:val="Heading2"/>
      </w:pPr>
      <w:r>
        <w:rPr>
          <w:color w:val="000000"/>
        </w:rPr>
        <w:t>Build and operations</w:t>
      </w:r>
    </w:p>
    <w:tbl>
      <w:tblPr>
        <w:tblStyle w:val="TableGrid"/>
        <w:tblW w:type="auto" w:w="0"/>
        <w:tblLook w:firstColumn="1" w:firstRow="1" w:lastColumn="0" w:lastRow="0" w:noHBand="0" w:noVBand="1" w:val="04A0"/>
      </w:tblPr>
      <w:tblGrid>
        <w:gridCol w:w="4680"/>
        <w:gridCol w:w="4680"/>
      </w:tblGrid>
      <w:tr>
        <w:tc>
          <w:tcPr>
            <w:tcW w:type="dxa" w:w="4680"/>
            <w:shd w:fill="D9EAF7"/>
          </w:tcPr>
          <w:p>
            <w:r>
              <w:rPr>
                <w:b/>
              </w:rPr>
              <w:t>Command / setting</w:t>
            </w:r>
          </w:p>
        </w:tc>
        <w:tc>
          <w:tcPr>
            <w:tcW w:type="dxa" w:w="4680"/>
            <w:shd w:fill="D9EAF7"/>
          </w:tcPr>
          <w:p>
            <w:r>
              <w:rPr>
                <w:b/>
              </w:rPr>
              <w:t>Effect</w:t>
            </w:r>
          </w:p>
        </w:tc>
      </w:tr>
      <w:tr>
        <w:tc>
          <w:tcPr>
            <w:tcW w:type="dxa" w:w="4680"/>
          </w:tcPr>
          <w:p>
            <w:r>
              <w:t>make verify</w:t>
            </w:r>
          </w:p>
        </w:tc>
        <w:tc>
          <w:tcPr>
            <w:tcW w:type="dxa" w:w="4680"/>
          </w:tcPr>
          <w:p>
            <w:r>
              <w:t>Production profile: ERROR retained; C++ TRACE compiled out.</w:t>
            </w:r>
          </w:p>
        </w:tc>
      </w:tr>
      <w:tr>
        <w:tc>
          <w:tcPr>
            <w:tcW w:type="dxa" w:w="4680"/>
          </w:tcPr>
          <w:p>
            <w:r>
              <w:t>make verify-trace</w:t>
            </w:r>
          </w:p>
        </w:tc>
        <w:tc>
          <w:tcPr>
            <w:tcW w:type="dxa" w:w="4680"/>
          </w:tcPr>
          <w:p>
            <w:r>
              <w:t>Development profile: C++ trace enabled and backend GS_TRACE=1.</w:t>
            </w:r>
          </w:p>
        </w:tc>
      </w:tr>
      <w:tr>
        <w:tc>
          <w:tcPr>
            <w:tcW w:type="dxa" w:w="4680"/>
          </w:tcPr>
          <w:p>
            <w:r>
              <w:t>make verify-sanitize</w:t>
            </w:r>
          </w:p>
        </w:tc>
        <w:tc>
          <w:tcPr>
            <w:tcW w:type="dxa" w:w="4680"/>
          </w:tcPr>
          <w:p>
            <w:r>
              <w:t>AddressSanitizer and UndefinedBehaviorSanitizer host checks.</w:t>
            </w:r>
          </w:p>
        </w:tc>
      </w:tr>
      <w:tr>
        <w:tc>
          <w:tcPr>
            <w:tcW w:type="dxa" w:w="4680"/>
          </w:tcPr>
          <w:p>
            <w:r>
              <w:t>python3 tools/logs/analyze_logs.py FILE</w:t>
            </w:r>
          </w:p>
        </w:tc>
        <w:tc>
          <w:tcPr>
            <w:tcW w:type="dxa" w:w="4680"/>
          </w:tcPr>
          <w:p>
            <w:r>
              <w:t>Validates line grammar and summarizes levels/categories/modules/events.</w:t>
            </w:r>
          </w:p>
        </w:tc>
      </w:tr>
    </w:tbl>
    <w:p>
      <w:pPr>
        <w:pStyle w:val="Heading2"/>
      </w:pPr>
      <w:r>
        <w:rPr>
          <w:color w:val="000000"/>
        </w:rPr>
        <w:t>Implemented failure catalogue</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Event</w:t>
            </w:r>
          </w:p>
        </w:tc>
        <w:tc>
          <w:tcPr>
            <w:tcW w:type="dxa" w:w="3120"/>
            <w:shd w:fill="D9EAF7"/>
          </w:tcPr>
          <w:p>
            <w:r>
              <w:rPr>
                <w:b/>
              </w:rPr>
              <w:t>Meaning</w:t>
            </w:r>
          </w:p>
        </w:tc>
        <w:tc>
          <w:tcPr>
            <w:tcW w:type="dxa" w:w="3120"/>
            <w:shd w:fill="D9EAF7"/>
          </w:tcPr>
          <w:p>
            <w:r>
              <w:rPr>
                <w:b/>
              </w:rPr>
              <w:t>Operator hint</w:t>
            </w:r>
          </w:p>
        </w:tc>
      </w:tr>
      <w:tr>
        <w:tc>
          <w:tcPr>
            <w:tcW w:type="dxa" w:w="3120"/>
          </w:tcPr>
          <w:p>
            <w:r>
              <w:t>N00 record.failed</w:t>
            </w:r>
          </w:p>
        </w:tc>
        <w:tc>
          <w:tcPr>
            <w:tcW w:type="dxa" w:w="3120"/>
          </w:tcPr>
          <w:p>
            <w:r>
              <w:t>Node journal or transmit queue cannot accept an event.</w:t>
            </w:r>
          </w:p>
        </w:tc>
        <w:tc>
          <w:tcPr>
            <w:tcW w:type="dxa" w:w="3120"/>
          </w:tcPr>
          <w:p>
            <w:r>
              <w:t>Inspect capacity, acknowledgement flow and radio availability.</w:t>
            </w:r>
          </w:p>
        </w:tc>
      </w:tr>
      <w:tr>
        <w:tc>
          <w:tcPr>
            <w:tcW w:type="dxa" w:w="3120"/>
          </w:tcPr>
          <w:p>
            <w:r>
              <w:t>N02 enqueue.failed / N05 append.failed</w:t>
            </w:r>
          </w:p>
        </w:tc>
        <w:tc>
          <w:tcPr>
            <w:tcW w:type="dxa" w:w="3120"/>
          </w:tcPr>
          <w:p>
            <w:r>
              <w:t>Bounded node storage exhausted.</w:t>
            </w:r>
          </w:p>
        </w:tc>
        <w:tc>
          <w:tcPr>
            <w:tcW w:type="dxa" w:w="3120"/>
          </w:tcPr>
          <w:p>
            <w:r>
              <w:t>Look for missing durable acknowledgements or prolonged outage.</w:t>
            </w:r>
          </w:p>
        </w:tc>
      </w:tr>
      <w:tr>
        <w:tc>
          <w:tcPr>
            <w:tcW w:type="dxa" w:w="3120"/>
          </w:tcPr>
          <w:p>
            <w:r>
              <w:t>H01 ingest.rejected</w:t>
            </w:r>
          </w:p>
        </w:tc>
        <w:tc>
          <w:tcPr>
            <w:tcW w:type="dxa" w:w="3120"/>
          </w:tcPr>
          <w:p>
            <w:r>
              <w:t>Peer is unauthorized or ingest queue is full.</w:t>
            </w:r>
          </w:p>
        </w:tc>
        <w:tc>
          <w:tcPr>
            <w:tcW w:type="dxa" w:w="3120"/>
          </w:tcPr>
          <w:p>
            <w:r>
              <w:t>Check pairing/session; if full, inspect state-owner starvation.</w:t>
            </w:r>
          </w:p>
        </w:tc>
      </w:tr>
      <w:tr>
        <w:tc>
          <w:tcPr>
            <w:tcW w:type="dxa" w:w="3120"/>
          </w:tcPr>
          <w:p>
            <w:r>
              <w:t>H00 event.rejected / H02 commit.failed</w:t>
            </w:r>
          </w:p>
        </w:tc>
        <w:tc>
          <w:tcPr>
            <w:tcW w:type="dxa" w:w="3120"/>
          </w:tcPr>
          <w:p>
            <w:r>
              <w:t>Hub journal cannot durably accept event.</w:t>
            </w:r>
          </w:p>
        </w:tc>
        <w:tc>
          <w:tcPr>
            <w:tcW w:type="dxa" w:w="3120"/>
          </w:tcPr>
          <w:p>
            <w:r>
              <w:t>Stop claiming durable acceptance; inspect storage health/capacity.</w:t>
            </w:r>
          </w:p>
        </w:tc>
      </w:tr>
      <w:tr>
        <w:tc>
          <w:tcPr>
            <w:tcW w:type="dxa" w:w="3120"/>
          </w:tcPr>
          <w:p>
            <w:r>
              <w:t>S01 credential.rejected</w:t>
            </w:r>
          </w:p>
        </w:tc>
        <w:tc>
          <w:tcPr>
            <w:tcW w:type="dxa" w:w="3120"/>
          </w:tcPr>
          <w:p>
            <w:r>
              <w:t>Credential fields are unusable.</w:t>
            </w:r>
          </w:p>
        </w:tc>
        <w:tc>
          <w:tcPr>
            <w:tcW w:type="dxa" w:w="3120"/>
          </w:tcPr>
          <w:p>
            <w:r>
              <w:t>Reject provisioning input without logging key material.</w:t>
            </w:r>
          </w:p>
        </w:tc>
      </w:tr>
      <w:tr>
        <w:tc>
          <w:tcPr>
            <w:tcW w:type="dxa" w:w="3120"/>
          </w:tcPr>
          <w:p>
            <w:r>
              <w:t>A05 request.failed</w:t>
            </w:r>
          </w:p>
        </w:tc>
        <w:tc>
          <w:tcPr>
            <w:tcW w:type="dxa" w:w="3120"/>
          </w:tcPr>
          <w:p>
            <w:r>
              <w:t>Authorization or backend service response failed.</w:t>
            </w:r>
          </w:p>
        </w:tc>
        <w:tc>
          <w:tcPr>
            <w:tcW w:type="dxa" w:w="3120"/>
          </w:tcPr>
          <w:p>
            <w:r>
              <w:t>Correlate status class; never log bearer token or body.</w:t>
            </w:r>
          </w:p>
        </w:tc>
      </w:tr>
    </w:tbl>
    <w:p>
      <w:pPr>
        <w:pStyle w:val="Heading2"/>
      </w:pPr>
      <w:r>
        <w:rPr>
          <w:color w:val="000000"/>
        </w:rPr>
        <w:t>Verification and remaining hardware work</w:t>
      </w:r>
    </w:p>
    <w:p>
      <w:pPr>
        <w:pStyle w:val="ListBullet"/>
      </w:pPr>
      <w:r>
        <w:t>Passed: production suite—54 C++, 12 Python and 7 JavaScript tests, contracts and simulator.</w:t>
      </w:r>
    </w:p>
    <w:p>
      <w:pPr>
        <w:pStyle w:val="ListBullet"/>
      </w:pPr>
      <w:r>
        <w:t>Passed: development trace suite; C++ coverage N00–N05, H00–H08 and S01–S03.</w:t>
      </w:r>
    </w:p>
    <w:p>
      <w:pPr>
        <w:pStyle w:val="ListBullet"/>
      </w:pPr>
      <w:r>
        <w:t>Passed: host AddressSanitizer and UndefinedBehaviorSanitizer.</w:t>
      </w:r>
    </w:p>
    <w:p>
      <w:pPr>
        <w:pStyle w:val="ListBullet"/>
      </w:pPr>
      <w:r>
        <w:t>Pending hardware: ESP32 sink, coredumps, concurrency, wear, brown-out and footprint tests.</w:t>
      </w:r>
    </w:p>
    <w:p>
      <w:pPr>
        <w:pStyle w:val="Heading1"/>
      </w:pPr>
      <w:r>
        <w:rPr>
          <w:color w:val="000000"/>
        </w:rPr>
        <w:t>Additional product and interaction responsibilities</w:t>
      </w:r>
    </w:p>
    <w:p>
      <w:pPr>
        <w:pStyle w:val="Heading2"/>
      </w:pPr>
      <w:r>
        <w:rPr>
          <w:color w:val="000000"/>
        </w:rPr>
        <w:t>S04 Product profile</w:t>
      </w:r>
    </w:p>
    <w:p>
      <w:r>
        <w:rPr>
          <w:b/>
        </w:rPr>
        <w:t xml:space="preserve">How this module works. </w:t>
      </w:r>
      <w:r>
        <w:t>Product::ai is decided by GS_PRODUCT_AI and exposed through PRODUCT=base or ai in the Makefile. Invalid values fail the build. The runtime returns Disabled before calling a provider in the Base profile; the shared core remains identical. The older per-feature flags need separate enforcement review.</w:t>
      </w:r>
    </w:p>
    <w:p>
      <w:r>
        <w:rPr>
          <w:b/>
        </w:rPr>
        <w:t xml:space="preserve">Input to output flow. </w:t>
      </w:r>
      <w:r>
        <w:t>Build selection -&gt; edition identity and AI admission gate. Validate PRODUCT; define GS_PRODUCT_AI; reject illegal values; expose identity.</w:t>
      </w:r>
    </w:p>
    <w:p>
      <w:r>
        <w:rPr>
          <w:b/>
        </w:rPr>
        <w:t xml:space="preserve">State and lifetime. </w:t>
      </w:r>
      <w:r>
        <w:t>Compile-time constants.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product is a build error; Base cannot start provider through H09.</w:t>
      </w:r>
    </w:p>
    <w:p>
      <w:r>
        <w:rPr>
          <w:b/>
        </w:rPr>
        <w:t xml:space="preserve">Code navigation. </w:t>
      </w:r>
      <w:r>
        <w:t>Requirements V01, AI01, AI07, E07, E10, NFR-08. Files: shared/include/gs/product.hpp; Makefile. Public entry points: Product::ai/name/version; PRODUCT=base|ai.</w:t>
      </w:r>
    </w:p>
    <w:p>
      <w:r>
        <w:rPr>
          <w:b/>
        </w:rPr>
        <w:t xml:space="preserve">Verification boundary. </w:t>
      </w:r>
      <w:r>
        <w:t>tests/cpp/test_product.cpp; invalid PRODUCT check. Profile host test passed; capability API remains pending. See the current evidence transcript; historical numerical test counts in retained tables belong to their original release.</w:t>
      </w:r>
    </w:p>
    <w:p>
      <w:r>
        <w:rPr>
          <w:b/>
        </w:rPr>
        <w:t xml:space="preserve">Enhancement scope. </w:t>
      </w:r>
      <w:r>
        <w:t>Signed capability manifest and server-side entitlement policy.</w:t>
      </w:r>
    </w:p>
    <w:p>
      <w:pPr>
        <w:pStyle w:val="Heading2"/>
      </w:pPr>
      <w:r>
        <w:rPr>
          <w:color w:val="000000"/>
        </w:rPr>
        <w:t>H09 Interaction controller</w:t>
      </w:r>
    </w:p>
    <w:p>
      <w:r>
        <w:rPr>
          <w:b/>
        </w:rPr>
        <w:t xml:space="preserve">How this module works. </w:t>
      </w:r>
      <w:r>
        <w:t>Controller owns state, current ID and start timestamp and borrows Provider by reference. Provider must outlive Controller, return promptly and never reenter it from start/cancel. A single owner serializes begin, complete, tick and cancel. start failure leaves Failed although begin returns Accepted; callers must inspect state.</w:t>
      </w:r>
    </w:p>
    <w:p>
      <w:r>
        <w:rPr>
          <w:b/>
        </w:rPr>
        <w:t xml:space="preserve">Input to output flow. </w:t>
      </w:r>
      <w:r>
        <w:t>Consent/connectivity/time -&gt; lifecycle result; provider completion -&gt; Ready/Failed. Admit at most one request; correlate completion; expire at 30 seconds; cancel without accepting late results.</w:t>
      </w:r>
    </w:p>
    <w:p>
      <w:r>
        <w:rPr>
          <w:b/>
        </w:rPr>
        <w:t xml:space="preserve">State and lifetime. </w:t>
      </w:r>
      <w:r>
        <w:t>State + request ID + monotonic start time + borrowed Provider reference.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Disabled, NoConsent, Offline, Busy, Exhausted; failed start returns Accepted with state Failed.</w:t>
      </w:r>
    </w:p>
    <w:p>
      <w:r>
        <w:rPr>
          <w:b/>
        </w:rPr>
        <w:t xml:space="preserve">Code navigation. </w:t>
      </w:r>
      <w:r>
        <w:t>Requirements AI01, AI02, AI03, AI04, AI05, AI08, NFR-04, NFR-07. Files: shared/include/gs/interaction.hpp. Public entry points: begin; complete; tick; cancel; state; id.</w:t>
      </w:r>
    </w:p>
    <w:p>
      <w:r>
        <w:rPr>
          <w:b/>
        </w:rPr>
        <w:t xml:space="preserve">Verification boundary. </w:t>
      </w:r>
      <w:r>
        <w:t>tests/cpp/test_product.cpp. Lifecycle tested with fake provider; hub coordinator/audio/provider integration pending. See the current evidence transcript; historical numerical test counts in retained tables belong to their original release.</w:t>
      </w:r>
    </w:p>
    <w:p>
      <w:r>
        <w:rPr>
          <w:b/>
        </w:rPr>
        <w:t xml:space="preserve">Enhancement scope. </w:t>
      </w:r>
      <w:r>
        <w:t>Explicit start-failure Result and injected configurable deadline after API review.</w:t>
      </w:r>
    </w:p>
    <w:p>
      <w:pPr>
        <w:pStyle w:val="Heading2"/>
      </w:pPr>
      <w:r>
        <w:rPr>
          <w:color w:val="000000"/>
        </w:rPr>
        <w:t>S05 Diagnostics facade and sinks</w:t>
      </w:r>
    </w:p>
    <w:p>
      <w:r>
        <w:rPr>
          <w:b/>
        </w:rPr>
        <w:t xml:space="preserve">How this module works. </w:t>
      </w:r>
      <w:r>
        <w:t>The atomic sink pointer only makes pointer publication atomic; it does not make sink lifetime or writes thread-safe. The host file sink performs synchronous I/O and rotation. Production should enqueue fixed records to one writer, reserve error capacity and expose drops; this future writer is not in the current source.</w:t>
      </w:r>
    </w:p>
    <w:p>
      <w:r>
        <w:rPr>
          <w:b/>
        </w:rPr>
        <w:t xml:space="preserve">Input to output flow. </w:t>
      </w:r>
      <w:r>
        <w:t>Metadata-only event -&gt; bounded diagnostic record. ERROR hook unconditional; TRACE compiled out by default; downstream sinks export text.</w:t>
      </w:r>
    </w:p>
    <w:p>
      <w:r>
        <w:rPr>
          <w:b/>
        </w:rPr>
        <w:t xml:space="preserve">State and lifetime. </w:t>
      </w:r>
      <w:r>
        <w:t>Borrowed sink; bounded formatting/file rotation; browser ring.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Logger cannot detect arbitrary memory corruption; host sink is synchronous and not thread-safe.</w:t>
      </w:r>
    </w:p>
    <w:p>
      <w:r>
        <w:rPr>
          <w:b/>
        </w:rPr>
        <w:t xml:space="preserve">Code navigation. </w:t>
      </w:r>
      <w:r>
        <w:t>Requirements AI08, E10, NFR-05, NFR-09. Files: shared/include/gs/logging.hpp; shared/src/logging.cpp; host/logging/file_log_sink.cpp; backend/ghar_sajag/logging_config.py; app/src/platform/logging.mjs. Public entry points: GS_ERROR; GS_TRACE; set_sink; host file sink; backend logger; app bounded export.</w:t>
      </w:r>
    </w:p>
    <w:p>
      <w:r>
        <w:rPr>
          <w:b/>
        </w:rPr>
        <w:t xml:space="preserve">Verification boundary. </w:t>
      </w:r>
      <w:r>
        <w:t>Inherited logging tests and historical sanitizer evidence; no new board evidence. Reference exists; async firmware writer, panic/coredump and flash wear pending. See the current evidence transcript; historical numerical test counts in retained tables belong to their original release.</w:t>
      </w:r>
    </w:p>
    <w:p>
      <w:r>
        <w:rPr>
          <w:b/>
        </w:rPr>
        <w:t xml:space="preserve">Enhancement scope. </w:t>
      </w:r>
      <w:r>
        <w:t>Single-owner diagnostic queue, drop counters, crash breadcrumb persistence.</w:t>
      </w:r>
    </w:p>
    <w:p>
      <w:pPr>
        <w:pStyle w:val="Heading2"/>
      </w:pPr>
      <w:r>
        <w:rPr>
          <w:color w:val="000000"/>
        </w:rPr>
        <w:t>H10 Interaction coordinator (planned)</w:t>
      </w:r>
    </w:p>
    <w:p>
      <w:r>
        <w:rPr>
          <w:b/>
        </w:rPr>
        <w:t xml:space="preserve">How this module works. </w:t>
      </w:r>
      <w:r>
        <w:t>This planned coordinator will own H09 and serialize resident commands, consent changes, model completions and monitoring priority. It must explicitly stop playback even if H09 is already Ready. Calling Controller.cancel alone only calls Provider.cancel while Waiting.</w:t>
      </w:r>
    </w:p>
    <w:p>
      <w:r>
        <w:rPr>
          <w:b/>
        </w:rPr>
        <w:t xml:space="preserve">Input to output flow. </w:t>
      </w:r>
      <w:r>
        <w:t>Resident/monitoring events -&gt; H09 methods and H11 stop. Single task serializes lifecycle; monitoring/consent cancels model and playback.</w:t>
      </w:r>
    </w:p>
    <w:p>
      <w:r>
        <w:rPr>
          <w:b/>
        </w:rPr>
        <w:t xml:space="preserve">State and lifetime. </w:t>
      </w:r>
      <w:r>
        <w:t>Owns H09 and consent/capability snapshot.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Queue saturation must preserve monitoring; stale callbacks dropped at lifecycle boundary.</w:t>
      </w:r>
    </w:p>
    <w:p>
      <w:r>
        <w:rPr>
          <w:b/>
        </w:rPr>
        <w:t xml:space="preserve">Code navigation. </w:t>
      </w:r>
      <w:r>
        <w:t>Requirements AI02, AI04, AI05. Files: PLANNED: firmware/hub/interaction/coordinator. Public entry points: Proposed resident_start; consent_changed; monitoring_prompt; provider_completion.</w:t>
      </w:r>
    </w:p>
    <w:p>
      <w:r>
        <w:rPr>
          <w:b/>
        </w:rPr>
        <w:t xml:space="preserve">Verification boundary. </w:t>
      </w:r>
      <w:r>
        <w:t>Pending coordinator integration tests. Physical cancel, privacy revocation and monitoring preemption demonstrated. See the current evidence transcript; historical numerical test counts in retained tables belong to their original release.</w:t>
      </w:r>
    </w:p>
    <w:p>
      <w:r>
        <w:rPr>
          <w:b/>
        </w:rPr>
        <w:t xml:space="preserve">Enhancement scope. </w:t>
      </w:r>
      <w:r>
        <w:t>Localized accessibility flows.</w:t>
      </w:r>
    </w:p>
    <w:p>
      <w:pPr>
        <w:pStyle w:val="Heading2"/>
      </w:pPr>
      <w:r>
        <w:rPr>
          <w:color w:val="000000"/>
        </w:rPr>
        <w:t>H11 Audio/provider adapter (planned)</w:t>
      </w:r>
    </w:p>
    <w:p>
      <w:r>
        <w:rPr>
          <w:b/>
        </w:rPr>
        <w:t xml:space="preserve">How this module works. </w:t>
      </w:r>
      <w:r>
        <w:t>This planned adapter will implement Provider with an asynchronous worker and bounded audio chunks. Start should only accept work; completion returns to the controller owner. Cancellation must stop microphone capture, model stream and playback and discard stale chunks without blocking the monitoring task.</w:t>
      </w:r>
    </w:p>
    <w:p>
      <w:r>
        <w:rPr>
          <w:b/>
        </w:rPr>
        <w:t xml:space="preserve">Input to output flow. </w:t>
      </w:r>
      <w:r>
        <w:t>Consented microphone capture -&gt; provider stream -&gt; audio playback. Nonblocking adapter dispatches work; queues completion to H10.</w:t>
      </w:r>
    </w:p>
    <w:p>
      <w:r>
        <w:rPr>
          <w:b/>
        </w:rPr>
        <w:t xml:space="preserve">State and lifetime. </w:t>
      </w:r>
      <w:r>
        <w:t>Bounded chunk buffers and worker handles.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Reboot invalidates callbacks; failure stops capture and releases resources.</w:t>
      </w:r>
    </w:p>
    <w:p>
      <w:r>
        <w:rPr>
          <w:b/>
        </w:rPr>
        <w:t xml:space="preserve">Code navigation. </w:t>
      </w:r>
      <w:r>
        <w:t>Requirements AI04, AI06. Files: PLANNED: firmware/hub/interaction/audio_adapter. Public entry points: Proposed Provider::start/cancel; audio capture/playback ports.</w:t>
      </w:r>
    </w:p>
    <w:p>
      <w:r>
        <w:rPr>
          <w:b/>
        </w:rPr>
        <w:t xml:space="preserve">Verification boundary. </w:t>
      </w:r>
      <w:r>
        <w:t>Pending hardware and fake streaming adapter tests. Bounded RAM, cancellation, acoustic and outage tests pass. See the current evidence transcript; historical numerical test counts in retained tables belong to their original release.</w:t>
      </w:r>
    </w:p>
    <w:p>
      <w:r>
        <w:rPr>
          <w:b/>
        </w:rPr>
        <w:t xml:space="preserve">Enhancement scope. </w:t>
      </w:r>
      <w:r>
        <w:t>Qualified local commands where useful.</w:t>
      </w:r>
    </w:p>
    <w:p>
      <w:pPr>
        <w:pStyle w:val="Heading2"/>
      </w:pPr>
      <w:r>
        <w:rPr>
          <w:color w:val="000000"/>
        </w:rPr>
        <w:t>B09 AI gateway (planned)</w:t>
      </w:r>
    </w:p>
    <w:p>
      <w:r>
        <w:rPr>
          <w:b/>
        </w:rPr>
        <w:t xml:space="preserve">How this module works. </w:t>
      </w:r>
      <w:r>
        <w:t>This planned gateway will keep provider credentials on the server, authenticate the home and enforce edition, consent and usage quotas. No provider can directly create, acknowledge or resolve an incident. A response is interaction content only; monitored safety decisions remain deterministic.</w:t>
      </w:r>
    </w:p>
    <w:p>
      <w:r>
        <w:rPr>
          <w:b/>
        </w:rPr>
        <w:t xml:space="preserve">Input to output flow. </w:t>
      </w:r>
      <w:r>
        <w:t>Authorized request -&gt; restricted model/speech provider. Authorize home; enforce edition/consent/budget; limit concurrency; deadline requests.</w:t>
      </w:r>
    </w:p>
    <w:p>
      <w:r>
        <w:rPr>
          <w:b/>
        </w:rPr>
        <w:t xml:space="preserve">State and lifetime. </w:t>
      </w:r>
      <w:r>
        <w:t>Tenant quota, provider credentials, session lease.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credentials on node; quota/provider failure explicit; no automated incident mutation.</w:t>
      </w:r>
    </w:p>
    <w:p>
      <w:r>
        <w:rPr>
          <w:b/>
        </w:rPr>
        <w:t xml:space="preserve">Code navigation. </w:t>
      </w:r>
      <w:r>
        <w:t>Requirements AI06, AI07. Files: PLANNED: backend/ghar_sajag/interaction_gateway.py. Public entry points: Proposed authenticated session creation/cancel and quota checks.</w:t>
      </w:r>
    </w:p>
    <w:p>
      <w:r>
        <w:rPr>
          <w:b/>
        </w:rPr>
        <w:t xml:space="preserve">Verification boundary. </w:t>
      </w:r>
      <w:r>
        <w:t>Pending tenant, quota, provider and retention tests. Provider integration and measured cost/quality pass. See the current evidence transcript; historical numerical test counts in retained tables belong to their original release.</w:t>
      </w:r>
    </w:p>
    <w:p>
      <w:r>
        <w:rPr>
          <w:b/>
        </w:rPr>
        <w:t xml:space="preserve">Enhancement scope. </w:t>
      </w:r>
      <w:r>
        <w:t>Provider portability and regional hosting.</w:t>
      </w:r>
    </w:p>
    <w:p>
      <w:pPr>
        <w:pStyle w:val="Heading2"/>
      </w:pPr>
      <w:r>
        <w:rPr>
          <w:color w:val="000000"/>
        </w:rPr>
        <w:t>A06 Interaction availability UI (planned)</w:t>
      </w:r>
    </w:p>
    <w:p>
      <w:r>
        <w:rPr>
          <w:b/>
        </w:rPr>
        <w:t xml:space="preserve">How this module works. </w:t>
      </w:r>
      <w:r>
        <w:t>This planned UI will explain why interaction is unavailable: Base edition, absent consent, offline link, exhausted quota or unsupported audio hardware. Hiding a control is only presentation; the server and hub enforce the policy again. AI preference changes cannot silently change Base monitoring settings.</w:t>
      </w:r>
    </w:p>
    <w:p>
      <w:r>
        <w:rPr>
          <w:b/>
        </w:rPr>
        <w:t xml:space="preserve">Input to output flow. </w:t>
      </w:r>
      <w:r>
        <w:t>Server capability/consent -&gt; visible availability and settings. Distinguish edition, consent, online and quota state; never authorize through UI flag.</w:t>
      </w:r>
    </w:p>
    <w:p>
      <w:r>
        <w:rPr>
          <w:b/>
        </w:rPr>
        <w:t xml:space="preserve">State and lifetime. </w:t>
      </w:r>
      <w:r>
        <w:t>Read-only availability projection and pending commands.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Stale view cannot authorize capture; server rejects forbidden requests.</w:t>
      </w:r>
    </w:p>
    <w:p>
      <w:r>
        <w:rPr>
          <w:b/>
        </w:rPr>
        <w:t xml:space="preserve">Code navigation. </w:t>
      </w:r>
      <w:r>
        <w:t>Requirements AI07. Files: PLANNED: app/src/features/interaction. Public entry points: Proposed capability view and interaction preferences.</w:t>
      </w:r>
    </w:p>
    <w:p>
      <w:r>
        <w:rPr>
          <w:b/>
        </w:rPr>
        <w:t xml:space="preserve">Verification boundary. </w:t>
      </w:r>
      <w:r>
        <w:t>Pending UI and server contract tests. Consent/availability comprehension and accessibility pass. See the current evidence transcript; historical numerical test counts in retained tables belong to their original release.</w:t>
      </w:r>
    </w:p>
    <w:p>
      <w:r>
        <w:rPr>
          <w:b/>
        </w:rPr>
        <w:t xml:space="preserve">Enhancement scope. </w:t>
      </w:r>
      <w:r>
        <w:t>Localized prompts and caregiver explanations.</w:t>
      </w:r>
    </w:p>
    <w:p>
      <w:pPr>
        <w:pStyle w:val="Heading2"/>
      </w:pPr>
      <w:r>
        <w:rPr>
          <w:color w:val="000000"/>
        </w:rPr>
        <w:t>Canonical IDs and older diagnostic aliases</w:t>
      </w:r>
    </w:p>
    <w:p>
      <w:r>
        <w:t>Some retained log strings predate the module catalogue: S00 in rules identifies canonical S02; the security log S01 identifies S03; H00 and N00 identify runtime composition rather than new module responsibilities; B10 in service.py identifies backend composition. Use the source path and event name together when analysing logs. The new @module comments and traceability register provide canonical ownership without silently changing runtime log formats.</w:t>
      </w:r>
    </w:p>
    <w:p>
      <w:pPr>
        <w:pStyle w:val="Heading1"/>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pPr>
      <w:r>
        <w:rPr>
          <w:color w:val="000000"/>
        </w:rPr>
        <w:t>Build choice</w:t>
      </w:r>
    </w:p>
    <w:p>
      <w:r>
        <w:rPr>
          <w:b/>
        </w:rPr>
        <w:t xml:space="preserve">Current code. </w:t>
      </w:r>
      <w:r>
        <w:t>PRODUCT=base supplies GS_PRODUCT_AI=0; PRODUCT=ai supplies 1. Unknown product names fail make.</w:t>
      </w:r>
    </w:p>
    <w:p>
      <w:r>
        <w:rPr>
          <w:b/>
        </w:rPr>
        <w:t xml:space="preserve">Integration design. </w:t>
      </w:r>
      <w:r>
        <w:t>Ship and validate Base first. Keep optional interfaces in the repository without enabling recording.</w:t>
      </w:r>
    </w:p>
    <w:p>
      <w:r>
        <w:rPr>
          <w:b/>
        </w:rPr>
        <w:t xml:space="preserve">Required evidence. </w:t>
      </w:r>
      <w:r>
        <w:t>Build both profiles; in Base verify fake provider start count stays zero.</w:t>
      </w:r>
    </w:p>
    <w:p>
      <w:pPr>
        <w:pStyle w:val="Heading2"/>
      </w:pPr>
      <w:r>
        <w:rPr>
          <w:color w:val="000000"/>
        </w:rPr>
        <w:t>Session admission</w:t>
      </w:r>
    </w:p>
    <w:p>
      <w:r>
        <w:rPr>
          <w:b/>
        </w:rPr>
        <w:t xml:space="preserve">Current code. </w:t>
      </w:r>
      <w:r>
        <w:t>begin rejects Disabled, NoConsent, Offline, Busy and ID Exhausted conditions before starting a new request.</w:t>
      </w:r>
    </w:p>
    <w:p>
      <w:r>
        <w:rPr>
          <w:b/>
        </w:rPr>
        <w:t xml:space="preserve">Integration design. </w:t>
      </w:r>
      <w:r>
        <w:t>Obtain consent and connectivity from authoritative owner state, not arbitrary booleans from a web client.</w:t>
      </w:r>
    </w:p>
    <w:p>
      <w:r>
        <w:rPr>
          <w:b/>
        </w:rPr>
        <w:t xml:space="preserve">Required evidence. </w:t>
      </w:r>
      <w:r>
        <w:t>Exercise every rejection and verify no provider side effect.</w:t>
      </w:r>
    </w:p>
    <w:p>
      <w:pPr>
        <w:pStyle w:val="Heading2"/>
      </w:pPr>
      <w:r>
        <w:rPr>
          <w:color w:val="000000"/>
        </w:rPr>
        <w:t>Start and completion</w:t>
      </w:r>
    </w:p>
    <w:p>
      <w:r>
        <w:rPr>
          <w:b/>
        </w:rPr>
        <w:t xml:space="preserve">Current code. </w:t>
      </w:r>
      <w:r>
        <w:t>A permitted start advances a uint64 ID and enters Waiting. complete accepts only the active Waiting ID.</w:t>
      </w:r>
    </w:p>
    <w:p>
      <w:r>
        <w:rPr>
          <w:b/>
        </w:rPr>
        <w:t xml:space="preserve">Integration design. </w:t>
      </w:r>
      <w:r>
        <w:t>Route asynchronous results through H10 and give each boot/session a safe correlation epoch in a real adapter.</w:t>
      </w:r>
    </w:p>
    <w:p>
      <w:r>
        <w:rPr>
          <w:b/>
        </w:rPr>
        <w:t xml:space="preserve">Required evidence. </w:t>
      </w:r>
      <w:r>
        <w:t>Test wrong ID, duplicate completion, completion after cancel and callback after reboot.</w:t>
      </w:r>
    </w:p>
    <w:p>
      <w:pPr>
        <w:pStyle w:val="Heading2"/>
      </w:pPr>
      <w:r>
        <w:rPr>
          <w:color w:val="000000"/>
        </w:rPr>
        <w:t>Timeout</w:t>
      </w:r>
    </w:p>
    <w:p>
      <w:r>
        <w:rPr>
          <w:b/>
        </w:rPr>
        <w:t xml:space="preserve">Current code. </w:t>
      </w:r>
      <w:r>
        <w:t>tick uses elapsed monotonic milliseconds and fails the request at 30000 ms, cancelling the provider.</w:t>
      </w:r>
    </w:p>
    <w:p>
      <w:r>
        <w:rPr>
          <w:b/>
        </w:rPr>
        <w:t xml:space="preserve">Integration design. </w:t>
      </w:r>
      <w:r>
        <w:t>Schedule tick even when no network response arrives; bound the worker queue and provider deadline too.</w:t>
      </w:r>
    </w:p>
    <w:p>
      <w:r>
        <w:rPr>
          <w:b/>
        </w:rPr>
        <w:t xml:space="preserve">Required evidence. </w:t>
      </w:r>
      <w:r>
        <w:t>Test 29999 and 30000 ms and ensure monitoring continues during stalled provider work.</w:t>
      </w:r>
    </w:p>
    <w:p>
      <w:pPr>
        <w:pStyle w:val="Heading2"/>
      </w:pPr>
      <w:r>
        <w:rPr>
          <w:color w:val="000000"/>
        </w:rPr>
        <w:t>Cancellation</w:t>
      </w:r>
    </w:p>
    <w:p>
      <w:r>
        <w:rPr>
          <w:b/>
        </w:rPr>
        <w:t xml:space="preserve">Current code. </w:t>
      </w:r>
      <w:r>
        <w:t>cancel resets H09 to Idle and invokes Provider.cancel only while Waiting.</w:t>
      </w:r>
    </w:p>
    <w:p>
      <w:r>
        <w:rPr>
          <w:b/>
        </w:rPr>
        <w:t xml:space="preserve">Integration design. </w:t>
      </w:r>
      <w:r>
        <w:t>H10/H11 must separately stop recording and playback, including audio already buffered after Ready.</w:t>
      </w:r>
    </w:p>
    <w:p>
      <w:r>
        <w:rPr>
          <w:b/>
        </w:rPr>
        <w:t xml:space="preserve">Required evidence. </w:t>
      </w:r>
      <w:r>
        <w:t>Revoke consent during capture, network wait and playback; inspect that buffers and workers stop.</w:t>
      </w:r>
    </w:p>
    <w:p>
      <w:pPr>
        <w:pStyle w:val="Heading2"/>
      </w:pPr>
      <w:r>
        <w:rPr>
          <w:color w:val="000000"/>
        </w:rPr>
        <w:t>Errors</w:t>
      </w:r>
    </w:p>
    <w:p>
      <w:r>
        <w:rPr>
          <w:b/>
        </w:rPr>
        <w:t xml:space="preserve">Current code. </w:t>
      </w:r>
      <w:r>
        <w:t>A false Provider.start puts state in Failed but begin still returns Accepted. Errors and timeout have metadata hooks.</w:t>
      </w:r>
    </w:p>
    <w:p>
      <w:r>
        <w:rPr>
          <w:b/>
        </w:rPr>
        <w:t xml:space="preserve">Integration design. </w:t>
      </w:r>
      <w:r>
        <w:t>Review an explicit start-failed result when the public API evolves; do not equate Accepted with spoken output.</w:t>
      </w:r>
    </w:p>
    <w:p>
      <w:r>
        <w:rPr>
          <w:b/>
        </w:rPr>
        <w:t xml:space="preserve">Required evidence. </w:t>
      </w:r>
      <w:r>
        <w:t>Inject immediate start failure and negative completion; verify state and diagnostics.</w:t>
      </w:r>
    </w:p>
    <w:p>
      <w:pPr>
        <w:pStyle w:val="Heading2"/>
      </w:pPr>
      <w:r>
        <w:rPr>
          <w:color w:val="000000"/>
        </w:rPr>
        <w:t>Privacy and authority</w:t>
      </w:r>
    </w:p>
    <w:p>
      <w:r>
        <w:rPr>
          <w:b/>
        </w:rPr>
        <w:t xml:space="preserve">Current code. </w:t>
      </w:r>
      <w:r>
        <w:t>H09 carries IDs and lifecycle state, not audio/transcript buffers, and exposes no incident mutation interface.</w:t>
      </w:r>
    </w:p>
    <w:p>
      <w:r>
        <w:rPr>
          <w:b/>
        </w:rPr>
        <w:t xml:space="preserve">Integration design. </w:t>
      </w:r>
      <w:r>
        <w:t>Define retention, provider processing region, redaction and separate AI consent before any real provider activation.</w:t>
      </w:r>
    </w:p>
    <w:p>
      <w:r>
        <w:rPr>
          <w:b/>
        </w:rPr>
        <w:t xml:space="preserve">Required evidence. </w:t>
      </w:r>
      <w:r>
        <w:t>Prove no transcript in logs and no model-generated acknowledgement or resolution.</w:t>
      </w:r>
    </w:p>
    <w:p>
      <w:pPr>
        <w:pStyle w:val="Heading2"/>
      </w:pPr>
      <w:r>
        <w:rPr>
          <w:color w:val="000000"/>
        </w:rPr>
        <w:t>Cost and hardware</w:t>
      </w:r>
    </w:p>
    <w:p>
      <w:r>
        <w:rPr>
          <w:b/>
        </w:rPr>
        <w:t xml:space="preserve">Current code. </w:t>
      </w:r>
      <w:r>
        <w:t>There is no model, speech pipeline, quota gateway or audio implementation in this release.</w:t>
      </w:r>
    </w:p>
    <w:p>
      <w:r>
        <w:rPr>
          <w:b/>
        </w:rPr>
        <w:t xml:space="preserve">Integration design. </w:t>
      </w:r>
      <w:r>
        <w:t>Select provider/audio hardware later after Base acceptance; measure recurring costs, RAM and cancellation latency.</w:t>
      </w:r>
    </w:p>
    <w:p>
      <w:r>
        <w:rPr>
          <w:b/>
        </w:rPr>
        <w:t xml:space="preserve">Required evidence. </w:t>
      </w:r>
      <w:r>
        <w:t>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pPr>
      <w:r>
        <w:rPr>
          <w:color w:val="000000"/>
        </w:rPr>
        <w:t>AI requirement register</w:t>
      </w:r>
    </w:p>
    <w:p>
      <w:pPr>
        <w:pStyle w:val="Heading3"/>
      </w:pPr>
      <w:r>
        <w:rPr>
          <w:color w:val="000000"/>
        </w:rPr>
        <w:t>V01 Build-selected product identity</w:t>
      </w:r>
    </w:p>
    <w:p>
      <w:r>
        <w:t>Scope: Both. Participants: S04, T01.</w:t>
      </w:r>
    </w:p>
    <w:p>
      <w:r>
        <w:rPr>
          <w:b/>
        </w:rPr>
        <w:t xml:space="preserve">Acceptance requirement. </w:t>
      </w:r>
      <w:r>
        <w:t>make verify PRODUCT=base|ai; invalid PRODUCT fails; Product::name/version identify build.</w:t>
      </w:r>
    </w:p>
    <w:p>
      <w:r>
        <w:rPr>
          <w:b/>
        </w:rPr>
        <w:t xml:space="preserve">Implementation status. </w:t>
      </w:r>
      <w:r>
        <w:t>Passed at the stated component boundary. Product enum/profile tests and invalid-build check.</w:t>
      </w:r>
    </w:p>
    <w:p>
      <w:pPr>
        <w:pStyle w:val="Heading3"/>
      </w:pPr>
      <w:r>
        <w:rPr>
          <w:color w:val="000000"/>
        </w:rPr>
        <w:t>AI01 Base provider exclusion</w:t>
      </w:r>
    </w:p>
    <w:p>
      <w:r>
        <w:t>Scope: Base. Participants: S04, H09, T01.</w:t>
      </w:r>
    </w:p>
    <w:p>
      <w:r>
        <w:rPr>
          <w:b/>
        </w:rPr>
        <w:t xml:space="preserve">Acceptance requirement. </w:t>
      </w:r>
      <w:r>
        <w:t>Base begin returns Disabled and fake provider receives zero starts.</w:t>
      </w:r>
    </w:p>
    <w:p>
      <w:r>
        <w:rPr>
          <w:b/>
        </w:rPr>
        <w:t xml:space="preserve">Implementation status. </w:t>
      </w:r>
      <w:r>
        <w:t>Passed at the stated component boundary. tests/cpp/test_product.cpp: base branch.</w:t>
      </w:r>
    </w:p>
    <w:p>
      <w:pPr>
        <w:pStyle w:val="Heading3"/>
      </w:pPr>
      <w:r>
        <w:rPr>
          <w:color w:val="000000"/>
        </w:rPr>
        <w:t>AI02 Consented interaction admission</w:t>
      </w:r>
    </w:p>
    <w:p>
      <w:r>
        <w:t>Scope: AI. Participants: H09, B02, H10.</w:t>
      </w:r>
    </w:p>
    <w:p>
      <w:r>
        <w:rPr>
          <w:b/>
        </w:rPr>
        <w:t xml:space="preserve">Acceptance requirement. </w:t>
      </w:r>
      <w:r>
        <w:t>Reject missing consent/offline before start; active session rejects a second start.</w:t>
      </w:r>
    </w:p>
    <w:p>
      <w:r>
        <w:rPr>
          <w:b/>
        </w:rPr>
        <w:t xml:space="preserve">Implementation status. </w:t>
      </w:r>
      <w:r>
        <w:t>Partial at the stated component boundary. Controller tests pass; consent propagation and audio capture gate pending.</w:t>
      </w:r>
    </w:p>
    <w:p>
      <w:pPr>
        <w:pStyle w:val="Heading3"/>
      </w:pPr>
      <w:r>
        <w:rPr>
          <w:color w:val="000000"/>
        </w:rPr>
        <w:t>AI03 Correlated completion and timeout</w:t>
      </w:r>
    </w:p>
    <w:p>
      <w:r>
        <w:t>Scope: AI. Participants: H09, T01.</w:t>
      </w:r>
    </w:p>
    <w:p>
      <w:r>
        <w:rPr>
          <w:b/>
        </w:rPr>
        <w:t xml:space="preserve">Acceptance requirement. </w:t>
      </w:r>
      <w:r>
        <w:t>Reject wrong, duplicate and late IDs; expire at 30000 monotonic milliseconds.</w:t>
      </w:r>
    </w:p>
    <w:p>
      <w:r>
        <w:rPr>
          <w:b/>
        </w:rPr>
        <w:t xml:space="preserve">Implementation status. </w:t>
      </w:r>
      <w:r>
        <w:t>Passed at the stated component boundary. tests/cpp/test_product.cpp: timeout and completion checks.</w:t>
      </w:r>
    </w:p>
    <w:p>
      <w:pPr>
        <w:pStyle w:val="Heading3"/>
      </w:pPr>
      <w:r>
        <w:rPr>
          <w:color w:val="000000"/>
        </w:rPr>
        <w:t>AI04 Resident cancellation and privacy revocation</w:t>
      </w:r>
    </w:p>
    <w:p>
      <w:r>
        <w:t>Scope: AI. Participants: H09, H10, H11, B02.</w:t>
      </w:r>
    </w:p>
    <w:p>
      <w:r>
        <w:rPr>
          <w:b/>
        </w:rPr>
        <w:t xml:space="preserve">Acceptance requirement. </w:t>
      </w:r>
      <w:r>
        <w:t>Controller cancels pending provider; physical cancel and consent withdrawal stop recording/playback.</w:t>
      </w:r>
    </w:p>
    <w:p>
      <w:r>
        <w:rPr>
          <w:b/>
        </w:rPr>
        <w:t xml:space="preserve">Implementation status. </w:t>
      </w:r>
      <w:r>
        <w:t>Partial at the stated component boundary. Controller cancellation tested; physical and privacy wiring pending.</w:t>
      </w:r>
    </w:p>
    <w:p>
      <w:pPr>
        <w:pStyle w:val="Heading3"/>
      </w:pPr>
      <w:r>
        <w:rPr>
          <w:color w:val="000000"/>
        </w:rPr>
        <w:t>AI05 Monitoring priority over conversation</w:t>
      </w:r>
    </w:p>
    <w:p>
      <w:r>
        <w:t>Scope: AI. Participants: H05, H06, H09, H10.</w:t>
      </w:r>
    </w:p>
    <w:p>
      <w:r>
        <w:rPr>
          <w:b/>
        </w:rPr>
        <w:t xml:space="preserve">Acceptance requirement. </w:t>
      </w:r>
      <w:r>
        <w:t>Monitoring never waits for model response; urgent prompt preempts interaction.</w:t>
      </w:r>
    </w:p>
    <w:p>
      <w:r>
        <w:rPr>
          <w:b/>
        </w:rPr>
        <w:t xml:space="preserve">Implementation status. </w:t>
      </w:r>
      <w:r>
        <w:t>Pending at the stated component boundary. Coordinator and load/latency tests not implemented.</w:t>
      </w:r>
    </w:p>
    <w:p>
      <w:pPr>
        <w:pStyle w:val="Heading3"/>
      </w:pPr>
      <w:r>
        <w:rPr>
          <w:color w:val="000000"/>
        </w:rPr>
        <w:t>AI06 Audio and model-provider integration</w:t>
      </w:r>
    </w:p>
    <w:p>
      <w:r>
        <w:t>Scope: AI. Participants: H11, B09.</w:t>
      </w:r>
    </w:p>
    <w:p>
      <w:r>
        <w:rPr>
          <w:b/>
        </w:rPr>
        <w:t xml:space="preserve">Acceptance requirement. </w:t>
      </w:r>
      <w:r>
        <w:t>Bounded audio buffers; authenticated provider path; explain offline/unavailable state.</w:t>
      </w:r>
    </w:p>
    <w:p>
      <w:r>
        <w:rPr>
          <w:b/>
        </w:rPr>
        <w:t xml:space="preserve">Implementation status. </w:t>
      </w:r>
      <w:r>
        <w:t>Pending at the stated component boundary. No live provider, microphone capture or speech synthesis implemented.</w:t>
      </w:r>
    </w:p>
    <w:p>
      <w:pPr>
        <w:pStyle w:val="Heading3"/>
      </w:pPr>
      <w:r>
        <w:rPr>
          <w:color w:val="000000"/>
        </w:rPr>
        <w:t>AI07 Capability and cost policy</w:t>
      </w:r>
    </w:p>
    <w:p>
      <w:r>
        <w:t>Scope: AI. Participants: S04, B09, A06, B01.</w:t>
      </w:r>
    </w:p>
    <w:p>
      <w:r>
        <w:rPr>
          <w:b/>
        </w:rPr>
        <w:t xml:space="preserve">Acceptance requirement. </w:t>
      </w:r>
      <w:r>
        <w:t>Server enforces tenant/edition/consent/quota; UI reflects availability, not authorization.</w:t>
      </w:r>
    </w:p>
    <w:p>
      <w:r>
        <w:rPr>
          <w:b/>
        </w:rPr>
        <w:t xml:space="preserve">Implementation status. </w:t>
      </w:r>
      <w:r>
        <w:t>Pending at the stated component boundary. No capability endpoint or spending limiter implemented.</w:t>
      </w:r>
    </w:p>
    <w:p>
      <w:pPr>
        <w:pStyle w:val="Heading3"/>
      </w:pPr>
      <w:r>
        <w:rPr>
          <w:color w:val="000000"/>
        </w:rPr>
        <w:t>AI08 Diagnostic and monitoring separation</w:t>
      </w:r>
    </w:p>
    <w:p>
      <w:r>
        <w:t>Scope: AI. Participants: S05, H09, S02.</w:t>
      </w:r>
    </w:p>
    <w:p>
      <w:r>
        <w:rPr>
          <w:b/>
        </w:rPr>
        <w:t xml:space="preserve">Acceptance requirement. </w:t>
      </w:r>
      <w:r>
        <w:t>Controller logs no audio/transcript; AI response cannot acknowledge or resolve incidents.</w:t>
      </w:r>
    </w:p>
    <w:p>
      <w:r>
        <w:rPr>
          <w:b/>
        </w:rPr>
        <w:t xml:space="preserve">Implementation status. </w:t>
      </w:r>
      <w:r>
        <w:t>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p>
      <w:pPr>
        <w:pStyle w:val="Heading1"/>
      </w:pPr>
      <w:r>
        <w:rPr>
          <w:color w:val="000000"/>
        </w:rPr>
        <w:t>Revision and implementation status</w:t>
      </w:r>
    </w:p>
    <w:p>
      <w:r>
        <w:t>Edition 2.0 expands the supplied baseline and carries forward the version 1.4 AI session design. Code 1.4.2 changes comments and version metadata only. Base P0 remains the development priority. Existing tests cover components; no complete hardware or unattended field acceptance is claimed. Read progress.txt and the workbook for current gaps.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Ghar Sajag | Documentation 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000000"/>
      </w:rPr>
      <w:t>Ghar Sajag | Documentation 2.0 | Reference code 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line="240" w:lineRule="auto"/>
      <w:ind w:left="259" w:right="259"/>
    </w:pPr>
    <w:rPr>
      <w:rFonts w:ascii="Liberation Mono" w:hAnsi="Liberation Mono"/>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Hardware-Independent Low-Level Design v1.0</dc:title>
  <dc:subject>Code-linked design for 32 logical modules</dc:subject>
  <dc:creator>Ghar Sajag engineering baseline</dc:creator>
  <cp:keywords/>
  <dc:description>generated by python-docx</dc:description>
  <cp:lastModifiedBy/>
  <cp:revision>1</cp:revision>
  <dcterms:created xsi:type="dcterms:W3CDTF">2013-12-23T23:15:00Z</dcterms:created>
  <dcterms:modified xsi:type="dcterms:W3CDTF">2013-12-23T23:15:00Z</dcterms:modified>
  <cp:category/>
</cp:coreProperties>
</file>