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icro"/>
      </w:pPr>
      <w:r>
        <w:t>PRODUCT REQUIREMENTS + DETAILED SOFTWARE DESIGN</w:t>
      </w:r>
    </w:p>
    <w:p>
      <w:pPr>
        <w:pStyle w:val="Title"/>
      </w:pPr>
      <w:r>
        <w:rPr>
          <w:color w:val="000000"/>
        </w:rPr>
        <w:t>Ghar Sajag P0 Requirements and Software Design</w:t>
      </w:r>
    </w:p>
    <w:p>
      <w:pPr>
        <w:pStyle w:val="Subtitle"/>
      </w:pPr>
      <w:r>
        <w:rPr>
          <w:color w:val="000000"/>
        </w:rPr>
        <w:t>Complete P0 engineering specification</w:t>
      </w:r>
    </w:p>
    <w:p>
      <w:pPr>
        <w:pStyle w:val="Micro"/>
      </w:pPr>
      <w:r>
        <w:t>Prepared for Rahul Rathor • 7 September 2026 • Documentation 2.0</w:t>
      </w:r>
    </w:p>
    <w:p>
      <w:pPr>
        <w:pStyle w:val="Heading1"/>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2.0 accompanies reference source 1.4.2. Source 1.4.2 adds requirement comments and version metadata to the 1.4.1 code; it does not implement new monitoring or AI algorithms. The 1.4 AI session controller is retained and explained in the AI design volume.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Ghar_Sajag_P0_Requirements_and_Software_Design_v1.3(2).docx.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pPr>
      <w:r>
        <w:rPr>
          <w:color w:val="000000"/>
        </w:rPr>
        <w:t>Current decisions that resolve earlier ambiguity</w:t>
      </w:r>
    </w:p>
    <w:p>
      <w:r>
        <w:rPr>
          <w:b/>
        </w:rPr>
        <w:t xml:space="preserve">Routine evidence. </w:t>
      </w:r>
      <w:r>
        <w:t>The current reducer accepts one qualifying activity event or OK in its window. Two-zone/session-duration examples are retained as future hypotheses. They are not implemented P0 qualification rules.</w:t>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 xml:space="preserve">Modules. </w:t>
      </w:r>
      <w:r>
        <w:t>Canonical modules are N01–N05, H01–H08, B01–B08, A01–A05, S01–S03 and T01–T03, with S04 product profile, H09 interaction and S05 diagnostics. H10/H11/B09/A06 are planned. Legacy log aliases are not extra deployed modules.</w:t>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1"/>
      </w:pPr>
      <w:r>
        <w:rPr>
          <w:color w:val="000000"/>
        </w:rPr>
        <w:t>Architecture explained for implementation</w:t>
      </w:r>
    </w:p>
    <w:p>
      <w:pPr>
        <w:pStyle w:val="Heading2"/>
      </w:pPr>
      <w:r>
        <w:rPr>
          <w:color w:val="000000"/>
        </w:rPr>
        <w:t>Why there is one shared core</w:t>
      </w:r>
    </w:p>
    <w:p>
      <w:r>
        <w:t>A requirement such as detecting a missing check-in should behave identically whether or not the product has audio. Put event identity, rule decisions, incident workflow and service health in shared modules. Optional interaction is a client of selected state and a separate request lifecycle. It cannot replace the rule engine or create human acknowledgement.</w:t>
      </w:r>
    </w:p>
    <w:p>
      <w:pPr>
        <w:pStyle w:val="Heading2"/>
      </w:pPr>
      <w:r>
        <w:rPr>
          <w:color w:val="000000"/>
        </w:rPr>
        <w:t>Where state is authoritative</w:t>
      </w:r>
    </w:p>
    <w:p>
      <w:r>
        <w:t>The node owns unsent sensor evidence. The hub owns local routine/configuration/coverage state and its unsent cloud records. The backend owns household access, incidents, notification jobs and caregiver projections. The app owns presentation and pending user commands. Copying a snapshot does not transfer authority; every mutation returns to its owner.</w:t>
      </w:r>
    </w:p>
    <w:p>
      <w:pPr>
        <w:pStyle w:val="Heading2"/>
      </w:pPr>
      <w:r>
        <w:rPr>
          <w:color w:val="000000"/>
        </w:rPr>
        <w:t>Commit order across the home</w:t>
      </w:r>
    </w:p>
    <w:p>
      <w:r>
        <w:t>Record a business event at the node before transmission. Admit and commit it at the hub before a durable node ACK. Persist it and its required backend effects before the backend application ACK. Retries reuse the same key. Every failure between two commits must have a defined replay action. This gives idempotent effects under at-least-once transport; it does not guarantee exactly-once network delivery.</w:t>
      </w:r>
    </w:p>
    <w:p>
      <w:pPr>
        <w:pStyle w:val="Heading2"/>
      </w:pPr>
      <w:r>
        <w:rPr>
          <w:color w:val="000000"/>
        </w:rPr>
        <w:t>Task boundary on the hub</w:t>
      </w:r>
    </w:p>
    <w:p>
      <w:r>
        <w:t>The proposed hub_event_task owns routine, coverage and configuration mutations. Radio and timer callbacks enqueue bounded messages. A cloud worker owns blocking network work and exchanges immutable snapshots/commands with the state owner. UI sampling may happen in a separate task but applies semantic actions through the same owner. Queue overflow is a visible service fault, not a reason to invent resident evidence.</w:t>
      </w:r>
    </w:p>
    <w:p>
      <w:pPr>
        <w:pStyle w:val="Heading2"/>
      </w:pPr>
      <w:r>
        <w:rPr>
          <w:color w:val="000000"/>
        </w:rPr>
        <w:t>Storage concurrency</w:t>
      </w:r>
    </w:p>
    <w:p>
      <w:r>
        <w:t>The earlier FreeRTOS sketch lets the state task write the journal and a cloud task read it. A concrete binding must serialize those accesses or copy a committed outbox snapshot through the owner. A deque reference is not a safe shared cross-task view. ACK commands also return to the journal owner so reclamation cannot race a read.</w:t>
      </w:r>
    </w:p>
    <w:p>
      <w:pPr>
        <w:pStyle w:val="Heading2"/>
      </w:pPr>
      <w:r>
        <w:rPr>
          <w:color w:val="000000"/>
        </w:rPr>
        <w:t>Scaling beyond a pilot</w:t>
      </w:r>
    </w:p>
    <w:p>
      <w:r>
        <w:t>Start with a backend modular monolith and one database, preserving B01–B08 boundaries in code. Scale stateless API replicas and leased delivery workers when measured load warrants it. Keep household_id in keys, queries and authorisation checks. Use database unique constraints and outbox transactions for concurrent idempotency; in-memory dictionaries are not a multi-replica design.</w:t>
      </w:r>
    </w:p>
    <w:p>
      <w:pPr>
        <w:pStyle w:val="Heading2"/>
      </w:pPr>
      <w:r>
        <w:rPr>
          <w:color w:val="000000"/>
        </w:rPr>
        <w:t>Backpressure and resource sizing</w:t>
      </w:r>
    </w:p>
    <w:p>
      <w:r>
        <w:t>Capacity limits must include payload lengths, evidence IDs, retry queues, diagnostic records and result batches. A container with a maximum item count can still exceed RAM if each item owns unbounded strings. Measure high-water marks under duplicate storms, long outages and replay. Determine release budgets from the actual C3/DevKit board and firmware build rather than host sizeof alone.</w:t>
      </w:r>
    </w:p>
    <w:p>
      <w:pPr>
        <w:pStyle w:val="Heading2"/>
      </w:pPr>
      <w:r>
        <w:rPr>
          <w:color w:val="000000"/>
        </w:rPr>
        <w:t>Hardware independent development</w:t>
      </w:r>
    </w:p>
    <w:p>
      <w:r>
        <w:t>Host tests can verify parsing policies, reducers, ownership outcomes, retries and fake provider errors. They cannot measure RF range, deep-sleep current, flash wear, brownout, GPIO polarity or actual notification delivery. Keep each hardware/network port injectable so the same domain behaviour can be exercised with a fake first and a measured adapter later.</w:t>
      </w:r>
    </w:p>
    <w:p>
      <w:pPr>
        <w:pStyle w:val="Heading2"/>
      </w:pPr>
      <w:r>
        <w:rPr>
          <w:color w:val="000000"/>
        </w:rPr>
        <w:t>Design decision record</w:t>
      </w:r>
    </w:p>
    <w:p>
      <w:r>
        <w:t>Keep a short record whenever a behaviour changes: requirement ID, previous rule, new rule, reason, affected modules, compatibility impact and acceptance evidence. Record decisions on schedule change timing, grace-window OK handling, coverage history and duplicate evidence before implementation. Do not silently resolve these by changing a dashboard label.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Boundary</w:t>
            </w:r>
          </w:p>
        </w:tc>
        <w:tc>
          <w:tcPr>
            <w:tcW w:type="dxa" w:w="2880"/>
            <w:tcMar>
              <w:top w:w="100" w:type="dxa"/>
              <w:left w:w="100" w:type="dxa"/>
              <w:bottom w:w="100" w:type="dxa"/>
              <w:right w:w="100" w:type="dxa"/>
            </w:tcMar>
            <w:shd w:fill="E7EDF4"/>
          </w:tcPr>
          <w:p>
            <w:pPr>
              <w:spacing w:after="80" w:before="60"/>
            </w:pPr>
            <w:r>
              <w:rPr>
                <w:b/>
                <w:sz w:val="18"/>
              </w:rPr>
              <w:t>Participants</w:t>
            </w:r>
          </w:p>
        </w:tc>
        <w:tc>
          <w:tcPr>
            <w:tcW w:type="dxa" w:w="4896"/>
            <w:tcMar>
              <w:top w:w="100" w:type="dxa"/>
              <w:left w:w="100" w:type="dxa"/>
              <w:bottom w:w="100" w:type="dxa"/>
              <w:right w:w="100" w:type="dxa"/>
            </w:tcMar>
            <w:shd w:fill="E7EDF4"/>
          </w:tcPr>
          <w:p>
            <w:pPr>
              <w:spacing w:after="80" w:before="60"/>
            </w:pPr>
            <w:r>
              <w:rPr>
                <w:b/>
                <w:sz w:val="18"/>
              </w:rPr>
              <w:t>Data and completion meaning</w:t>
            </w:r>
          </w:p>
        </w:tc>
      </w:tr>
      <w:tr>
        <w:tc>
          <w:tcPr>
            <w:tcW w:type="dxa" w:w="1584"/>
            <w:tcMar>
              <w:top w:w="100" w:type="dxa"/>
              <w:left w:w="100" w:type="dxa"/>
              <w:bottom w:w="100" w:type="dxa"/>
              <w:right w:w="100" w:type="dxa"/>
            </w:tcMar>
          </w:tcPr>
          <w:p>
            <w:pPr>
              <w:spacing w:after="80" w:before="60"/>
            </w:pPr>
            <w:r>
              <w:rPr>
                <w:b w:val="0"/>
                <w:sz w:val="18"/>
              </w:rPr>
              <w:t>I01</w:t>
            </w:r>
          </w:p>
        </w:tc>
        <w:tc>
          <w:tcPr>
            <w:tcW w:type="dxa" w:w="2880"/>
            <w:tcMar>
              <w:top w:w="100" w:type="dxa"/>
              <w:left w:w="100" w:type="dxa"/>
              <w:bottom w:w="100" w:type="dxa"/>
              <w:right w:w="100" w:type="dxa"/>
            </w:tcMar>
          </w:tcPr>
          <w:p>
            <w:pPr>
              <w:spacing w:after="80" w:before="60"/>
            </w:pPr>
            <w:r>
              <w:rPr>
                <w:b w:val="0"/>
                <w:sz w:val="18"/>
              </w:rPr>
              <w:t>N02/N05 → H01/H02</w:t>
            </w:r>
          </w:p>
        </w:tc>
        <w:tc>
          <w:tcPr>
            <w:tcW w:type="dxa" w:w="4896"/>
            <w:tcMar>
              <w:top w:w="100" w:type="dxa"/>
              <w:left w:w="100" w:type="dxa"/>
              <w:bottom w:w="100" w:type="dxa"/>
              <w:right w:w="100" w:type="dxa"/>
            </w:tcMar>
          </w:tcPr>
          <w:p>
            <w:pPr>
              <w:spacing w:after="80" w:before="60"/>
            </w:pPr>
            <w:r>
              <w:rPr>
                <w:b w:val="0"/>
                <w:sz w:val="18"/>
              </w:rPr>
              <w:t>Versioned event with source/session/sequence; application ACK after hub commitment. Encrypted ESP-NOW target adapter pending.</w:t>
            </w:r>
          </w:p>
        </w:tc>
      </w:tr>
      <w:tr>
        <w:tc>
          <w:tcPr>
            <w:tcW w:type="dxa" w:w="1584"/>
            <w:tcMar>
              <w:top w:w="100" w:type="dxa"/>
              <w:left w:w="100" w:type="dxa"/>
              <w:bottom w:w="100" w:type="dxa"/>
              <w:right w:w="100" w:type="dxa"/>
            </w:tcMar>
          </w:tcPr>
          <w:p>
            <w:pPr>
              <w:spacing w:after="80" w:before="60"/>
            </w:pPr>
            <w:r>
              <w:rPr>
                <w:b w:val="0"/>
                <w:sz w:val="18"/>
              </w:rPr>
              <w:t>I02</w:t>
            </w:r>
          </w:p>
        </w:tc>
        <w:tc>
          <w:tcPr>
            <w:tcW w:type="dxa" w:w="2880"/>
            <w:tcMar>
              <w:top w:w="100" w:type="dxa"/>
              <w:left w:w="100" w:type="dxa"/>
              <w:bottom w:w="100" w:type="dxa"/>
              <w:right w:w="100" w:type="dxa"/>
            </w:tcMar>
          </w:tcPr>
          <w:p>
            <w:pPr>
              <w:spacing w:after="80" w:before="60"/>
            </w:pPr>
            <w:r>
              <w:rPr>
                <w:b w:val="0"/>
                <w:sz w:val="18"/>
              </w:rPr>
              <w:t>H08 → B03/B06</w:t>
            </w:r>
          </w:p>
        </w:tc>
        <w:tc>
          <w:tcPr>
            <w:tcW w:type="dxa" w:w="4896"/>
            <w:tcMar>
              <w:top w:w="100" w:type="dxa"/>
              <w:left w:w="100" w:type="dxa"/>
              <w:bottom w:w="100" w:type="dxa"/>
              <w:right w:w="100" w:type="dxa"/>
            </w:tcMar>
          </w:tcPr>
          <w:p>
            <w:pPr>
              <w:spacing w:after="80" w:before="60"/>
            </w:pPr>
            <w:r>
              <w:rPr>
                <w:b w:val="0"/>
                <w:sz w:val="18"/>
              </w:rPr>
              <w:t>Replay, application commit ACK and versioned configuration through authenticated remote transport.</w:t>
            </w:r>
          </w:p>
        </w:tc>
      </w:tr>
      <w:tr>
        <w:tc>
          <w:tcPr>
            <w:tcW w:type="dxa" w:w="1584"/>
            <w:tcMar>
              <w:top w:w="100" w:type="dxa"/>
              <w:left w:w="100" w:type="dxa"/>
              <w:bottom w:w="100" w:type="dxa"/>
              <w:right w:w="100" w:type="dxa"/>
            </w:tcMar>
          </w:tcPr>
          <w:p>
            <w:pPr>
              <w:spacing w:after="80" w:before="60"/>
            </w:pPr>
            <w:r>
              <w:rPr>
                <w:b w:val="0"/>
                <w:sz w:val="18"/>
              </w:rPr>
              <w:t>I03</w:t>
            </w:r>
          </w:p>
        </w:tc>
        <w:tc>
          <w:tcPr>
            <w:tcW w:type="dxa" w:w="2880"/>
            <w:tcMar>
              <w:top w:w="100" w:type="dxa"/>
              <w:left w:w="100" w:type="dxa"/>
              <w:bottom w:w="100" w:type="dxa"/>
              <w:right w:w="100" w:type="dxa"/>
            </w:tcMar>
          </w:tcPr>
          <w:p>
            <w:pPr>
              <w:spacing w:after="80" w:before="60"/>
            </w:pPr>
            <w:r>
              <w:rPr>
                <w:b w:val="0"/>
                <w:sz w:val="18"/>
              </w:rPr>
              <w:t>A05 → B01/B07</w:t>
            </w:r>
          </w:p>
        </w:tc>
        <w:tc>
          <w:tcPr>
            <w:tcW w:type="dxa" w:w="4896"/>
            <w:tcMar>
              <w:top w:w="100" w:type="dxa"/>
              <w:left w:w="100" w:type="dxa"/>
              <w:bottom w:w="100" w:type="dxa"/>
              <w:right w:w="100" w:type="dxa"/>
            </w:tcMar>
          </w:tcPr>
          <w:p>
            <w:pPr>
              <w:spacing w:after="80" w:before="60"/>
            </w:pPr>
            <w:r>
              <w:rPr>
                <w:b w:val="0"/>
                <w:sz w:val="18"/>
              </w:rPr>
              <w:t>Authenticated query or idempotent command; response includes version/freshness and a reason on rejection.</w:t>
            </w:r>
          </w:p>
        </w:tc>
      </w:tr>
      <w:tr>
        <w:tc>
          <w:tcPr>
            <w:tcW w:type="dxa" w:w="1584"/>
            <w:tcMar>
              <w:top w:w="100" w:type="dxa"/>
              <w:left w:w="100" w:type="dxa"/>
              <w:bottom w:w="100" w:type="dxa"/>
              <w:right w:w="100" w:type="dxa"/>
            </w:tcMar>
          </w:tcPr>
          <w:p>
            <w:pPr>
              <w:spacing w:after="80" w:before="60"/>
            </w:pPr>
            <w:r>
              <w:rPr>
                <w:b w:val="0"/>
                <w:sz w:val="18"/>
              </w:rPr>
              <w:t>I04</w:t>
            </w:r>
          </w:p>
        </w:tc>
        <w:tc>
          <w:tcPr>
            <w:tcW w:type="dxa" w:w="2880"/>
            <w:tcMar>
              <w:top w:w="100" w:type="dxa"/>
              <w:left w:w="100" w:type="dxa"/>
              <w:bottom w:w="100" w:type="dxa"/>
              <w:right w:w="100" w:type="dxa"/>
            </w:tcMar>
          </w:tcPr>
          <w:p>
            <w:pPr>
              <w:spacing w:after="80" w:before="60"/>
            </w:pPr>
            <w:r>
              <w:rPr>
                <w:b w:val="0"/>
                <w:sz w:val="18"/>
              </w:rPr>
              <w:t>GPIO/UI → H06/H05</w:t>
            </w:r>
          </w:p>
        </w:tc>
        <w:tc>
          <w:tcPr>
            <w:tcW w:type="dxa" w:w="4896"/>
            <w:tcMar>
              <w:top w:w="100" w:type="dxa"/>
              <w:left w:w="100" w:type="dxa"/>
              <w:bottom w:w="100" w:type="dxa"/>
              <w:right w:w="100" w:type="dxa"/>
            </w:tcMar>
          </w:tcPr>
          <w:p>
            <w:pPr>
              <w:spacing w:after="80" w:before="60"/>
            </w:pPr>
            <w:r>
              <w:rPr>
                <w:b w:val="0"/>
                <w:sz w:val="18"/>
              </w:rPr>
              <w:t>Resident semantic actions and fixed feedback; physical debounce and accessibility binding pending.</w:t>
            </w:r>
          </w:p>
        </w:tc>
      </w:tr>
      <w:tr>
        <w:tc>
          <w:tcPr>
            <w:tcW w:type="dxa" w:w="1584"/>
            <w:tcMar>
              <w:top w:w="100" w:type="dxa"/>
              <w:left w:w="100" w:type="dxa"/>
              <w:bottom w:w="100" w:type="dxa"/>
              <w:right w:w="100" w:type="dxa"/>
            </w:tcMar>
          </w:tcPr>
          <w:p>
            <w:pPr>
              <w:spacing w:after="80" w:before="60"/>
            </w:pPr>
            <w:r>
              <w:rPr>
                <w:b w:val="0"/>
                <w:sz w:val="18"/>
              </w:rPr>
              <w:t>I05</w:t>
            </w:r>
          </w:p>
        </w:tc>
        <w:tc>
          <w:tcPr>
            <w:tcW w:type="dxa" w:w="2880"/>
            <w:tcMar>
              <w:top w:w="100" w:type="dxa"/>
              <w:left w:w="100" w:type="dxa"/>
              <w:bottom w:w="100" w:type="dxa"/>
              <w:right w:w="100" w:type="dxa"/>
            </w:tcMar>
          </w:tcPr>
          <w:p>
            <w:pPr>
              <w:spacing w:after="80" w:before="60"/>
            </w:pPr>
            <w:r>
              <w:rPr>
                <w:b w:val="0"/>
                <w:sz w:val="18"/>
              </w:rPr>
              <w:t>H09 → Provider</w:t>
            </w:r>
          </w:p>
        </w:tc>
        <w:tc>
          <w:tcPr>
            <w:tcW w:type="dxa" w:w="4896"/>
            <w:tcMar>
              <w:top w:w="100" w:type="dxa"/>
              <w:left w:w="100" w:type="dxa"/>
              <w:bottom w:w="100" w:type="dxa"/>
              <w:right w:w="100" w:type="dxa"/>
            </w:tcMar>
          </w:tcPr>
          <w:p>
            <w:pPr>
              <w:spacing w:after="80" w:before="60"/>
            </w:pPr>
            <w:r>
              <w:rPr>
                <w:b w:val="0"/>
                <w:sz w:val="18"/>
              </w:rPr>
              <w:t>Nonblocking start(id)/cancel(id); completion returned on controller owner. Fake-provider reference only.</w:t>
            </w:r>
          </w:p>
        </w:tc>
      </w:tr>
      <w:tr>
        <w:tc>
          <w:tcPr>
            <w:tcW w:type="dxa" w:w="1584"/>
            <w:tcMar>
              <w:top w:w="100" w:type="dxa"/>
              <w:left w:w="100" w:type="dxa"/>
              <w:bottom w:w="100" w:type="dxa"/>
              <w:right w:w="100" w:type="dxa"/>
            </w:tcMar>
          </w:tcPr>
          <w:p>
            <w:pPr>
              <w:spacing w:after="80" w:before="60"/>
            </w:pPr>
            <w:r>
              <w:rPr>
                <w:b w:val="0"/>
                <w:sz w:val="18"/>
              </w:rPr>
              <w:t>I06</w:t>
            </w:r>
          </w:p>
        </w:tc>
        <w:tc>
          <w:tcPr>
            <w:tcW w:type="dxa" w:w="2880"/>
            <w:tcMar>
              <w:top w:w="100" w:type="dxa"/>
              <w:left w:w="100" w:type="dxa"/>
              <w:bottom w:w="100" w:type="dxa"/>
              <w:right w:w="100" w:type="dxa"/>
            </w:tcMar>
          </w:tcPr>
          <w:p>
            <w:pPr>
              <w:spacing w:after="80" w:before="60"/>
            </w:pPr>
            <w:r>
              <w:rPr>
                <w:b w:val="0"/>
                <w:sz w:val="18"/>
              </w:rPr>
              <w:t>H05/H06 → H10/H11</w:t>
            </w:r>
          </w:p>
        </w:tc>
        <w:tc>
          <w:tcPr>
            <w:tcW w:type="dxa" w:w="4896"/>
            <w:tcMar>
              <w:top w:w="100" w:type="dxa"/>
              <w:left w:w="100" w:type="dxa"/>
              <w:bottom w:w="100" w:type="dxa"/>
              <w:right w:w="100" w:type="dxa"/>
            </w:tcMar>
          </w:tcPr>
          <w:p>
            <w:pPr>
              <w:spacing w:after="80" w:before="60"/>
            </w:pPr>
            <w:r>
              <w:rPr>
                <w:b w:val="0"/>
                <w:sz w:val="18"/>
              </w:rPr>
              <w:t>Planned priority cancellation and microphone/playback stop; never wait for a model to finish monitoring.</w:t>
            </w:r>
          </w:p>
        </w:tc>
      </w:tr>
    </w:tbl>
    <w:p>
      <w:pPr>
        <w:pStyle w:val="Heading2"/>
      </w:pPr>
      <w:r>
        <w:rPr>
          <w:color w:val="000000"/>
        </w:rPr>
        <w:t>Proposed FreeRTOS starting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880"/>
        <w:gridCol w:w="4896"/>
      </w:tblGrid>
      <w:tr>
        <w:trPr>
          <w:tblHeader/>
        </w:trPr>
        <w:tc>
          <w:tcPr>
            <w:tcW w:type="dxa" w:w="1584"/>
            <w:tcMar>
              <w:top w:w="100" w:type="dxa"/>
              <w:left w:w="100" w:type="dxa"/>
              <w:bottom w:w="100" w:type="dxa"/>
              <w:right w:w="100" w:type="dxa"/>
            </w:tcMar>
            <w:shd w:fill="E7EDF4"/>
          </w:tcPr>
          <w:p>
            <w:pPr>
              <w:spacing w:after="80" w:before="60"/>
            </w:pPr>
            <w:r>
              <w:rPr>
                <w:b/>
                <w:sz w:val="18"/>
              </w:rPr>
              <w:t>Context</w:t>
            </w:r>
          </w:p>
        </w:tc>
        <w:tc>
          <w:tcPr>
            <w:tcW w:type="dxa" w:w="2880"/>
            <w:tcMar>
              <w:top w:w="100" w:type="dxa"/>
              <w:left w:w="100" w:type="dxa"/>
              <w:bottom w:w="100" w:type="dxa"/>
              <w:right w:w="100" w:type="dxa"/>
            </w:tcMar>
            <w:shd w:fill="E7EDF4"/>
          </w:tcPr>
          <w:p>
            <w:pPr>
              <w:spacing w:after="80" w:before="60"/>
            </w:pPr>
            <w:r>
              <w:rPr>
                <w:b/>
                <w:sz w:val="18"/>
              </w:rPr>
              <w:t>Initial sketch</w:t>
            </w:r>
          </w:p>
        </w:tc>
        <w:tc>
          <w:tcPr>
            <w:tcW w:type="dxa" w:w="4896"/>
            <w:tcMar>
              <w:top w:w="100" w:type="dxa"/>
              <w:left w:w="100" w:type="dxa"/>
              <w:bottom w:w="100" w:type="dxa"/>
              <w:right w:w="100" w:type="dxa"/>
            </w:tcMar>
            <w:shd w:fill="E7EDF4"/>
          </w:tcPr>
          <w:p>
            <w:pPr>
              <w:spacing w:after="80" w:before="60"/>
            </w:pPr>
            <w:r>
              <w:rPr>
                <w:b/>
                <w:sz w:val="18"/>
              </w:rPr>
              <w:t>Ownership and validation</w:t>
            </w:r>
          </w:p>
        </w:tc>
      </w:tr>
      <w:tr>
        <w:tc>
          <w:tcPr>
            <w:tcW w:type="dxa" w:w="1584"/>
            <w:tcMar>
              <w:top w:w="100" w:type="dxa"/>
              <w:left w:w="100" w:type="dxa"/>
              <w:bottom w:w="100" w:type="dxa"/>
              <w:right w:w="100" w:type="dxa"/>
            </w:tcMar>
          </w:tcPr>
          <w:p>
            <w:pPr>
              <w:spacing w:after="80" w:before="60"/>
            </w:pPr>
            <w:r>
              <w:rPr>
                <w:b w:val="0"/>
                <w:sz w:val="18"/>
              </w:rPr>
              <w:t>Radio callback</w:t>
            </w:r>
          </w:p>
        </w:tc>
        <w:tc>
          <w:tcPr>
            <w:tcW w:type="dxa" w:w="2880"/>
            <w:tcMar>
              <w:top w:w="100" w:type="dxa"/>
              <w:left w:w="100" w:type="dxa"/>
              <w:bottom w:w="100" w:type="dxa"/>
              <w:right w:w="100" w:type="dxa"/>
            </w:tcMar>
          </w:tcPr>
          <w:p>
            <w:pPr>
              <w:spacing w:after="80" w:before="60"/>
            </w:pPr>
            <w:r>
              <w:rPr>
                <w:b w:val="0"/>
                <w:sz w:val="18"/>
              </w:rPr>
              <w:t>No business task work</w:t>
            </w:r>
          </w:p>
        </w:tc>
        <w:tc>
          <w:tcPr>
            <w:tcW w:type="dxa" w:w="4896"/>
            <w:tcMar>
              <w:top w:w="100" w:type="dxa"/>
              <w:left w:w="100" w:type="dxa"/>
              <w:bottom w:w="100" w:type="dxa"/>
              <w:right w:w="100" w:type="dxa"/>
            </w:tcMar>
          </w:tcPr>
          <w:p>
            <w:pPr>
              <w:spacing w:after="80" w:before="60"/>
            </w:pPr>
            <w:r>
              <w:rPr>
                <w:b w:val="0"/>
                <w:sz w:val="18"/>
              </w:rPr>
              <w:t>Validate/copy a bounded frame; enqueue; return. Callback latency must be measured.</w:t>
            </w:r>
          </w:p>
        </w:tc>
      </w:tr>
      <w:tr>
        <w:tc>
          <w:tcPr>
            <w:tcW w:type="dxa" w:w="1584"/>
            <w:tcMar>
              <w:top w:w="100" w:type="dxa"/>
              <w:left w:w="100" w:type="dxa"/>
              <w:bottom w:w="100" w:type="dxa"/>
              <w:right w:w="100" w:type="dxa"/>
            </w:tcMar>
          </w:tcPr>
          <w:p>
            <w:pPr>
              <w:spacing w:after="80" w:before="60"/>
            </w:pPr>
            <w:r>
              <w:rPr>
                <w:b w:val="0"/>
                <w:sz w:val="18"/>
              </w:rPr>
              <w:t>hub_event_task</w:t>
            </w:r>
          </w:p>
        </w:tc>
        <w:tc>
          <w:tcPr>
            <w:tcW w:type="dxa" w:w="2880"/>
            <w:tcMar>
              <w:top w:w="100" w:type="dxa"/>
              <w:left w:w="100" w:type="dxa"/>
              <w:bottom w:w="100" w:type="dxa"/>
              <w:right w:w="100" w:type="dxa"/>
            </w:tcMar>
          </w:tcPr>
          <w:p>
            <w:pPr>
              <w:spacing w:after="80" w:before="60"/>
            </w:pPr>
            <w:r>
              <w:rPr>
                <w:b w:val="0"/>
                <w:sz w:val="18"/>
              </w:rPr>
              <w:t>Priority 8; 8 KiB stack</w:t>
            </w:r>
          </w:p>
        </w:tc>
        <w:tc>
          <w:tcPr>
            <w:tcW w:type="dxa" w:w="4896"/>
            <w:tcMar>
              <w:top w:w="100" w:type="dxa"/>
              <w:left w:w="100" w:type="dxa"/>
              <w:bottom w:w="100" w:type="dxa"/>
              <w:right w:w="100" w:type="dxa"/>
            </w:tcMar>
          </w:tcPr>
          <w:p>
            <w:pPr>
              <w:spacing w:after="80" w:before="60"/>
            </w:pPr>
            <w:r>
              <w:rPr>
                <w:b w:val="0"/>
                <w:sz w:val="18"/>
              </w:rPr>
              <w:t>Own state, commit and decisions. Measure stack and scheduling latency under replay.</w:t>
            </w:r>
          </w:p>
        </w:tc>
      </w:tr>
      <w:tr>
        <w:tc>
          <w:tcPr>
            <w:tcW w:type="dxa" w:w="1584"/>
            <w:tcMar>
              <w:top w:w="100" w:type="dxa"/>
              <w:left w:w="100" w:type="dxa"/>
              <w:bottom w:w="100" w:type="dxa"/>
              <w:right w:w="100" w:type="dxa"/>
            </w:tcMar>
          </w:tcPr>
          <w:p>
            <w:pPr>
              <w:spacing w:after="80" w:before="60"/>
            </w:pPr>
            <w:r>
              <w:rPr>
                <w:b w:val="0"/>
                <w:sz w:val="18"/>
              </w:rPr>
              <w:t>cloud_sync_task</w:t>
            </w:r>
          </w:p>
        </w:tc>
        <w:tc>
          <w:tcPr>
            <w:tcW w:type="dxa" w:w="2880"/>
            <w:tcMar>
              <w:top w:w="100" w:type="dxa"/>
              <w:left w:w="100" w:type="dxa"/>
              <w:bottom w:w="100" w:type="dxa"/>
              <w:right w:w="100" w:type="dxa"/>
            </w:tcMar>
          </w:tcPr>
          <w:p>
            <w:pPr>
              <w:spacing w:after="80" w:before="60"/>
            </w:pPr>
            <w:r>
              <w:rPr>
                <w:b w:val="0"/>
                <w:sz w:val="18"/>
              </w:rPr>
              <w:t>Priority 5; 8 KiB stack</w:t>
            </w:r>
          </w:p>
        </w:tc>
        <w:tc>
          <w:tcPr>
            <w:tcW w:type="dxa" w:w="4896"/>
            <w:tcMar>
              <w:top w:w="100" w:type="dxa"/>
              <w:left w:w="100" w:type="dxa"/>
              <w:bottom w:w="100" w:type="dxa"/>
              <w:right w:w="100" w:type="dxa"/>
            </w:tcMar>
          </w:tcPr>
          <w:p>
            <w:pPr>
              <w:spacing w:after="80" w:before="60"/>
            </w:pPr>
            <w:r>
              <w:rPr>
                <w:b w:val="0"/>
                <w:sz w:val="18"/>
              </w:rPr>
              <w:t>Own remote transport; request snapshots and enqueue ACK/config commands to state owner.</w:t>
            </w:r>
          </w:p>
        </w:tc>
      </w:tr>
      <w:tr>
        <w:tc>
          <w:tcPr>
            <w:tcW w:type="dxa" w:w="1584"/>
            <w:tcMar>
              <w:top w:w="100" w:type="dxa"/>
              <w:left w:w="100" w:type="dxa"/>
              <w:bottom w:w="100" w:type="dxa"/>
              <w:right w:w="100" w:type="dxa"/>
            </w:tcMar>
          </w:tcPr>
          <w:p>
            <w:pPr>
              <w:spacing w:after="80" w:before="60"/>
            </w:pPr>
            <w:r>
              <w:rPr>
                <w:b w:val="0"/>
                <w:sz w:val="18"/>
              </w:rPr>
              <w:t>ui_task</w:t>
            </w:r>
          </w:p>
        </w:tc>
        <w:tc>
          <w:tcPr>
            <w:tcW w:type="dxa" w:w="2880"/>
            <w:tcMar>
              <w:top w:w="100" w:type="dxa"/>
              <w:left w:w="100" w:type="dxa"/>
              <w:bottom w:w="100" w:type="dxa"/>
              <w:right w:w="100" w:type="dxa"/>
            </w:tcMar>
          </w:tcPr>
          <w:p>
            <w:pPr>
              <w:spacing w:after="80" w:before="60"/>
            </w:pPr>
            <w:r>
              <w:rPr>
                <w:b w:val="0"/>
                <w:sz w:val="18"/>
              </w:rPr>
              <w:t>Priority 6; 5 KiB stack</w:t>
            </w:r>
          </w:p>
        </w:tc>
        <w:tc>
          <w:tcPr>
            <w:tcW w:type="dxa" w:w="4896"/>
            <w:tcMar>
              <w:top w:w="100" w:type="dxa"/>
              <w:left w:w="100" w:type="dxa"/>
              <w:bottom w:w="100" w:type="dxa"/>
              <w:right w:w="100" w:type="dxa"/>
            </w:tcMar>
          </w:tcPr>
          <w:p>
            <w:pPr>
              <w:spacing w:after="80" w:before="60"/>
            </w:pPr>
            <w:r>
              <w:rPr>
                <w:b w:val="0"/>
                <w:sz w:val="18"/>
              </w:rPr>
              <w:t>Sample/debounce controls and render immutable feedback snapshots.</w:t>
            </w:r>
          </w:p>
        </w:tc>
      </w:tr>
      <w:tr>
        <w:tc>
          <w:tcPr>
            <w:tcW w:type="dxa" w:w="1584"/>
            <w:tcMar>
              <w:top w:w="100" w:type="dxa"/>
              <w:left w:w="100" w:type="dxa"/>
              <w:bottom w:w="100" w:type="dxa"/>
              <w:right w:w="100" w:type="dxa"/>
            </w:tcMar>
          </w:tcPr>
          <w:p>
            <w:pPr>
              <w:spacing w:after="80" w:before="60"/>
            </w:pPr>
            <w:r>
              <w:rPr>
                <w:b w:val="0"/>
                <w:sz w:val="18"/>
              </w:rPr>
              <w:t>maintenance_task</w:t>
            </w:r>
          </w:p>
        </w:tc>
        <w:tc>
          <w:tcPr>
            <w:tcW w:type="dxa" w:w="2880"/>
            <w:tcMar>
              <w:top w:w="100" w:type="dxa"/>
              <w:left w:w="100" w:type="dxa"/>
              <w:bottom w:w="100" w:type="dxa"/>
              <w:right w:w="100" w:type="dxa"/>
            </w:tcMar>
          </w:tcPr>
          <w:p>
            <w:pPr>
              <w:spacing w:after="80" w:before="60"/>
            </w:pPr>
            <w:r>
              <w:rPr>
                <w:b w:val="0"/>
                <w:sz w:val="18"/>
              </w:rPr>
              <w:t>Priority 3; 8 KiB stack</w:t>
            </w:r>
          </w:p>
        </w:tc>
        <w:tc>
          <w:tcPr>
            <w:tcW w:type="dxa" w:w="4896"/>
            <w:tcMar>
              <w:top w:w="100" w:type="dxa"/>
              <w:left w:w="100" w:type="dxa"/>
              <w:bottom w:w="100" w:type="dxa"/>
              <w:right w:w="100" w:type="dxa"/>
            </w:tcMar>
          </w:tcPr>
          <w:p>
            <w:pPr>
              <w:spacing w:after="80" w:before="60"/>
            </w:pPr>
            <w:r>
              <w:rPr>
                <w:b w:val="0"/>
                <w:sz w:val="18"/>
              </w:rPr>
              <w:t>Controlled maintenance/update work; avoid competing flash writers.</w:t>
            </w:r>
          </w:p>
        </w:tc>
      </w:tr>
      <w:tr>
        <w:tc>
          <w:tcPr>
            <w:tcW w:type="dxa" w:w="1584"/>
            <w:tcMar>
              <w:top w:w="100" w:type="dxa"/>
              <w:left w:w="100" w:type="dxa"/>
              <w:bottom w:w="100" w:type="dxa"/>
              <w:right w:w="100" w:type="dxa"/>
            </w:tcMar>
          </w:tcPr>
          <w:p>
            <w:pPr>
              <w:spacing w:after="80" w:before="60"/>
            </w:pPr>
            <w:r>
              <w:rPr>
                <w:b w:val="0"/>
                <w:sz w:val="18"/>
              </w:rPr>
              <w:t>Future AI worker</w:t>
            </w:r>
          </w:p>
        </w:tc>
        <w:tc>
          <w:tcPr>
            <w:tcW w:type="dxa" w:w="2880"/>
            <w:tcMar>
              <w:top w:w="100" w:type="dxa"/>
              <w:left w:w="100" w:type="dxa"/>
              <w:bottom w:w="100" w:type="dxa"/>
              <w:right w:w="100" w:type="dxa"/>
            </w:tcMar>
          </w:tcPr>
          <w:p>
            <w:pPr>
              <w:spacing w:after="80" w:before="60"/>
            </w:pPr>
            <w:r>
              <w:rPr>
                <w:b w:val="0"/>
                <w:sz w:val="18"/>
              </w:rPr>
              <w:t>Not sized</w:t>
            </w:r>
          </w:p>
        </w:tc>
        <w:tc>
          <w:tcPr>
            <w:tcW w:type="dxa" w:w="4896"/>
            <w:tcMar>
              <w:top w:w="100" w:type="dxa"/>
              <w:left w:w="100" w:type="dxa"/>
              <w:bottom w:w="100" w:type="dxa"/>
              <w:right w:w="100" w:type="dxa"/>
            </w:tcMar>
          </w:tcPr>
          <w:p>
            <w:pPr>
              <w:spacing w:after="80" w:before="60"/>
            </w:pPr>
            <w:r>
              <w:rPr>
                <w:b w:val="0"/>
                <w:sz w:val="18"/>
              </w:rPr>
              <w:t>Separate audio/provider I/O, bounded buffers and cancellation. No priority or stack promise before measurement.</w:t>
            </w:r>
          </w:p>
        </w:tc>
      </w:tr>
    </w:tbl>
    <w:p>
      <w:r>
        <w:t>These are inherited initial estimates, not verified ESP-IDF settings. ESP-IDF projects and actual task creation are not included in the portable reference release. Define static queue sizes, message ownership and persistence acknowledgements before mapping these responsibilities onto tasks.</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2"/>
      </w:pPr>
      <w:r>
        <w:rPr>
          <w:color w:val="000000"/>
        </w:rPr>
        <w:t>Build the check-in workflow. Make uncertainty visible.</w:t>
      </w:r>
    </w:p>
    <w:p>
      <w:pPr/>
      <w:r>
        <w:t>A camera-free household-awareness product for families supporting one or two consenting older residents. This specification translates the startup blueprint, field-layout decisions and competitor-informed P0 review into implementable requirements, interfaces, module boundaries and release tests.</w:t>
      </w:r>
    </w:p>
    <w:tbl>
      <w:tblPr>
        <w:tblW w:type="dxa" w:w="9360"/>
        <w:tblLayout w:type="fixed"/>
        <w:tblLook w:firstColumn="1" w:firstRow="1" w:lastColumn="0" w:lastRow="0" w:noHBand="0" w:noVBand="1" w:val="04A0"/>
        <w:jc w:val="left"/>
        <w:tblInd w:type="dxa" w:w="120"/>
        <w:tblBorders>
          <w:top w:val="single" w:sz="4" w:color="B8C5D1" w:space="0"/>
          <w:left w:val="single" w:sz="4" w:color="B8C5D1" w:space="0"/>
          <w:bottom w:val="single" w:sz="4" w:color="B8C5D1" w:space="0"/>
          <w:right w:val="single" w:sz="4" w:color="B8C5D1" w:space="0"/>
          <w:insideH w:val="single" w:sz="4" w:color="B8C5D1" w:space="0"/>
          <w:insideV w:val="single" w:sz="4" w:color="B8C5D1" w:space="0"/>
        </w:tblBorders>
      </w:tblPr>
      <w:tblGrid>
        <w:gridCol w:w="2700"/>
        <w:gridCol w:w="6660"/>
      </w:tblGrid>
      <w:tr>
        <w:trPr>
          <w:cantSplit/>
          <w:tblHeader/>
          <w:cantSplit/>
          <w:tblHeader w:val="true"/>
        </w:trPr>
        <w:tc>
          <w:tcPr>
            <w:tcW w:type="dxa" w:w="27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8"/>
              </w:rPr>
              <w:t>Baseline</w:t>
            </w:r>
          </w:p>
        </w:tc>
        <w:tc>
          <w:tcPr>
            <w:tcW w:type="dxa" w:w="66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8"/>
              </w:rPr>
              <w:t>Decision</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Feature scope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24 P0 features: 14 resident/caregiver features + 10 engineering capabilities.</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Software structure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32 logical modules in one proposed monorepo; no microservice requirement for the pilot.</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One-home hardware</w:t>
            </w:r>
          </w:p>
        </w:tc>
        <w:tc>
          <w:tcPr>
            <w:tcW w:type="dxa" w:w="6660"/>
            <w:tcMar>
              <w:top w:w="80" w:type="dxa"/>
              <w:bottom w:w="80" w:type="dxa"/>
              <w:start w:w="120" w:type="dxa"/>
              <w:end w:w="120" w:type="dxa"/>
            </w:tcMar>
            <w:vAlign w:val="center"/>
          </w:tcPr>
          <w:p>
            <w:pPr>
              <w:spacing w:before="0" w:after="60" w:line="240" w:lineRule="auto"/>
            </w:pPr>
            <w:r>
              <w:rPr>
                <w:rFonts w:ascii="Calibri" w:hAnsi="Calibri"/>
                <w:sz w:val="18"/>
              </w:rPr>
              <w:t>1 ESP32 DevKit V1 hub + 4 ESP32-C3 nodes with configurable PIR/reed capabilities; two resident action buttons and a local privacy switch. Exact board variants and GPIO profiles must be verified before wiring freeze.</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Intelligence</w:t>
            </w:r>
          </w:p>
        </w:tc>
        <w:tc>
          <w:tcPr>
            <w:tcW w:type="dxa" w:w="6660"/>
            <w:tcMar>
              <w:top w:w="80" w:type="dxa"/>
              <w:bottom w:w="80" w:type="dxa"/>
              <w:start w:w="120" w:type="dxa"/>
              <w:end w:w="120" w:type="dxa"/>
            </w:tcMar>
            <w:vAlign w:val="center"/>
          </w:tcPr>
          <w:p>
            <w:pPr>
              <w:pStyle w:val="TableText"/>
              <w:spacing w:before="0" w:after="60" w:line="240" w:lineRule="auto"/>
            </w:pPr>
            <w:r>
              <w:rPr>
                <w:rFonts w:ascii="Calibri" w:hAnsi="Calibri"/>
                <w:sz w:val="18"/>
              </w:rPr>
              <w:t>Configured local rules in P0. No LLM, camera capture, microphone capture or cloud inference in the decision path.</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Power recommendation</w:t>
            </w:r>
          </w:p>
        </w:tc>
        <w:tc>
          <w:tcPr>
            <w:tcW w:type="dxa" w:w="6660"/>
            <w:tcMar>
              <w:top w:w="80" w:type="dxa"/>
              <w:bottom w:w="80" w:type="dxa"/>
              <w:start w:w="120" w:type="dxa"/>
              <w:end w:w="120" w:type="dxa"/>
            </w:tcMar>
            <w:vAlign w:val="center"/>
          </w:tcPr>
          <w:p>
            <w:pPr>
              <w:spacing w:before="0" w:after="60" w:line="240" w:lineRule="auto"/>
            </w:pPr>
            <w:r>
              <w:rPr>
                <w:rFonts w:ascii="Calibri" w:hAnsi="Calibri"/>
                <w:sz w:val="18"/>
              </w:rPr>
              <w:t>Rechargeable C3 nodes; hub normally powered by 5 V USB with tested rechargeable backup. A two-cell shield is acceptable for bench work only after polarity, cell matching and supply-transition tests; the commercial power path remains a separate hardware qualification decision.</w:t>
            </w:r>
          </w:p>
        </w:tc>
      </w:tr>
      <w:tr>
        <w:trPr>
          <w:cantSplit/>
          <w:cantSplit/>
        </w:trPr>
        <w:tc>
          <w:tcPr>
            <w:tcW w:type="dxa" w:w="2700"/>
            <w:tcMar>
              <w:top w:w="80" w:type="dxa"/>
              <w:bottom w:w="80" w:type="dxa"/>
              <w:start w:w="120" w:type="dxa"/>
              <w:end w:w="120" w:type="dxa"/>
            </w:tcMar>
            <w:vAlign w:val="center"/>
          </w:tcPr>
          <w:p>
            <w:pPr>
              <w:pStyle w:val="TableText"/>
              <w:spacing w:before="0" w:after="60" w:line="240" w:lineRule="auto"/>
            </w:pPr>
            <w:r>
              <w:rPr>
                <w:rFonts w:ascii="Calibri" w:hAnsi="Calibri"/>
                <w:sz w:val="18"/>
              </w:rPr>
              <w:t>Status</w:t>
            </w:r>
          </w:p>
        </w:tc>
        <w:tc>
          <w:tcPr>
            <w:tcW w:type="dxa" w:w="6660"/>
            <w:tcMar>
              <w:top w:w="80" w:type="dxa"/>
              <w:bottom w:w="80" w:type="dxa"/>
              <w:start w:w="120" w:type="dxa"/>
              <w:end w:w="120" w:type="dxa"/>
            </w:tcMar>
            <w:vAlign w:val="center"/>
          </w:tcPr>
          <w:p>
            <w:r>
              <w:t>Hardware-independent reference implementation delivered and host-tested: 52 C++ checks, 10 backend tests, 6 app-domain tests, contract validation and one offline-replay simulator pass. GPIO, RF, flash, power, TLS/MQTT, OIDC, Web Push, OTA and field gates remain unverified.</w:t>
            </w:r>
          </w:p>
        </w:tc>
      </w:tr>
    </w:tbl>
    <w:p>
      <w:pPr>
        <w:pStyle w:val="TableSpacer"/>
      </w:pPr>
    </w:p>
    <w:p>
      <w:pPr>
        <w:pStyle w:val="SpecBody"/>
      </w:pPr>
      <w:r>
        <w:t>Critical product boundary: activity observed ≠ resident identified ≠ self-reported check-in ≠ medical safety. Remote contact depends on power, connectivity, notification permissions and a willing human responder. The product is not an emergency-response or medical-monitoring substitute.</w:t>
      </w:r>
    </w:p>
    <w:p>
      <w:bookmarkStart w:id="1" w:name="scope"/>
      <w:pPr>
        <w:pStyle w:val="Heading1"/>
        <w:pageBreakBefore/>
      </w:pPr>
      <w:r>
        <w:rPr>
          <w:color w:val="000000"/>
        </w:rPr>
        <w:t>1. Reading map, scope and decisions</w:t>
      </w:r>
      <w:bookmarkEnd w:id="1"/>
    </w:p>
    <w:p>
      <w:pPr>
        <w:pStyle w:val="Contents"/>
      </w:pPr>
      <w:hyperlink w:anchor="scope">
        <w:r>
          <w:rPr>
            <w:color w:val="2E74B5"/>
          </w:rPr>
          <w:t>1. Scope, assumptions and morning routines</w:t>
        </w:r>
      </w:hyperlink>
    </w:p>
    <w:p>
      <w:pPr>
        <w:pStyle w:val="Contents"/>
      </w:pPr>
      <w:hyperlink w:anchor="catalog">
        <w:r>
          <w:rPr>
            <w:color w:val="2E74B5"/>
          </w:rPr>
          <w:t>2. Complete P0 catalogue</w:t>
        </w:r>
      </w:hyperlink>
    </w:p>
    <w:p>
      <w:pPr>
        <w:pStyle w:val="Contents"/>
      </w:pPr>
      <w:hyperlink w:anchor="architecture">
        <w:r>
          <w:rPr>
            <w:color w:val="2E74B5"/>
          </w:rPr>
          <w:t>3. Architecture, ownership and module model</w:t>
        </w:r>
      </w:hyperlink>
    </w:p>
    <w:p>
      <w:pPr>
        <w:pStyle w:val="Contents"/>
      </w:pPr>
      <w:hyperlink w:anchor="hardware">
        <w:r>
          <w:rPr>
            <w:color w:val="2E74B5"/>
          </w:rPr>
          <w:t>4. Hardware, GPIO contracts and battery design</w:t>
        </w:r>
      </w:hyperlink>
    </w:p>
    <w:p>
      <w:pPr>
        <w:pStyle w:val="Contents"/>
      </w:pPr>
      <w:hyperlink w:anchor="communications">
        <w:r>
          <w:rPr>
            <w:color w:val="2E74B5"/>
          </w:rPr>
          <w:t>5. Communication contracts and scenarios</w:t>
        </w:r>
      </w:hyperlink>
    </w:p>
    <w:p>
      <w:pPr>
        <w:pStyle w:val="Contents"/>
      </w:pPr>
      <w:hyperlink w:anchor="state">
        <w:r>
          <w:rPr>
            <w:color w:val="2E74B5"/>
          </w:rPr>
          <w:t>6. State, time and persistence design</w:t>
        </w:r>
      </w:hyperlink>
    </w:p>
    <w:p>
      <w:pPr>
        <w:pStyle w:val="Contents"/>
      </w:pPr>
      <w:hyperlink w:anchor="data">
        <w:r>
          <w:rPr>
            <w:color w:val="2E74B5"/>
          </w:rPr>
          <w:t>7. Data model, APIs and security</w:t>
        </w:r>
      </w:hyperlink>
    </w:p>
    <w:p>
      <w:pPr>
        <w:pStyle w:val="Contents"/>
      </w:pPr>
      <w:hyperlink w:anchor="F01">
        <w:r>
          <w:rPr>
            <w:color w:val="2E74B5"/>
          </w:rPr>
          <w:t>8. Detailed designs — F01 to F14</w:t>
        </w:r>
      </w:hyperlink>
    </w:p>
    <w:p>
      <w:pPr>
        <w:pStyle w:val="Contents"/>
      </w:pPr>
      <w:hyperlink w:anchor="E01">
        <w:r>
          <w:rPr>
            <w:color w:val="2E74B5"/>
          </w:rPr>
          <w:t>9. Detailed designs — E01 to E10</w:t>
        </w:r>
      </w:hyperlink>
    </w:p>
    <w:p>
      <w:pPr>
        <w:pStyle w:val="Contents"/>
      </w:pPr>
      <w:hyperlink w:anchor="verification">
        <w:r>
          <w:rPr>
            <w:color w:val="2E74B5"/>
          </w:rPr>
          <w:t>10. Verification and release exit criteria</w:t>
        </w:r>
      </w:hyperlink>
    </w:p>
    <w:p>
      <w:pPr>
        <w:pStyle w:val="Contents"/>
      </w:pPr>
      <w:hyperlink w:anchor="scale">
        <w:r>
          <w:rPr>
            <w:color w:val="2E74B5"/>
          </w:rPr>
          <w:t>11. Scalability, deployment and operations</w:t>
        </w:r>
      </w:hyperlink>
    </w:p>
    <w:p>
      <w:pPr>
        <w:pStyle w:val="Contents"/>
      </w:pPr>
      <w:hyperlink w:anchor="roadmap">
        <w:r>
          <w:rPr>
            <w:color w:val="2E74B5"/>
          </w:rPr>
          <w:t>12. Delivery plan, costs and enhancement scope</w:t>
        </w:r>
      </w:hyperlink>
    </w:p>
    <w:p>
      <w:pPr>
        <w:pStyle w:val="Contents"/>
      </w:pPr>
      <w:r>
        <w:t>Appendix A. Implemented module/file manifest</w:t>
      </w:r>
    </w:p>
    <w:p>
      <w:pPr>
        <w:pStyle w:val="Contents"/>
      </w:pPr>
      <w:r>
        <w:t>Appendix B. Decisions, glossary and sources • Appendix C. v1.2 implementation handoff</w:t>
      </w:r>
    </w:p>
    <w:p>
      <w:pPr>
        <w:pStyle w:val="Heading2"/>
      </w:pPr>
      <w:r>
        <w:rPr>
          <w:color w:val="000000"/>
        </w:rPr>
        <w:t>Authority and interpretation</w:t>
      </w:r>
    </w:p>
    <w:p>
      <w:pPr/>
      <w:r>
        <w:t>“Shall” denotes a proposed P0 acceptance requirement. “Default” is a configurable starting value. “Target” requires measurement. “Future” is excluded from the P0 estimate. This document supersedes ambiguous P0 details in the earlier conversation and complements the startup blueprint’s market analysis. Appendix A now maps the 32 logical modules to the delivered hardware-independent reference implementation. Physical-device, provider and production-deployment gates remain explicitly unverified.</w:t>
      </w:r>
    </w:p>
    <w:p>
      <w:pPr>
        <w:pStyle w:val="Heading1"/>
      </w:pPr>
      <w:r>
        <w:rPr>
          <w:color w:val="000000"/>
        </w:rPr>
        <w:t>Revision 1.2 — hardware-independent implementation record</w:t>
      </w:r>
    </w:p>
    <w:p>
      <w:pPr>
        <w:spacing w:after="60" w:line="259" w:lineRule="auto"/>
      </w:pPr>
      <w:r>
        <w:t>Authority: v1.2 preserves all 24 requirement IDs, their acceptance intent and the 32-module architecture. It supersedes v1.1 only for implementation status and actual source paths. The accompanying v1.0 reference package is a host-tested baseline, not released firmware or a production cloud service.</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700"/>
        <w:gridCol w:w="6660"/>
      </w:tblGrid>
      <w:tr>
        <w:trPr>
          <w:cantSplit/>
          <w:tblHeader w:val="true"/>
        </w:trPr>
        <w:tc>
          <w:tcPr>
            <w:tcW w:type="dxa" w:w="2700"/>
            <w:vAlign w:val="center"/>
            <w:shd w:fill="E8EEF5"/>
          </w:tcPr>
          <w:p>
            <w:pPr>
              <w:spacing w:before="0" w:after="60" w:line="240" w:lineRule="auto"/>
            </w:pPr>
            <w:r>
              <w:rPr>
                <w:rFonts w:ascii="Calibri" w:hAnsi="Calibri"/>
                <w:b/>
                <w:color w:val="1F4D78"/>
                <w:sz w:val="18"/>
              </w:rPr>
              <w:t>Approved change</w:t>
            </w:r>
          </w:p>
        </w:tc>
        <w:tc>
          <w:tcPr>
            <w:tcW w:type="dxa" w:w="6660"/>
            <w:vAlign w:val="center"/>
            <w:shd w:fill="E8EEF5"/>
          </w:tcPr>
          <w:p>
            <w:r>
              <w:t>Current decision</w:t>
            </w:r>
          </w:p>
        </w:tc>
      </w:tr>
      <w:tr>
        <w:trPr>
          <w:cantSplit/>
        </w:trPr>
        <w:tc>
          <w:tcPr>
            <w:tcW w:type="dxa" w:w="2700"/>
            <w:vAlign w:val="center"/>
          </w:tcPr>
          <w:p>
            <w:pPr>
              <w:spacing w:before="0" w:after="60" w:line="240" w:lineRule="auto"/>
            </w:pPr>
            <w:r>
              <w:rPr>
                <w:rFonts w:ascii="Calibri" w:hAnsi="Calibri"/>
                <w:sz w:val="18"/>
              </w:rPr>
              <w:t>Product name</w:t>
            </w:r>
          </w:p>
        </w:tc>
        <w:tc>
          <w:tcPr>
            <w:tcW w:type="dxa" w:w="6660"/>
            <w:vAlign w:val="center"/>
          </w:tcPr>
          <w:p>
            <w:pPr>
              <w:spacing w:before="0" w:after="60" w:line="240" w:lineRule="auto"/>
            </w:pPr>
            <w:r>
              <w:rPr>
                <w:rFonts w:ascii="Calibri" w:hAnsi="Calibri"/>
                <w:sz w:val="18"/>
              </w:rPr>
              <w:t>Use Ghar Sajag. “Family Check-in &amp; Home Risk” remains the engineering problem-domain subtitle.</w:t>
            </w:r>
          </w:p>
        </w:tc>
      </w:tr>
      <w:tr>
        <w:trPr>
          <w:cantSplit/>
        </w:trPr>
        <w:tc>
          <w:tcPr>
            <w:tcW w:type="dxa" w:w="2700"/>
            <w:vAlign w:val="center"/>
          </w:tcPr>
          <w:p>
            <w:pPr>
              <w:spacing w:before="0" w:after="60" w:line="240" w:lineRule="auto"/>
            </w:pPr>
            <w:r>
              <w:rPr>
                <w:rFonts w:ascii="Calibri" w:hAnsi="Calibri"/>
                <w:sz w:val="18"/>
              </w:rPr>
              <w:t>Household model</w:t>
            </w:r>
          </w:p>
        </w:tc>
        <w:tc>
          <w:tcPr>
            <w:tcW w:type="dxa" w:w="6660"/>
            <w:vAlign w:val="center"/>
          </w:tcPr>
          <w:p>
            <w:pPr>
              <w:spacing w:before="0" w:after="60" w:line="240" w:lineRule="auto"/>
            </w:pPr>
            <w:r>
              <w:rPr>
                <w:rFonts w:ascii="Calibri" w:hAnsi="Calibri"/>
                <w:sz w:val="18"/>
              </w:rPr>
              <w:t>Support one or two consenting older residents. PIR/reed data remains household/location evidence; no passive person identification.</w:t>
            </w:r>
          </w:p>
        </w:tc>
      </w:tr>
      <w:tr>
        <w:trPr>
          <w:cantSplit/>
        </w:trPr>
        <w:tc>
          <w:tcPr>
            <w:tcW w:type="dxa" w:w="2700"/>
            <w:vAlign w:val="center"/>
          </w:tcPr>
          <w:p>
            <w:pPr>
              <w:spacing w:before="0" w:after="60" w:line="240" w:lineRule="auto"/>
            </w:pPr>
            <w:r>
              <w:rPr>
                <w:rFonts w:ascii="Calibri" w:hAnsi="Calibri"/>
                <w:sz w:val="18"/>
              </w:rPr>
              <w:t>Prototype hardware</w:t>
            </w:r>
          </w:p>
        </w:tc>
        <w:tc>
          <w:tcPr>
            <w:tcW w:type="dxa" w:w="6660"/>
            <w:vAlign w:val="center"/>
          </w:tcPr>
          <w:p>
            <w:pPr>
              <w:spacing w:before="0" w:after="60" w:line="240" w:lineRule="auto"/>
            </w:pPr>
            <w:r>
              <w:rPr>
                <w:rFonts w:ascii="Calibri" w:hAnsi="Calibri"/>
                <w:sz w:val="18"/>
              </w:rPr>
              <w:t>One ESP32 DevKit V1 hub and four ESP32-C3 nodes. Node roles are capability-configured and accepted only after in-home placement tests.</w:t>
            </w:r>
          </w:p>
        </w:tc>
      </w:tr>
      <w:tr>
        <w:trPr>
          <w:cantSplit/>
        </w:trPr>
        <w:tc>
          <w:tcPr>
            <w:tcW w:type="dxa" w:w="2700"/>
            <w:vAlign w:val="center"/>
          </w:tcPr>
          <w:p>
            <w:pPr>
              <w:spacing w:before="0" w:after="60" w:line="240" w:lineRule="auto"/>
            </w:pPr>
            <w:r>
              <w:rPr>
                <w:rFonts w:ascii="Calibri" w:hAnsi="Calibri"/>
                <w:sz w:val="18"/>
              </w:rPr>
              <w:t>Test alert</w:t>
            </w:r>
          </w:p>
        </w:tc>
        <w:tc>
          <w:tcPr>
            <w:tcW w:type="dxa" w:w="6660"/>
            <w:vAlign w:val="center"/>
          </w:tcPr>
          <w:p>
            <w:pPr>
              <w:spacing w:before="0" w:after="60" w:line="240" w:lineRule="auto"/>
            </w:pPr>
            <w:r>
              <w:rPr>
                <w:rFonts w:ascii="Calibri" w:hAnsi="Calibri"/>
                <w:sz w:val="18"/>
              </w:rPr>
              <w:t>A repeatable, clearly labeled end-to-end drill is P0. It validates sensor path, push delivery and human acknowledgement without creating a real incident.</w:t>
            </w:r>
          </w:p>
        </w:tc>
      </w:tr>
      <w:tr>
        <w:trPr>
          <w:cantSplit/>
        </w:trPr>
        <w:tc>
          <w:tcPr>
            <w:tcW w:type="dxa" w:w="2700"/>
            <w:vAlign w:val="center"/>
          </w:tcPr>
          <w:p>
            <w:pPr>
              <w:spacing w:before="0" w:after="60" w:line="240" w:lineRule="auto"/>
            </w:pPr>
            <w:r>
              <w:rPr>
                <w:rFonts w:ascii="Calibri" w:hAnsi="Calibri"/>
                <w:sz w:val="18"/>
              </w:rPr>
              <w:t>Caregiver workflow</w:t>
            </w:r>
          </w:p>
        </w:tc>
        <w:tc>
          <w:tcPr>
            <w:tcW w:type="dxa" w:w="6660"/>
            <w:vAlign w:val="center"/>
          </w:tcPr>
          <w:p>
            <w:pPr>
              <w:spacing w:before="0" w:after="60" w:line="240" w:lineRule="auto"/>
            </w:pPr>
            <w:r>
              <w:rPr>
                <w:rFonts w:ascii="Calibri" w:hAnsi="Calibri"/>
                <w:sz w:val="18"/>
              </w:rPr>
              <w:t>Primary plus backup remains P0. Add explicit Ask backup caregiver handoff; it never means Contacted or Resolved.</w:t>
            </w:r>
          </w:p>
        </w:tc>
      </w:tr>
      <w:tr>
        <w:trPr>
          <w:cantSplit/>
        </w:trPr>
        <w:tc>
          <w:tcPr>
            <w:tcW w:type="dxa" w:w="2700"/>
            <w:vAlign w:val="center"/>
          </w:tcPr>
          <w:p>
            <w:pPr>
              <w:spacing w:before="0" w:after="60" w:line="240" w:lineRule="auto"/>
            </w:pPr>
            <w:r>
              <w:rPr>
                <w:rFonts w:ascii="Calibri" w:hAnsi="Calibri"/>
                <w:sz w:val="18"/>
              </w:rPr>
              <w:t>Health visibility</w:t>
            </w:r>
          </w:p>
        </w:tc>
        <w:tc>
          <w:tcPr>
            <w:tcW w:type="dxa" w:w="6660"/>
            <w:vAlign w:val="center"/>
          </w:tcPr>
          <w:p>
            <w:pPr>
              <w:spacing w:before="0" w:after="60" w:line="240" w:lineRule="auto"/>
            </w:pPr>
            <w:r>
              <w:rPr>
                <w:rFonts w:ascii="Calibri" w:hAnsi="Calibri"/>
                <w:sz w:val="18"/>
              </w:rPr>
              <w:t>Expose every node/source, battery/last seen, hub availability and internet path separately from activity evidence.</w:t>
            </w:r>
          </w:p>
        </w:tc>
      </w:tr>
      <w:tr>
        <w:trPr>
          <w:cantSplit/>
        </w:trPr>
        <w:tc>
          <w:tcPr>
            <w:tcW w:type="dxa" w:w="2700"/>
            <w:vAlign w:val="center"/>
          </w:tcPr>
          <w:p>
            <w:pPr>
              <w:spacing w:before="0" w:after="60" w:line="240" w:lineRule="auto"/>
            </w:pPr>
            <w:r>
              <w:rPr>
                <w:rFonts w:ascii="Calibri" w:hAnsi="Calibri"/>
                <w:sz w:val="18"/>
              </w:rPr>
              <w:t>Offline behavior</w:t>
            </w:r>
          </w:p>
        </w:tc>
        <w:tc>
          <w:tcPr>
            <w:tcW w:type="dxa" w:w="6660"/>
            <w:vAlign w:val="center"/>
          </w:tcPr>
          <w:p>
            <w:pPr>
              <w:spacing w:before="0" w:after="60" w:line="240" w:lineRule="auto"/>
            </w:pPr>
            <w:r>
              <w:rPr>
                <w:rFonts w:ascii="Calibri" w:hAnsi="Calibri"/>
                <w:sz w:val="18"/>
              </w:rPr>
              <w:t>Continue local rules while valid; queue and backfill events with original timestamps. Connectivity loss produces Home status unavailable, not a confident inactivity claim.</w:t>
            </w:r>
          </w:p>
        </w:tc>
      </w:tr>
      <w:tr>
        <w:trPr>
          <w:cantSplit/>
        </w:trPr>
        <w:tc>
          <w:tcPr>
            <w:tcW w:type="dxa" w:w="2700"/>
            <w:vAlign w:val="center"/>
          </w:tcPr>
          <w:p>
            <w:pPr>
              <w:spacing w:before="0" w:after="60" w:line="240" w:lineRule="auto"/>
            </w:pPr>
            <w:r>
              <w:rPr>
                <w:rFonts w:ascii="Calibri" w:hAnsi="Calibri"/>
                <w:sz w:val="18"/>
              </w:rPr>
              <w:t>Claims boundary</w:t>
            </w:r>
          </w:p>
        </w:tc>
        <w:tc>
          <w:tcPr>
            <w:tcW w:type="dxa" w:w="6660"/>
            <w:vAlign w:val="center"/>
          </w:tcPr>
          <w:p>
            <w:pPr>
              <w:spacing w:before="0" w:after="60" w:line="240" w:lineRule="auto"/>
            </w:pPr>
            <w:r>
              <w:rPr>
                <w:rFonts w:ascii="Calibri" w:hAnsi="Calibri"/>
                <w:sz w:val="18"/>
              </w:rPr>
              <w:t>No fall detection, medical monitoring, meal/medicine confirmation, emergency dispatch, camera, microphone or opaque AI risk score in P0.</w:t>
            </w:r>
          </w:p>
        </w:tc>
      </w:tr>
    </w:tbl>
    <w:p>
      <w:pPr>
        <w:pStyle w:val="Heading2"/>
      </w:pPr>
      <w:r>
        <w:rPr>
          <w:color w:val="000000"/>
        </w:rPr>
        <w:t>Canonical user-facing status contract</w:t>
      </w:r>
    </w:p>
    <w:p>
      <w:pPr>
        <w:spacing w:after="60" w:line="259" w:lineRule="auto"/>
      </w:pPr>
      <w:r>
        <w:rPr>
          <w:sz w:val="21"/>
        </w:rPr>
        <w:t>The app, notifications, reports and support tools shall use these meanings consistently. No state may be summarized as “safe”, “fine” or “emergency” without independently established evidence and an approved service contract.</w:t>
      </w:r>
    </w:p>
    <w:tbl>
      <w:tblPr>
        <w:tblW w:type="dxa" w:w="9360"/>
        <w:jc w:val="left"/>
        <w:tblLayout w:type="fixed"/>
        <w:tblLook w:firstColumn="1" w:firstRow="1" w:lastColumn="0" w:lastRow="0" w:noHBand="0" w:noVBand="1" w:val="04A0"/>
        <w:tblInd w:w="120" w:type="dxa"/>
        <w:tblBorders>
          <w:top w:val="single" w:sz="4" w:space="0" w:color="B8C5D1"/>
          <w:left w:val="single" w:sz="4" w:space="0" w:color="B8C5D1"/>
          <w:bottom w:val="single" w:sz="4" w:space="0" w:color="B8C5D1"/>
          <w:right w:val="single" w:sz="4" w:space="0" w:color="B8C5D1"/>
          <w:insideH w:val="single" w:sz="4" w:space="0" w:color="B8C5D1"/>
          <w:insideV w:val="single" w:sz="4" w:space="0" w:color="B8C5D1"/>
        </w:tblBorders>
      </w:tblPr>
      <w:tblGrid>
        <w:gridCol w:w="2050"/>
        <w:gridCol w:w="3630"/>
        <w:gridCol w:w="3680"/>
      </w:tblGrid>
      <w:tr>
        <w:trPr>
          <w:cantSplit/>
          <w:tblHeader w:val="true"/>
        </w:trPr>
        <w:tc>
          <w:tcPr>
            <w:tcW w:type="dxa" w:w="2050"/>
            <w:vAlign w:val="center"/>
            <w:shd w:fill="E8EEF5"/>
          </w:tcPr>
          <w:p>
            <w:pPr>
              <w:spacing w:before="0" w:after="60" w:line="240" w:lineRule="auto"/>
            </w:pPr>
            <w:r>
              <w:rPr>
                <w:rFonts w:ascii="Calibri" w:hAnsi="Calibri"/>
                <w:b/>
                <w:color w:val="1F4D78"/>
                <w:sz w:val="18"/>
              </w:rPr>
              <w:t>Status</w:t>
            </w:r>
          </w:p>
        </w:tc>
        <w:tc>
          <w:tcPr>
            <w:tcW w:type="dxa" w:w="3630"/>
            <w:vAlign w:val="center"/>
            <w:shd w:fill="E8EEF5"/>
          </w:tcPr>
          <w:p>
            <w:pPr>
              <w:spacing w:before="0" w:after="60" w:line="240" w:lineRule="auto"/>
            </w:pPr>
            <w:r>
              <w:rPr>
                <w:rFonts w:ascii="Calibri" w:hAnsi="Calibri"/>
                <w:b/>
                <w:color w:val="1F4D78"/>
                <w:sz w:val="18"/>
              </w:rPr>
              <w:t>Exact meaning</w:t>
            </w:r>
          </w:p>
        </w:tc>
        <w:tc>
          <w:tcPr>
            <w:tcW w:type="dxa" w:w="3680"/>
            <w:vAlign w:val="center"/>
            <w:shd w:fill="E8EEF5"/>
          </w:tcPr>
          <w:p>
            <w:pPr>
              <w:spacing w:before="0" w:after="60" w:line="240" w:lineRule="auto"/>
            </w:pPr>
            <w:r>
              <w:rPr>
                <w:rFonts w:ascii="Calibri" w:hAnsi="Calibri"/>
                <w:b/>
                <w:color w:val="1F4D78"/>
                <w:sz w:val="18"/>
              </w:rPr>
              <w:t>Required behavior</w:t>
            </w:r>
          </w:p>
        </w:tc>
      </w:tr>
      <w:tr>
        <w:trPr>
          <w:cantSplit/>
        </w:trPr>
        <w:tc>
          <w:tcPr>
            <w:tcW w:type="dxa" w:w="2050"/>
            <w:vAlign w:val="center"/>
          </w:tcPr>
          <w:p>
            <w:pPr>
              <w:spacing w:before="0" w:after="60" w:line="240" w:lineRule="auto"/>
            </w:pPr>
            <w:r>
              <w:rPr>
                <w:rFonts w:ascii="Calibri" w:hAnsi="Calibri"/>
                <w:sz w:val="18"/>
              </w:rPr>
              <w:t>Activity observed</w:t>
            </w:r>
          </w:p>
        </w:tc>
        <w:tc>
          <w:tcPr>
            <w:tcW w:type="dxa" w:w="3630"/>
            <w:vAlign w:val="center"/>
          </w:tcPr>
          <w:p>
            <w:pPr>
              <w:spacing w:before="0" w:after="60" w:line="240" w:lineRule="auto"/>
            </w:pPr>
            <w:r>
              <w:rPr>
                <w:rFonts w:ascii="Calibri" w:hAnsi="Calibri"/>
                <w:sz w:val="18"/>
              </w:rPr>
              <w:t>A configured sensor produced valid location/time evidence.</w:t>
            </w:r>
          </w:p>
        </w:tc>
        <w:tc>
          <w:tcPr>
            <w:tcW w:type="dxa" w:w="3680"/>
            <w:vAlign w:val="center"/>
          </w:tcPr>
          <w:p>
            <w:pPr>
              <w:spacing w:before="0" w:after="60" w:line="240" w:lineRule="auto"/>
            </w:pPr>
            <w:r>
              <w:rPr>
                <w:rFonts w:ascii="Calibri" w:hAnsi="Calibri"/>
                <w:sz w:val="18"/>
              </w:rPr>
              <w:t>Show source, time and coverage. Do not identify a person or infer wellness.</w:t>
            </w:r>
          </w:p>
        </w:tc>
      </w:tr>
      <w:tr>
        <w:trPr>
          <w:cantSplit/>
        </w:trPr>
        <w:tc>
          <w:tcPr>
            <w:tcW w:type="dxa" w:w="2050"/>
            <w:vAlign w:val="center"/>
          </w:tcPr>
          <w:p>
            <w:pPr>
              <w:spacing w:before="0" w:after="60" w:line="240" w:lineRule="auto"/>
            </w:pPr>
            <w:r>
              <w:rPr>
                <w:rFonts w:ascii="Calibri" w:hAnsi="Calibri"/>
                <w:sz w:val="18"/>
              </w:rPr>
              <w:t>Expected activity not observed</w:t>
            </w:r>
          </w:p>
        </w:tc>
        <w:tc>
          <w:tcPr>
            <w:tcW w:type="dxa" w:w="3630"/>
            <w:vAlign w:val="center"/>
          </w:tcPr>
          <w:p>
            <w:pPr>
              <w:spacing w:before="0" w:after="60" w:line="240" w:lineRule="auto"/>
            </w:pPr>
            <w:r>
              <w:rPr>
                <w:rFonts w:ascii="Calibri" w:hAnsi="Calibri"/>
                <w:sz w:val="18"/>
              </w:rPr>
              <w:t>The routine deadline passed with eligible observation coverage and no qualifying evidence.</w:t>
            </w:r>
          </w:p>
        </w:tc>
        <w:tc>
          <w:tcPr>
            <w:tcW w:type="dxa" w:w="3680"/>
            <w:vAlign w:val="center"/>
          </w:tcPr>
          <w:p>
            <w:pPr>
              <w:spacing w:before="0" w:after="60" w:line="240" w:lineRule="auto"/>
            </w:pPr>
            <w:r>
              <w:rPr>
                <w:rFonts w:ascii="Calibri" w:hAnsi="Calibri"/>
                <w:sz w:val="18"/>
              </w:rPr>
              <w:t>Open the check-in workflow; state the configured expectation and evidence window.</w:t>
            </w:r>
          </w:p>
        </w:tc>
      </w:tr>
      <w:tr>
        <w:trPr>
          <w:cantSplit/>
        </w:trPr>
        <w:tc>
          <w:tcPr>
            <w:tcW w:type="dxa" w:w="2050"/>
            <w:vAlign w:val="center"/>
          </w:tcPr>
          <w:p>
            <w:pPr>
              <w:spacing w:before="0" w:after="60" w:line="240" w:lineRule="auto"/>
            </w:pPr>
            <w:r>
              <w:rPr>
                <w:rFonts w:ascii="Calibri" w:hAnsi="Calibri"/>
                <w:sz w:val="18"/>
              </w:rPr>
              <w:t>Home status unavailable</w:t>
            </w:r>
          </w:p>
        </w:tc>
        <w:tc>
          <w:tcPr>
            <w:tcW w:type="dxa" w:w="3630"/>
            <w:vAlign w:val="center"/>
          </w:tcPr>
          <w:p>
            <w:pPr>
              <w:spacing w:before="0" w:after="60" w:line="240" w:lineRule="auto"/>
            </w:pPr>
            <w:r>
              <w:rPr>
                <w:rFonts w:ascii="Calibri" w:hAnsi="Calibri"/>
                <w:sz w:val="18"/>
              </w:rPr>
              <w:t>Required sensor, hub, time or connectivity coverage is missing or stale.</w:t>
            </w:r>
          </w:p>
        </w:tc>
        <w:tc>
          <w:tcPr>
            <w:tcW w:type="dxa" w:w="3680"/>
            <w:vAlign w:val="center"/>
          </w:tcPr>
          <w:p>
            <w:pPr>
              <w:spacing w:before="0" w:after="60" w:line="240" w:lineRule="auto"/>
            </w:pPr>
            <w:r>
              <w:rPr>
                <w:rFonts w:ascii="Calibri" w:hAnsi="Calibri"/>
                <w:sz w:val="18"/>
              </w:rPr>
              <w:t>Name the failing path and last-seen time. Do not present this as inactivity.</w:t>
            </w:r>
          </w:p>
        </w:tc>
      </w:tr>
      <w:tr>
        <w:trPr>
          <w:cantSplit/>
        </w:trPr>
        <w:tc>
          <w:tcPr>
            <w:tcW w:type="dxa" w:w="2050"/>
            <w:vAlign w:val="center"/>
          </w:tcPr>
          <w:p>
            <w:pPr>
              <w:spacing w:before="0" w:after="60" w:line="240" w:lineRule="auto"/>
            </w:pPr>
            <w:r>
              <w:rPr>
                <w:rFonts w:ascii="Calibri" w:hAnsi="Calibri"/>
                <w:sz w:val="18"/>
              </w:rPr>
              <w:t>Resident pressed I’m OK</w:t>
            </w:r>
          </w:p>
        </w:tc>
        <w:tc>
          <w:tcPr>
            <w:tcW w:type="dxa" w:w="3630"/>
            <w:vAlign w:val="center"/>
          </w:tcPr>
          <w:p>
            <w:pPr>
              <w:spacing w:before="0" w:after="60" w:line="240" w:lineRule="auto"/>
            </w:pPr>
            <w:r>
              <w:rPr>
                <w:rFonts w:ascii="Calibri" w:hAnsi="Calibri"/>
                <w:sz w:val="18"/>
              </w:rPr>
              <w:t>A mapped resident control produced an explicit self-check-in event.</w:t>
            </w:r>
          </w:p>
        </w:tc>
        <w:tc>
          <w:tcPr>
            <w:tcW w:type="dxa" w:w="3680"/>
            <w:vAlign w:val="center"/>
          </w:tcPr>
          <w:p>
            <w:pPr>
              <w:spacing w:before="0" w:after="60" w:line="240" w:lineRule="auto"/>
            </w:pPr>
            <w:r>
              <w:rPr>
                <w:rFonts w:ascii="Calibri" w:hAnsi="Calibri"/>
                <w:sz w:val="18"/>
              </w:rPr>
              <w:t>Show as self-reported and separate from passive motion evidence.</w:t>
            </w:r>
          </w:p>
        </w:tc>
      </w:tr>
      <w:tr>
        <w:trPr>
          <w:cantSplit/>
        </w:trPr>
        <w:tc>
          <w:tcPr>
            <w:tcW w:type="dxa" w:w="2050"/>
            <w:vAlign w:val="center"/>
          </w:tcPr>
          <w:p>
            <w:pPr>
              <w:spacing w:before="0" w:after="60" w:line="240" w:lineRule="auto"/>
            </w:pPr>
            <w:r>
              <w:rPr>
                <w:rFonts w:ascii="Calibri" w:hAnsi="Calibri"/>
                <w:sz w:val="18"/>
              </w:rPr>
              <w:t>Resident requested a call</w:t>
            </w:r>
          </w:p>
        </w:tc>
        <w:tc>
          <w:tcPr>
            <w:tcW w:type="dxa" w:w="3630"/>
            <w:vAlign w:val="center"/>
          </w:tcPr>
          <w:p>
            <w:pPr>
              <w:spacing w:before="0" w:after="60" w:line="240" w:lineRule="auto"/>
            </w:pPr>
            <w:r>
              <w:rPr>
                <w:rFonts w:ascii="Calibri" w:hAnsi="Calibri"/>
                <w:sz w:val="18"/>
              </w:rPr>
              <w:t>The Call family control produced a durable contact request.</w:t>
            </w:r>
          </w:p>
        </w:tc>
        <w:tc>
          <w:tcPr>
            <w:tcW w:type="dxa" w:w="3680"/>
            <w:vAlign w:val="center"/>
          </w:tcPr>
          <w:p>
            <w:pPr>
              <w:spacing w:before="0" w:after="60" w:line="240" w:lineRule="auto"/>
            </w:pPr>
            <w:r>
              <w:rPr>
                <w:rFonts w:ascii="Calibri" w:hAnsi="Calibri"/>
                <w:sz w:val="18"/>
              </w:rPr>
              <w:t>Route immediately to caregivers; later motion cannot resolve it.</w:t>
            </w:r>
          </w:p>
        </w:tc>
      </w:tr>
      <w:tr>
        <w:trPr>
          <w:cantSplit/>
        </w:trPr>
        <w:tc>
          <w:tcPr>
            <w:tcW w:type="dxa" w:w="2050"/>
            <w:vAlign w:val="center"/>
          </w:tcPr>
          <w:p>
            <w:pPr>
              <w:spacing w:before="0" w:after="60" w:line="240" w:lineRule="auto"/>
            </w:pPr>
            <w:r>
              <w:rPr>
                <w:rFonts w:ascii="Calibri" w:hAnsi="Calibri"/>
                <w:sz w:val="18"/>
              </w:rPr>
              <w:t>Caregiver acknowledged</w:t>
            </w:r>
          </w:p>
        </w:tc>
        <w:tc>
          <w:tcPr>
            <w:tcW w:type="dxa" w:w="3630"/>
            <w:vAlign w:val="center"/>
          </w:tcPr>
          <w:p>
            <w:pPr>
              <w:spacing w:before="0" w:after="60" w:line="240" w:lineRule="auto"/>
            </w:pPr>
            <w:r>
              <w:rPr>
                <w:rFonts w:ascii="Calibri" w:hAnsi="Calibri"/>
                <w:sz w:val="18"/>
              </w:rPr>
              <w:t>A named caregiver accepted a temporary response lease.</w:t>
            </w:r>
          </w:p>
        </w:tc>
        <w:tc>
          <w:tcPr>
            <w:tcW w:type="dxa" w:w="3680"/>
            <w:vAlign w:val="center"/>
          </w:tcPr>
          <w:p>
            <w:pPr>
              <w:spacing w:before="0" w:after="60" w:line="240" w:lineRule="auto"/>
            </w:pPr>
            <w:r>
              <w:rPr>
                <w:rFonts w:ascii="Calibri" w:hAnsi="Calibri"/>
                <w:sz w:val="18"/>
              </w:rPr>
              <w:t>Show owner and lease. Do not claim contact occurred.</w:t>
            </w:r>
          </w:p>
        </w:tc>
      </w:tr>
      <w:tr>
        <w:trPr>
          <w:cantSplit/>
        </w:trPr>
        <w:tc>
          <w:tcPr>
            <w:tcW w:type="dxa" w:w="2050"/>
            <w:vAlign w:val="center"/>
          </w:tcPr>
          <w:p>
            <w:pPr>
              <w:spacing w:before="0" w:after="60" w:line="240" w:lineRule="auto"/>
            </w:pPr>
            <w:r>
              <w:rPr>
                <w:rFonts w:ascii="Calibri" w:hAnsi="Calibri"/>
                <w:sz w:val="18"/>
              </w:rPr>
              <w:t>Contacted / Unable to reach</w:t>
            </w:r>
          </w:p>
        </w:tc>
        <w:tc>
          <w:tcPr>
            <w:tcW w:type="dxa" w:w="3630"/>
            <w:vAlign w:val="center"/>
          </w:tcPr>
          <w:p>
            <w:pPr>
              <w:spacing w:before="0" w:after="60" w:line="240" w:lineRule="auto"/>
            </w:pPr>
            <w:r>
              <w:rPr>
                <w:rFonts w:ascii="Calibri" w:hAnsi="Calibri"/>
                <w:sz w:val="18"/>
              </w:rPr>
              <w:t>A caregiver explicitly recorded the human outcome.</w:t>
            </w:r>
          </w:p>
        </w:tc>
        <w:tc>
          <w:tcPr>
            <w:tcW w:type="dxa" w:w="3680"/>
            <w:vAlign w:val="center"/>
          </w:tcPr>
          <w:p>
            <w:pPr>
              <w:spacing w:before="0" w:after="60" w:line="240" w:lineRule="auto"/>
            </w:pPr>
            <w:r>
              <w:rPr>
                <w:rFonts w:ascii="Calibri" w:hAnsi="Calibri"/>
                <w:sz w:val="18"/>
              </w:rPr>
              <w:t>Resolve only Contacted; Unable to reach keeps escalation open.</w:t>
            </w:r>
          </w:p>
        </w:tc>
      </w:tr>
      <w:tr>
        <w:trPr>
          <w:cantSplit/>
        </w:trPr>
        <w:tc>
          <w:tcPr>
            <w:tcW w:type="dxa" w:w="2050"/>
            <w:vAlign w:val="center"/>
          </w:tcPr>
          <w:p>
            <w:pPr>
              <w:spacing w:before="0" w:after="60" w:line="240" w:lineRule="auto"/>
            </w:pPr>
            <w:r>
              <w:rPr>
                <w:rFonts w:ascii="Calibri" w:hAnsi="Calibri"/>
                <w:sz w:val="18"/>
              </w:rPr>
              <w:t>Asked backup caregiver</w:t>
            </w:r>
          </w:p>
        </w:tc>
        <w:tc>
          <w:tcPr>
            <w:tcW w:type="dxa" w:w="3630"/>
            <w:vAlign w:val="center"/>
          </w:tcPr>
          <w:p>
            <w:pPr>
              <w:spacing w:before="0" w:after="60" w:line="240" w:lineRule="auto"/>
            </w:pPr>
            <w:r>
              <w:rPr>
                <w:rFonts w:ascii="Calibri" w:hAnsi="Calibri"/>
                <w:sz w:val="18"/>
              </w:rPr>
              <w:t>The current caregiver intentionally handed the open incident to backup.</w:t>
            </w:r>
          </w:p>
        </w:tc>
        <w:tc>
          <w:tcPr>
            <w:tcW w:type="dxa" w:w="3680"/>
            <w:vAlign w:val="center"/>
          </w:tcPr>
          <w:p>
            <w:pPr>
              <w:spacing w:before="0" w:after="60" w:line="240" w:lineRule="auto"/>
            </w:pPr>
            <w:r>
              <w:rPr>
                <w:rFonts w:ascii="Calibri" w:hAnsi="Calibri"/>
                <w:sz w:val="18"/>
              </w:rPr>
              <w:t>Release primary claim and create one audited backup route immediately.</w:t>
            </w:r>
          </w:p>
        </w:tc>
      </w:tr>
    </w:tbl>
    <w:p>
      <w:pPr>
        <w:pStyle w:val="Heading2"/>
      </w:pPr>
      <w:r>
        <w:rPr>
          <w:color w:val="000000"/>
        </w:rPr>
        <w:t>Competitor-informed boundary and enhancement queue</w:t>
      </w:r>
    </w:p>
    <w:p>
      <w:pPr>
        <w:pStyle w:val="ListBullet"/>
        <w:spacing w:after="40" w:line="259" w:lineRule="auto"/>
      </w:pPr>
      <w:r>
        <w:rPr>
          <w:sz w:val="21"/>
        </w:rPr>
        <w:t>Keep in P0: distributed home sensing, recipient-phone independence, transparent routine rules, family acknowledgement, backup routing, installation drills and per-device health.</w:t>
      </w:r>
    </w:p>
    <w:p>
      <w:pPr>
        <w:pStyle w:val="ListBullet"/>
        <w:spacing w:after="40" w:line="259" w:lineRule="auto"/>
      </w:pPr>
      <w:r>
        <w:rPr>
          <w:sz w:val="21"/>
        </w:rPr>
        <w:t>Move to P1 validation: medicine-box or refrigerator/cabinet opening as activity only; weekly summaries; temperature/humidity context; additional notification channels; optional two-way audio only after consent, privacy, recurring-cost and support design.</w:t>
      </w:r>
    </w:p>
    <w:p>
      <w:pPr>
        <w:pStyle w:val="ListBullet"/>
        <w:spacing w:after="40" w:line="259" w:lineRule="auto"/>
      </w:pPr>
      <w:r>
        <w:rPr>
          <w:sz w:val="21"/>
        </w:rPr>
        <w:t>Keep outside this P0: fall detection, sleep quality, vital signs, automatic emergency dispatch, professional home visits, outdoor cameras, location tracking and AI-generated medical or safety scores.</w:t>
      </w:r>
    </w:p>
    <w:p>
      <w:pPr>
        <w:pStyle w:val="ListBullet"/>
        <w:spacing w:after="40" w:line="259" w:lineRule="auto"/>
      </w:pPr>
      <w:r>
        <w:rPr>
          <w:sz w:val="21"/>
        </w:rPr>
        <w:t>Marketing language must be precise: “no indoor camera” and “no always-on listening” are supportable P0 design statements. Do not use “100% privacy,” “fall detection,” “medicine taken,” “meal completed” or “guaranteed emergency response.”</w:t>
      </w:r>
    </w:p>
    <w:p>
      <w:pPr>
        <w:pStyle w:val="Heading2"/>
      </w:pPr>
      <w:r>
        <w:rPr>
          <w:color w:val="000000"/>
        </w:rPr>
        <w:t>Software impact</w:t>
      </w:r>
    </w:p>
    <w:p>
      <w:pPr>
        <w:pStyle w:val="ListBullet"/>
        <w:spacing w:after="40" w:line="259" w:lineRule="auto"/>
      </w:pPr>
      <w:r>
        <w:rPr>
          <w:sz w:val="21"/>
        </w:rPr>
        <w:t>No new logical module is required. Reuse A01 InstallTest.tsx, A04 Actions.tsx, B04 incident state/service, B05 routing/worker, B08 audit/diagnostics, H04 health and H08 sync.</w:t>
      </w:r>
    </w:p>
    <w:p>
      <w:pPr>
        <w:pStyle w:val="ListBullet"/>
        <w:spacing w:after="40" w:line="259" w:lineRule="auto"/>
      </w:pPr>
      <w:r>
        <w:rPr>
          <w:sz w:val="21"/>
        </w:rPr>
        <w:t>Extend shared contracts with test flag/type/state, node capability profile, canonical home-status enum and HANDOFF_TO_BACKUP action. Regenerate firmware/backend/app types from S01.</w:t>
      </w:r>
    </w:p>
    <w:p>
      <w:pPr>
        <w:pStyle w:val="ListBullet"/>
        <w:spacing w:after="40" w:line="259" w:lineRule="auto"/>
      </w:pPr>
      <w:r>
        <w:rPr>
          <w:sz w:val="21"/>
        </w:rPr>
        <w:t>The backend shall exclude is_test=true records from production incident counts, summaries, response-time metrics and any future external response adapter.</w:t>
      </w:r>
    </w:p>
    <w:p>
      <w:pPr>
        <w:pStyle w:val="ListBullet"/>
        <w:spacing w:after="40" w:line="259" w:lineRule="auto"/>
      </w:pPr>
      <w:r>
        <w:rPr>
          <w:sz w:val="21"/>
        </w:rPr>
        <w:t>The dashboard projection shall calculate activity, observation coverage, hub/cloud reachability and human workflow state independently; UI composition may group them but storage and transitions remain separate.</w:t>
      </w:r>
    </w:p>
    <w:p>
      <w:pPr>
        <w:pStyle w:val="Heading2"/>
      </w:pPr>
      <w:r>
        <w:rPr>
          <w:color w:val="000000"/>
        </w:rPr>
        <w:t>v1.2 release-delta exit criteria</w:t>
      </w:r>
    </w:p>
    <w:p>
      <w:pPr>
        <w:pStyle w:val="ListBullet"/>
        <w:spacing w:after="40" w:line="259" w:lineRule="auto"/>
      </w:pPr>
      <w:r>
        <w:rPr>
          <w:sz w:val="21"/>
        </w:rPr>
        <w:t>All four configured C3 nodes pass identity, capability, radio, input and last-seen tests in the installed home.</w:t>
      </w:r>
    </w:p>
    <w:p>
      <w:pPr>
        <w:pStyle w:val="ListBullet"/>
        <w:spacing w:after="40" w:line="259" w:lineRule="auto"/>
      </w:pPr>
      <w:r>
        <w:rPr>
          <w:sz w:val="21"/>
        </w:rPr>
        <w:t>A real caregiver phone completes a clearly labeled Test alert from creation through human acknowledgement; the drill creates no production escalation or summary event.</w:t>
      </w:r>
    </w:p>
    <w:p>
      <w:pPr>
        <w:pStyle w:val="ListBullet"/>
        <w:spacing w:after="40" w:line="259" w:lineRule="auto"/>
      </w:pPr>
      <w:r>
        <w:rPr>
          <w:sz w:val="21"/>
        </w:rPr>
        <w:t>Ask backup caregiver is idempotent, transactionally hands off ownership and creates exactly one backup notification job.</w:t>
      </w:r>
    </w:p>
    <w:p>
      <w:pPr>
        <w:pStyle w:val="ListBullet"/>
        <w:spacing w:after="40" w:line="259" w:lineRule="auto"/>
      </w:pPr>
      <w:r>
        <w:rPr>
          <w:sz w:val="21"/>
        </w:rPr>
        <w:t>The UI distinguishes the five evidence/availability states above in caregiver comprehension testing; sensor offline is never interpreted as resident inactivity.</w:t>
      </w:r>
    </w:p>
    <w:p>
      <w:pPr>
        <w:pStyle w:val="ListBullet"/>
        <w:spacing w:after="40" w:line="259" w:lineRule="auto"/>
      </w:pPr>
      <w:r>
        <w:rPr>
          <w:sz w:val="21"/>
        </w:rPr>
        <w:t>A 72-hour WAN isolation test preserves local behavior and replays queued events once with original event times and delayed/backfilled labels.</w:t>
      </w:r>
    </w:p>
    <w:p>
      <w:pPr>
        <w:pStyle w:val="ListBullet"/>
        <w:spacing w:after="40" w:line="259" w:lineRule="auto"/>
      </w:pPr>
      <w:r>
        <w:rPr>
          <w:sz w:val="21"/>
        </w:rPr>
        <w:t>One- and two-resident configurations pass permission/consent tests, and passive events never name a resident.</w:t>
      </w:r>
    </w:p>
    <w:p>
      <w:pPr>
        <w:pStyle w:val="Heading2"/>
      </w:pPr>
      <w:r>
        <w:rPr>
          <w:color w:val="000000"/>
        </w:rPr>
        <w:t>Scope assumptions</w:t>
      </w:r>
    </w:p>
    <w:p>
      <w:pPr>
        <w:pStyle w:val="ListBullet"/>
        <w:numPr>
          <w:ilvl w:val="0"/>
          <w:numId w:val="50"/>
        </w:numPr>
      </w:pPr>
      <w:r>
        <w:t>India-first, assisted installation, one ESP32 DevKit V1 hub and four ESP32-C3 sensor nodes per home. Initial cohort: consenting households with one or two older residents in one serviceable city, with a reachable primary and backup caregiver. Motion remains household-level evidence; P0 does not identify which resident moved.</w:t>
      </w:r>
    </w:p>
    <w:p>
      <w:pPr>
        <w:pStyle w:val="ListBullet"/>
        <w:numPr>
          <w:ilvl w:val="0"/>
          <w:numId w:val="50"/>
        </w:numPr>
      </w:pPr>
      <w:r>
        <w:t>One solo engineer working approximately 10–15 focused hours per week; hardware assembly/testing and resident field trials remain real work even with code-generation assistance.</w:t>
      </w:r>
    </w:p>
    <w:p>
      <w:pPr>
        <w:pStyle w:val="ListBullet"/>
        <w:numPr>
          <w:ilvl w:val="0"/>
          <w:numId w:val="50"/>
        </w:numPr>
      </w:pPr>
      <w:r>
        <w:t>The P0 must function without audio. If fixed local prompts are enabled, use prerecorded assets with no speech recognition, microphone or audio upload.</w:t>
      </w:r>
    </w:p>
    <w:p>
      <w:pPr>
        <w:pStyle w:val="ListBullet"/>
        <w:numPr>
          <w:ilvl w:val="0"/>
          <w:numId w:val="50"/>
        </w:numPr>
      </w:pPr>
      <w:r>
        <w:t>No automatic emergency dispatch, fall diagnosis, medication/meal confirmation, identity recognition, door unlocking or gas/water/stove actuation.</w:t>
      </w:r>
    </w:p>
    <w:p>
      <w:pPr>
        <w:pStyle w:val="Heading2"/>
        <w:pageBreakBefore/>
      </w:pPr>
      <w:r>
        <w:rPr>
          <w:color w:val="000000"/>
        </w:rPr>
        <w:t>Morning routine menu and evidence rules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150"/>
        <w:gridCol w:w="3600"/>
        <w:gridCol w:w="3610"/>
      </w:tblGrid>
      <w:tr>
        <w:trPr>
          <w:cantSplit/>
          <w:tblHeader/>
        </w:trPr>
        <w:tc>
          <w:tcPr>
            <w:tcW w:type="dxa" w:w="2150"/>
            <w:tcMar>
              <w:top w:w="80" w:type="dxa"/>
              <w:bottom w:w="80" w:type="dxa"/>
              <w:start w:w="120" w:type="dxa"/>
              <w:end w:w="120" w:type="dxa"/>
            </w:tcMar>
            <w:shd w:fill="E8EEF5"/>
          </w:tcPr>
          <w:p>
            <w:pPr>
              <w:pStyle w:val="TableText"/>
            </w:pPr>
            <w:r>
              <w:rPr>
                <w:b/>
              </w:rPr>
              <w:t>Routine / example</w:t>
            </w:r>
          </w:p>
        </w:tc>
        <w:tc>
          <w:tcPr>
            <w:tcW w:type="dxa" w:w="3600"/>
            <w:tcMar>
              <w:top w:w="80" w:type="dxa"/>
              <w:bottom w:w="80" w:type="dxa"/>
              <w:start w:w="120" w:type="dxa"/>
              <w:end w:w="120" w:type="dxa"/>
            </w:tcMar>
            <w:shd w:fill="E8EEF5"/>
          </w:tcPr>
          <w:p>
            <w:pPr>
              <w:pStyle w:val="TableText"/>
            </w:pPr>
            <w:r>
              <w:rPr>
                <w:b/>
              </w:rPr>
              <w:t>P0 behavior</w:t>
            </w:r>
          </w:p>
        </w:tc>
        <w:tc>
          <w:tcPr>
            <w:tcW w:type="dxa" w:w="3610"/>
            <w:tcMar>
              <w:top w:w="80" w:type="dxa"/>
              <w:bottom w:w="80" w:type="dxa"/>
              <w:start w:w="120" w:type="dxa"/>
              <w:end w:w="120" w:type="dxa"/>
            </w:tcMar>
            <w:shd w:fill="E8EEF5"/>
          </w:tcPr>
          <w:p>
            <w:pPr>
              <w:pStyle w:val="TableText"/>
            </w:pPr>
            <w:r>
              <w:rPr>
                <w:b/>
              </w:rPr>
              <w:t>Interpretation limit</w:t>
            </w:r>
          </w:p>
        </w:tc>
      </w:tr>
      <w:tr>
        <w:trPr>
          <w:cantSplit/>
        </w:trPr>
        <w:tc>
          <w:tcPr>
            <w:tcW w:type="dxa" w:w="2150"/>
            <w:tcMar>
              <w:top w:w="80" w:type="dxa"/>
              <w:bottom w:w="80" w:type="dxa"/>
              <w:start w:w="120" w:type="dxa"/>
              <w:end w:w="120" w:type="dxa"/>
            </w:tcMar>
          </w:tcPr>
          <w:p>
            <w:pPr>
              <w:pStyle w:val="TableText"/>
            </w:pPr>
            <w:r>
              <w:t>Morning activity</w:t>
              <w:br/>
              <w:t>06:00–09:00</w:t>
            </w:r>
          </w:p>
        </w:tc>
        <w:tc>
          <w:tcPr>
            <w:tcW w:type="dxa" w:w="3600"/>
            <w:tcMar>
              <w:top w:w="80" w:type="dxa"/>
              <w:bottom w:w="80" w:type="dxa"/>
              <w:start w:w="120" w:type="dxa"/>
              <w:end w:w="120" w:type="dxa"/>
            </w:tcMar>
          </w:tcPr>
          <w:p>
            <w:pPr>
              <w:pStyle w:val="TableText"/>
            </w:pPr>
            <w:r>
              <w:t>Hallway OR kitchen movement counts as observed activity; keep location/time.</w:t>
            </w:r>
          </w:p>
        </w:tc>
        <w:tc>
          <w:tcPr>
            <w:tcW w:type="dxa" w:w="3610"/>
            <w:tcMar>
              <w:top w:w="80" w:type="dxa"/>
              <w:bottom w:w="80" w:type="dxa"/>
              <w:start w:w="120" w:type="dxa"/>
              <w:end w:w="120" w:type="dxa"/>
            </w:tcMar>
          </w:tcPr>
          <w:p>
            <w:pPr>
              <w:pStyle w:val="TableText"/>
            </w:pPr>
            <w:r>
              <w:t>No prescribed room sequence or resident identity.</w:t>
            </w:r>
          </w:p>
        </w:tc>
      </w:tr>
      <w:tr>
        <w:trPr>
          <w:cantSplit/>
        </w:trPr>
        <w:tc>
          <w:tcPr>
            <w:tcW w:type="dxa" w:w="2150"/>
            <w:tcMar>
              <w:top w:w="80" w:type="dxa"/>
              <w:bottom w:w="80" w:type="dxa"/>
              <w:start w:w="120" w:type="dxa"/>
              <w:end w:w="120" w:type="dxa"/>
            </w:tcMar>
          </w:tcPr>
          <w:p>
            <w:pPr>
              <w:pStyle w:val="TableText"/>
            </w:pPr>
            <w:r>
              <w:t>Explicit morning check-in</w:t>
            </w:r>
          </w:p>
        </w:tc>
        <w:tc>
          <w:tcPr>
            <w:tcW w:type="dxa" w:w="3600"/>
            <w:tcMar>
              <w:top w:w="80" w:type="dxa"/>
              <w:bottom w:w="80" w:type="dxa"/>
              <w:start w:w="120" w:type="dxa"/>
              <w:end w:w="120" w:type="dxa"/>
            </w:tcMar>
          </w:tcPr>
          <w:p>
            <w:pPr>
              <w:pStyle w:val="TableText"/>
            </w:pPr>
            <w:r>
              <w:t>I’m OK button records a separate self-report; optional local reminder at deadline.</w:t>
            </w:r>
          </w:p>
        </w:tc>
        <w:tc>
          <w:tcPr>
            <w:tcW w:type="dxa" w:w="3610"/>
            <w:tcMar>
              <w:top w:w="80" w:type="dxa"/>
              <w:bottom w:w="80" w:type="dxa"/>
              <w:start w:w="120" w:type="dxa"/>
              <w:end w:w="120" w:type="dxa"/>
            </w:tcMar>
          </w:tcPr>
          <w:p>
            <w:pPr>
              <w:pStyle w:val="TableText"/>
            </w:pPr>
            <w:r>
              <w:t>A button press is not a clinical assessment.</w:t>
            </w:r>
          </w:p>
        </w:tc>
      </w:tr>
      <w:tr>
        <w:trPr>
          <w:cantSplit/>
        </w:trPr>
        <w:tc>
          <w:tcPr>
            <w:tcW w:type="dxa" w:w="2150"/>
            <w:tcMar>
              <w:top w:w="80" w:type="dxa"/>
              <w:bottom w:w="80" w:type="dxa"/>
              <w:start w:w="120" w:type="dxa"/>
              <w:end w:w="120" w:type="dxa"/>
            </w:tcMar>
          </w:tcPr>
          <w:p>
            <w:pPr>
              <w:pStyle w:val="TableText"/>
            </w:pPr>
            <w:r>
              <w:t>No evidence by deadline</w:t>
            </w:r>
          </w:p>
        </w:tc>
        <w:tc>
          <w:tcPr>
            <w:tcW w:type="dxa" w:w="3600"/>
            <w:tcMar>
              <w:top w:w="80" w:type="dxa"/>
              <w:bottom w:w="80" w:type="dxa"/>
              <w:start w:w="120" w:type="dxa"/>
              <w:end w:w="120" w:type="dxa"/>
            </w:tcMar>
          </w:tcPr>
          <w:p>
            <w:pPr>
              <w:pStyle w:val="TableText"/>
            </w:pPr>
            <w:r>
              <w:t>If eligible coverage exists, wait the configured 15-minute grace, then ask family to check in.</w:t>
            </w:r>
          </w:p>
        </w:tc>
        <w:tc>
          <w:tcPr>
            <w:tcW w:type="dxa" w:w="3610"/>
            <w:tcMar>
              <w:top w:w="80" w:type="dxa"/>
              <w:bottom w:w="80" w:type="dxa"/>
              <w:start w:w="120" w:type="dxa"/>
              <w:end w:w="120" w:type="dxa"/>
            </w:tcMar>
          </w:tcPr>
          <w:p>
            <w:pPr>
              <w:pStyle w:val="TableText"/>
            </w:pPr>
            <w:r>
              <w:t>If coverage is incomplete, report unknown observation instead.</w:t>
            </w:r>
          </w:p>
        </w:tc>
      </w:tr>
      <w:tr>
        <w:trPr>
          <w:cantSplit/>
        </w:trPr>
        <w:tc>
          <w:tcPr>
            <w:tcW w:type="dxa" w:w="2150"/>
            <w:tcMar>
              <w:top w:w="80" w:type="dxa"/>
              <w:bottom w:w="80" w:type="dxa"/>
              <w:start w:w="120" w:type="dxa"/>
              <w:end w:w="120" w:type="dxa"/>
            </w:tcMar>
          </w:tcPr>
          <w:p>
            <w:pPr>
              <w:pStyle w:val="TableText"/>
            </w:pPr>
            <w:r>
              <w:t>Kitchen activity</w:t>
            </w:r>
          </w:p>
        </w:tc>
        <w:tc>
          <w:tcPr>
            <w:tcW w:type="dxa" w:w="3600"/>
            <w:tcMar>
              <w:top w:w="80" w:type="dxa"/>
              <w:bottom w:w="80" w:type="dxa"/>
              <w:start w:w="120" w:type="dxa"/>
              <w:end w:w="120" w:type="dxa"/>
            </w:tcMar>
          </w:tcPr>
          <w:p>
            <w:pPr>
              <w:pStyle w:val="TableText"/>
            </w:pPr>
            <w:r>
              <w:t>Include movement in the evidence timeline.</w:t>
            </w:r>
          </w:p>
        </w:tc>
        <w:tc>
          <w:tcPr>
            <w:tcW w:type="dxa" w:w="3610"/>
            <w:tcMar>
              <w:top w:w="80" w:type="dxa"/>
              <w:bottom w:w="80" w:type="dxa"/>
              <w:start w:w="120" w:type="dxa"/>
              <w:end w:w="120" w:type="dxa"/>
            </w:tcMar>
          </w:tcPr>
          <w:p>
            <w:pPr>
              <w:pStyle w:val="TableText"/>
            </w:pPr>
            <w:r>
              <w:t>Does not prove breakfast, water or medication intake.</w:t>
            </w:r>
          </w:p>
        </w:tc>
      </w:tr>
      <w:tr>
        <w:trPr>
          <w:cantSplit/>
        </w:trPr>
        <w:tc>
          <w:tcPr>
            <w:tcW w:type="dxa" w:w="2150"/>
            <w:tcMar>
              <w:top w:w="80" w:type="dxa"/>
              <w:bottom w:w="80" w:type="dxa"/>
              <w:start w:w="120" w:type="dxa"/>
              <w:end w:w="120" w:type="dxa"/>
            </w:tcMar>
          </w:tcPr>
          <w:p>
            <w:pPr>
              <w:pStyle w:val="TableText"/>
            </w:pPr>
            <w:r>
              <w:t>Main-door quiet hours</w:t>
            </w:r>
          </w:p>
        </w:tc>
        <w:tc>
          <w:tcPr>
            <w:tcW w:type="dxa" w:w="3600"/>
            <w:tcMar>
              <w:top w:w="80" w:type="dxa"/>
              <w:bottom w:w="80" w:type="dxa"/>
              <w:start w:w="120" w:type="dxa"/>
              <w:end w:w="120" w:type="dxa"/>
            </w:tcMar>
          </w:tcPr>
          <w:p>
            <w:pPr>
              <w:pStyle w:val="TableText"/>
            </w:pPr>
            <w:r>
              <w:t>Opt-in event notice with a repeat cap.</w:t>
            </w:r>
          </w:p>
        </w:tc>
        <w:tc>
          <w:tcPr>
            <w:tcW w:type="dxa" w:w="3610"/>
            <w:tcMar>
              <w:top w:w="80" w:type="dxa"/>
              <w:bottom w:w="80" w:type="dxa"/>
              <w:start w:w="120" w:type="dxa"/>
              <w:end w:w="120" w:type="dxa"/>
            </w:tcMar>
          </w:tcPr>
          <w:p>
            <w:pPr>
              <w:pStyle w:val="TableText"/>
            </w:pPr>
            <w:r>
              <w:t>No inferred departure/return or automatic away mode.</w:t>
            </w:r>
          </w:p>
        </w:tc>
      </w:tr>
      <w:tr>
        <w:trPr>
          <w:cantSplit/>
        </w:trPr>
        <w:tc>
          <w:tcPr>
            <w:tcW w:type="dxa" w:w="2150"/>
            <w:tcMar>
              <w:top w:w="80" w:type="dxa"/>
              <w:bottom w:w="80" w:type="dxa"/>
              <w:start w:w="120" w:type="dxa"/>
              <w:end w:w="120" w:type="dxa"/>
            </w:tcMar>
          </w:tcPr>
          <w:p>
            <w:pPr>
              <w:pStyle w:val="TableText"/>
            </w:pPr>
            <w:r>
              <w:t>Daily recap</w:t>
            </w:r>
          </w:p>
        </w:tc>
        <w:tc>
          <w:tcPr>
            <w:tcW w:type="dxa" w:w="3600"/>
            <w:tcMar>
              <w:top w:w="80" w:type="dxa"/>
              <w:bottom w:w="80" w:type="dxa"/>
              <w:start w:w="120" w:type="dxa"/>
              <w:end w:w="120" w:type="dxa"/>
            </w:tcMar>
          </w:tcPr>
          <w:p>
            <w:pPr>
              <w:pStyle w:val="TableText"/>
            </w:pPr>
            <w:r>
              <w:t>One opt-in summary after the morning window.</w:t>
            </w:r>
          </w:p>
        </w:tc>
        <w:tc>
          <w:tcPr>
            <w:tcW w:type="dxa" w:w="3610"/>
            <w:tcMar>
              <w:top w:w="80" w:type="dxa"/>
              <w:bottom w:w="80" w:type="dxa"/>
              <w:start w:w="120" w:type="dxa"/>
              <w:end w:w="120" w:type="dxa"/>
            </w:tcMar>
          </w:tcPr>
          <w:p>
            <w:pPr>
              <w:pStyle w:val="TableText"/>
            </w:pPr>
            <w:r>
              <w:t>Never clears an unresolved contact request.</w:t>
            </w:r>
          </w:p>
        </w:tc>
      </w:tr>
      <w:tr>
        <w:trPr>
          <w:cantSplit/>
        </w:trPr>
        <w:tc>
          <w:tcPr>
            <w:tcW w:type="dxa" w:w="2150"/>
            <w:tcMar>
              <w:top w:w="80" w:type="dxa"/>
              <w:bottom w:w="80" w:type="dxa"/>
              <w:start w:w="120" w:type="dxa"/>
              <w:end w:w="120" w:type="dxa"/>
            </w:tcMar>
          </w:tcPr>
          <w:p>
            <w:pPr>
              <w:pStyle w:val="TableText"/>
            </w:pPr>
            <w:r>
              <w:t>Away / guests / privacy</w:t>
            </w:r>
          </w:p>
        </w:tc>
        <w:tc>
          <w:tcPr>
            <w:tcW w:type="dxa" w:w="3600"/>
            <w:tcMar>
              <w:top w:w="80" w:type="dxa"/>
              <w:bottom w:w="80" w:type="dxa"/>
              <w:start w:w="120" w:type="dxa"/>
              <w:end w:w="120" w:type="dxa"/>
            </w:tcMar>
          </w:tcPr>
          <w:p>
            <w:pPr>
              <w:pStyle w:val="TableText"/>
            </w:pPr>
            <w:r>
              <w:t>Explicit modes change interpretation and data collection; visible locally and remotely.</w:t>
            </w:r>
          </w:p>
        </w:tc>
        <w:tc>
          <w:tcPr>
            <w:tcW w:type="dxa" w:w="3610"/>
            <w:tcMar>
              <w:top w:w="80" w:type="dxa"/>
              <w:bottom w:w="80" w:type="dxa"/>
              <w:start w:w="120" w:type="dxa"/>
              <w:end w:w="120" w:type="dxa"/>
            </w:tcMar>
          </w:tcPr>
          <w:p>
            <w:pPr>
              <w:pStyle w:val="TableText"/>
            </w:pPr>
            <w:r>
              <w:t>Visitors, pets and domestic workers can confound PIR evidence.</w:t>
            </w:r>
          </w:p>
        </w:tc>
      </w:tr>
    </w:tbl>
    <w:p>
      <w:pPr>
        <w:pStyle w:val="TableSpacer"/>
      </w:pPr>
    </w:p>
    <w:p>
      <w:pPr>
        <w:pStyle w:val="Heading2"/>
      </w:pPr>
      <w:r>
        <w:rPr>
          <w:color w:val="000000"/>
        </w:rPr>
        <w:t>Decisions requiring confirmation before hardware freeze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410"/>
        <w:gridCol w:w="430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410"/>
            <w:tcMar>
              <w:top w:w="80" w:type="dxa"/>
              <w:bottom w:w="80" w:type="dxa"/>
              <w:start w:w="120" w:type="dxa"/>
              <w:end w:w="120" w:type="dxa"/>
            </w:tcMar>
            <w:shd w:fill="E8EEF5"/>
          </w:tcPr>
          <w:p>
            <w:pPr>
              <w:pStyle w:val="TableText"/>
            </w:pPr>
            <w:r>
              <w:rPr>
                <w:b/>
              </w:rPr>
              <w:t>Proposed baseline / unresolved item</w:t>
            </w:r>
          </w:p>
        </w:tc>
        <w:tc>
          <w:tcPr>
            <w:tcW w:type="dxa" w:w="4300"/>
            <w:tcMar>
              <w:top w:w="80" w:type="dxa"/>
              <w:bottom w:w="80" w:type="dxa"/>
              <w:start w:w="120" w:type="dxa"/>
              <w:end w:w="120" w:type="dxa"/>
            </w:tcMar>
            <w:shd w:fill="E8EEF5"/>
          </w:tcPr>
          <w:p>
            <w:pPr>
              <w:pStyle w:val="TableText"/>
            </w:pPr>
            <w:r>
              <w:rPr>
                <w:b/>
              </w:rPr>
              <w:t>Exit before build or field use</w:t>
            </w:r>
          </w:p>
        </w:tc>
      </w:tr>
      <w:tr>
        <w:trPr>
          <w:cantSplit/>
        </w:trPr>
        <w:tc>
          <w:tcPr>
            <w:tcW w:type="dxa" w:w="650"/>
            <w:tcMar>
              <w:top w:w="80" w:type="dxa"/>
              <w:bottom w:w="80" w:type="dxa"/>
              <w:start w:w="120" w:type="dxa"/>
              <w:end w:w="120" w:type="dxa"/>
            </w:tcMar>
          </w:tcPr>
          <w:p>
            <w:pPr>
              <w:pStyle w:val="TableText"/>
            </w:pPr>
            <w:r>
              <w:t>D01</w:t>
            </w:r>
          </w:p>
        </w:tc>
        <w:tc>
          <w:tcPr>
            <w:tcW w:type="dxa" w:w="4410"/>
            <w:tcMar>
              <w:top w:w="80" w:type="dxa"/>
              <w:bottom w:w="80" w:type="dxa"/>
              <w:start w:w="120" w:type="dxa"/>
              <w:end w:w="120" w:type="dxa"/>
            </w:tcMar>
          </w:tcPr>
          <w:p>
            <w:pPr>
              <w:pStyle w:val="TableText"/>
            </w:pPr>
            <w:r>
              <w:t>USB-powered hub with rechargeable backup is recommended, despite the original battery-only preference.</w:t>
            </w:r>
          </w:p>
        </w:tc>
        <w:tc>
          <w:tcPr>
            <w:tcW w:type="dxa" w:w="4300"/>
            <w:tcMar>
              <w:top w:w="80" w:type="dxa"/>
              <w:bottom w:w="80" w:type="dxa"/>
              <w:start w:w="120" w:type="dxa"/>
              <w:end w:w="120" w:type="dxa"/>
            </w:tcMar>
          </w:tcPr>
          <w:p>
            <w:pPr>
              <w:pStyle w:val="TableText"/>
            </w:pPr>
            <w:r>
              <w:t>Measure battery-side current/runtime; obtain agreement before production power design.</w:t>
            </w:r>
          </w:p>
        </w:tc>
      </w:tr>
      <w:tr>
        <w:trPr>
          <w:cantSplit/>
        </w:trPr>
        <w:tc>
          <w:tcPr>
            <w:tcW w:type="dxa" w:w="650"/>
            <w:tcMar>
              <w:top w:w="80" w:type="dxa"/>
              <w:bottom w:w="80" w:type="dxa"/>
              <w:start w:w="120" w:type="dxa"/>
              <w:end w:w="120" w:type="dxa"/>
            </w:tcMar>
          </w:tcPr>
          <w:p>
            <w:pPr>
              <w:pStyle w:val="TableText"/>
            </w:pPr>
            <w:r>
              <w:t>D02</w:t>
            </w:r>
          </w:p>
        </w:tc>
        <w:tc>
          <w:tcPr>
            <w:tcW w:type="dxa" w:w="4410"/>
            <w:tcMar>
              <w:top w:w="80" w:type="dxa"/>
              <w:bottom w:w="80" w:type="dxa"/>
              <w:start w:w="120" w:type="dxa"/>
              <w:end w:w="120" w:type="dxa"/>
            </w:tcMar>
          </w:tcPr>
          <w:p>
            <w:pPr>
              <w:pStyle w:val="TableText"/>
            </w:pPr>
            <w:r>
              <w:t>“BLC” may mean BL-5C, but exact pack is unknown.</w:t>
            </w:r>
          </w:p>
        </w:tc>
        <w:tc>
          <w:tcPr>
            <w:tcW w:type="dxa" w:w="4300"/>
            <w:tcMar>
              <w:top w:w="80" w:type="dxa"/>
              <w:bottom w:w="80" w:type="dxa"/>
              <w:start w:w="120" w:type="dxa"/>
              <w:end w:w="120" w:type="dxa"/>
            </w:tcMar>
          </w:tcPr>
          <w:p>
            <w:pPr>
              <w:pStyle w:val="TableText"/>
            </w:pPr>
            <w:r>
              <w:t>Obtain model, chemistry, rated voltage/capacity, protection, terminals and permitted charge current.</w:t>
            </w:r>
          </w:p>
        </w:tc>
      </w:tr>
      <w:tr>
        <w:trPr>
          <w:cantSplit/>
        </w:trPr>
        <w:tc>
          <w:tcPr>
            <w:tcW w:type="dxa" w:w="650"/>
            <w:tcMar>
              <w:top w:w="80" w:type="dxa"/>
              <w:bottom w:w="80" w:type="dxa"/>
              <w:start w:w="120" w:type="dxa"/>
              <w:end w:w="120" w:type="dxa"/>
            </w:tcMar>
          </w:tcPr>
          <w:p>
            <w:pPr>
              <w:pStyle w:val="TableText"/>
            </w:pPr>
            <w:r>
              <w:t>D03</w:t>
            </w:r>
          </w:p>
        </w:tc>
        <w:tc>
          <w:tcPr>
            <w:tcW w:type="dxa" w:w="4410"/>
            <w:tcMar>
              <w:top w:w="80" w:type="dxa"/>
              <w:bottom w:w="80" w:type="dxa"/>
              <w:start w:w="120" w:type="dxa"/>
              <w:end w:w="120" w:type="dxa"/>
            </w:tcMar>
          </w:tcPr>
          <w:p>
            <w:pPr>
              <w:pStyle w:val="TableText"/>
            </w:pPr>
            <w:r>
              <w:t>Two action buttons replace a multifunction button; add a privacy switch.</w:t>
            </w:r>
          </w:p>
        </w:tc>
        <w:tc>
          <w:tcPr>
            <w:tcW w:type="dxa" w:w="4300"/>
            <w:tcMar>
              <w:top w:w="80" w:type="dxa"/>
              <w:bottom w:w="80" w:type="dxa"/>
              <w:start w:w="120" w:type="dxa"/>
              <w:end w:w="120" w:type="dxa"/>
            </w:tcMar>
          </w:tcPr>
          <w:p>
            <w:pPr>
              <w:pStyle w:val="TableText"/>
            </w:pPr>
            <w:r>
              <w:t>Resident usability test of labels, reach and accidental activation.</w:t>
            </w:r>
          </w:p>
        </w:tc>
      </w:tr>
      <w:tr>
        <w:trPr>
          <w:cantSplit/>
        </w:trPr>
        <w:tc>
          <w:tcPr>
            <w:tcW w:type="dxa" w:w="650"/>
            <w:tcMar>
              <w:top w:w="80" w:type="dxa"/>
              <w:bottom w:w="80" w:type="dxa"/>
              <w:start w:w="120" w:type="dxa"/>
              <w:end w:w="120" w:type="dxa"/>
            </w:tcMar>
          </w:tcPr>
          <w:p>
            <w:pPr>
              <w:pStyle w:val="TableText"/>
            </w:pPr>
            <w:r>
              <w:t>D04</w:t>
            </w:r>
          </w:p>
        </w:tc>
        <w:tc>
          <w:tcPr>
            <w:tcW w:type="dxa" w:w="4410"/>
            <w:tcMar>
              <w:top w:w="80" w:type="dxa"/>
              <w:bottom w:w="80" w:type="dxa"/>
              <w:start w:w="120" w:type="dxa"/>
              <w:end w:w="120" w:type="dxa"/>
            </w:tcMar>
          </w:tcPr>
          <w:p>
            <w:pPr>
              <w:pStyle w:val="TableText"/>
            </w:pPr>
            <w:r>
              <w:t>Assisted USB provisioning; PWA remote interface; Web Push only.</w:t>
            </w:r>
          </w:p>
        </w:tc>
        <w:tc>
          <w:tcPr>
            <w:tcW w:type="dxa" w:w="4300"/>
            <w:tcMar>
              <w:top w:w="80" w:type="dxa"/>
              <w:bottom w:w="80" w:type="dxa"/>
              <w:start w:w="120" w:type="dxa"/>
              <w:end w:w="120" w:type="dxa"/>
            </w:tcMar>
          </w:tcPr>
          <w:p>
            <w:pPr>
              <w:pStyle w:val="TableText"/>
            </w:pPr>
            <w:r>
              <w:t>Test target phones and installation process before unattended pilot.</w:t>
            </w:r>
          </w:p>
        </w:tc>
      </w:tr>
      <w:tr>
        <w:trPr>
          <w:cantSplit/>
        </w:trPr>
        <w:tc>
          <w:tcPr>
            <w:tcW w:type="dxa" w:w="650"/>
            <w:tcMar>
              <w:top w:w="80" w:type="dxa"/>
              <w:bottom w:w="80" w:type="dxa"/>
              <w:start w:w="120" w:type="dxa"/>
              <w:end w:w="120" w:type="dxa"/>
            </w:tcMar>
          </w:tcPr>
          <w:p>
            <w:pPr>
              <w:pStyle w:val="TableText"/>
            </w:pPr>
            <w:r>
              <w:t>D05</w:t>
            </w:r>
          </w:p>
        </w:tc>
        <w:tc>
          <w:tcPr>
            <w:tcW w:type="dxa" w:w="4410"/>
            <w:tcMar>
              <w:top w:w="80" w:type="dxa"/>
              <w:bottom w:w="80" w:type="dxa"/>
              <w:start w:w="120" w:type="dxa"/>
              <w:end w:w="120" w:type="dxa"/>
            </w:tcMar>
          </w:tcPr>
          <w:p>
            <w:pPr>
              <w:pStyle w:val="TableText"/>
            </w:pPr>
            <w:r>
              <w:t>Use exact board profiles; no guessed GPIO pinout.</w:t>
            </w:r>
          </w:p>
        </w:tc>
        <w:tc>
          <w:tcPr>
            <w:tcW w:type="dxa" w:w="4300"/>
            <w:tcMar>
              <w:top w:w="80" w:type="dxa"/>
              <w:bottom w:w="80" w:type="dxa"/>
              <w:start w:w="120" w:type="dxa"/>
              <w:end w:w="120" w:type="dxa"/>
            </w:tcMar>
          </w:tcPr>
          <w:p>
            <w:pPr>
              <w:pStyle w:val="TableText"/>
            </w:pPr>
            <w:r>
              <w:t>Schematic/pin audit, flash size, wake-capable pins and charge circuit review.</w:t>
            </w:r>
          </w:p>
        </w:tc>
      </w:tr>
      <w:tr>
        <w:trPr>
          <w:cantSplit/>
        </w:trPr>
        <w:tc>
          <w:tcPr>
            <w:tcW w:type="dxa" w:w="650"/>
            <w:tcMar>
              <w:top w:w="80" w:type="dxa"/>
              <w:bottom w:w="80" w:type="dxa"/>
              <w:start w:w="120" w:type="dxa"/>
              <w:end w:w="120" w:type="dxa"/>
            </w:tcMar>
          </w:tcPr>
          <w:p>
            <w:pPr>
              <w:pStyle w:val="TableText"/>
            </w:pPr>
            <w:r>
              <w:t>D06</w:t>
            </w:r>
          </w:p>
        </w:tc>
        <w:tc>
          <w:tcPr>
            <w:tcW w:type="dxa" w:w="4410"/>
            <w:tcMar>
              <w:top w:w="80" w:type="dxa"/>
              <w:bottom w:w="80" w:type="dxa"/>
              <w:start w:w="120" w:type="dxa"/>
              <w:end w:w="120" w:type="dxa"/>
            </w:tcMar>
          </w:tcPr>
          <w:p>
            <w:pPr>
              <w:pStyle w:val="TableText"/>
            </w:pPr>
            <w:r>
              <w:t>Prototype is not safety-certified or a medical service.</w:t>
            </w:r>
          </w:p>
        </w:tc>
        <w:tc>
          <w:tcPr>
            <w:tcW w:type="dxa" w:w="4300"/>
            <w:tcMar>
              <w:top w:w="80" w:type="dxa"/>
              <w:bottom w:w="80" w:type="dxa"/>
              <w:start w:w="120" w:type="dxa"/>
              <w:end w:w="120" w:type="dxa"/>
            </w:tcMar>
          </w:tcPr>
          <w:p>
            <w:pPr>
              <w:pStyle w:val="TableText"/>
            </w:pPr>
            <w:r>
              <w:t>Intended-use, product-claims, electrical/radio/privacy and customer-terms review before paid launch.</w:t>
            </w:r>
          </w:p>
        </w:tc>
      </w:tr>
    </w:tbl>
    <w:p>
      <w:pPr>
        <w:pStyle w:val="TableSpacer"/>
      </w:pPr>
    </w:p>
    <w:p>
      <w:bookmarkStart w:id="2" w:name="catalog"/>
      <w:pPr>
        <w:pStyle w:val="Heading1"/>
        <w:pageBreakBefore/>
      </w:pPr>
      <w:r>
        <w:rPr>
          <w:color w:val="000000"/>
        </w:rPr>
        <w:t>2. Complete P0 catalogue</w:t>
      </w:r>
      <w:bookmarkEnd w:id="2"/>
    </w:p>
    <w:p>
      <w:pPr>
        <w:pStyle w:val="SpecBody"/>
      </w:pPr>
      <w:r>
        <w:t>All 24 items belong to P0. Bench delivery may stub external recipients or use USB maintenance, but the unattended pilot shall satisfy every relevant acceptance test. IDs remain stable across backlog, code reviews, tests and release evidence. Each detailed feature page lists its owning modules and expected test results.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800"/>
        <w:gridCol w:w="391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800"/>
            <w:tcMar>
              <w:top w:w="80" w:type="dxa"/>
              <w:bottom w:w="80" w:type="dxa"/>
              <w:start w:w="120" w:type="dxa"/>
              <w:end w:w="120" w:type="dxa"/>
            </w:tcMar>
            <w:shd w:fill="E8EEF5"/>
          </w:tcPr>
          <w:p>
            <w:pPr>
              <w:pStyle w:val="TableText"/>
            </w:pPr>
            <w:r>
              <w:rPr>
                <w:b/>
              </w:rPr>
              <w:t>Feature</w:t>
            </w:r>
          </w:p>
        </w:tc>
        <w:tc>
          <w:tcPr>
            <w:tcW w:type="dxa" w:w="3910"/>
            <w:tcMar>
              <w:top w:w="80" w:type="dxa"/>
              <w:bottom w:w="80" w:type="dxa"/>
              <w:start w:w="120" w:type="dxa"/>
              <w:end w:w="120" w:type="dxa"/>
            </w:tcMar>
            <w:shd w:fill="E8EEF5"/>
          </w:tcPr>
          <w:p>
            <w:pPr>
              <w:pStyle w:val="TableText"/>
            </w:pPr>
            <w:r>
              <w:rPr>
                <w:b/>
              </w:rPr>
              <w:t>Primary ownership</w:t>
            </w:r>
          </w:p>
        </w:tc>
      </w:tr>
      <w:tr>
        <w:trPr>
          <w:cantSplit/>
        </w:trPr>
        <w:tc>
          <w:tcPr>
            <w:tcW w:type="dxa" w:w="650"/>
            <w:tcMar>
              <w:top w:w="80" w:type="dxa"/>
              <w:bottom w:w="80" w:type="dxa"/>
              <w:start w:w="120" w:type="dxa"/>
              <w:end w:w="120" w:type="dxa"/>
            </w:tcMar>
          </w:tcPr>
          <w:p>
            <w:pPr>
              <w:pStyle w:val="TableText"/>
            </w:pPr>
            <w:r>
              <w:t>F01</w:t>
            </w:r>
          </w:p>
        </w:tc>
        <w:tc>
          <w:tcPr>
            <w:tcW w:type="dxa" w:w="4800"/>
            <w:tcMar>
              <w:top w:w="80" w:type="dxa"/>
              <w:bottom w:w="80" w:type="dxa"/>
              <w:start w:w="120" w:type="dxa"/>
              <w:end w:w="120" w:type="dxa"/>
            </w:tcMar>
          </w:tcPr>
          <w:p>
            <w:pPr>
              <w:pStyle w:val="TableText"/>
            </w:pPr>
            <w:r>
              <w:t>Household profile and caregiver roles</w:t>
            </w:r>
          </w:p>
        </w:tc>
        <w:tc>
          <w:tcPr>
            <w:tcW w:type="dxa" w:w="3910"/>
            <w:tcMar>
              <w:top w:w="80" w:type="dxa"/>
              <w:bottom w:w="80" w:type="dxa"/>
              <w:start w:w="120" w:type="dxa"/>
              <w:end w:w="120" w:type="dxa"/>
            </w:tcMar>
          </w:tcPr>
          <w:p>
            <w:pPr>
              <w:pStyle w:val="TableText"/>
            </w:pPr>
            <w:r>
              <w:t>B01, B02, A01, S01</w:t>
            </w:r>
          </w:p>
        </w:tc>
      </w:tr>
      <w:tr>
        <w:trPr>
          <w:cantSplit/>
        </w:trPr>
        <w:tc>
          <w:tcPr>
            <w:tcW w:type="dxa" w:w="650"/>
            <w:tcMar>
              <w:top w:w="80" w:type="dxa"/>
              <w:bottom w:w="80" w:type="dxa"/>
              <w:start w:w="120" w:type="dxa"/>
              <w:end w:w="120" w:type="dxa"/>
            </w:tcMar>
          </w:tcPr>
          <w:p>
            <w:pPr>
              <w:pStyle w:val="TableText"/>
            </w:pPr>
            <w:r>
              <w:t>F02</w:t>
            </w:r>
          </w:p>
        </w:tc>
        <w:tc>
          <w:tcPr>
            <w:tcW w:type="dxa" w:w="4800"/>
            <w:tcMar>
              <w:top w:w="80" w:type="dxa"/>
              <w:bottom w:w="80" w:type="dxa"/>
              <w:start w:w="120" w:type="dxa"/>
              <w:end w:w="120" w:type="dxa"/>
            </w:tcMar>
          </w:tcPr>
          <w:p>
            <w:pPr>
              <w:pStyle w:val="TableText"/>
            </w:pPr>
            <w:r>
              <w:t>Resident consent and privacy controls</w:t>
            </w:r>
          </w:p>
        </w:tc>
        <w:tc>
          <w:tcPr>
            <w:tcW w:type="dxa" w:w="3910"/>
            <w:tcMar>
              <w:top w:w="80" w:type="dxa"/>
              <w:bottom w:w="80" w:type="dxa"/>
              <w:start w:w="120" w:type="dxa"/>
              <w:end w:w="120" w:type="dxa"/>
            </w:tcMar>
          </w:tcPr>
          <w:p>
            <w:pPr>
              <w:pStyle w:val="TableText"/>
            </w:pPr>
            <w:r>
              <w:t>B02, H06, H07, A01, B08</w:t>
            </w:r>
          </w:p>
        </w:tc>
      </w:tr>
      <w:tr>
        <w:trPr>
          <w:cantSplit/>
        </w:trPr>
        <w:tc>
          <w:tcPr>
            <w:tcW w:type="dxa" w:w="650"/>
            <w:tcMar>
              <w:top w:w="80" w:type="dxa"/>
              <w:bottom w:w="80" w:type="dxa"/>
              <w:start w:w="120" w:type="dxa"/>
              <w:end w:w="120" w:type="dxa"/>
            </w:tcMar>
          </w:tcPr>
          <w:p>
            <w:pPr>
              <w:pStyle w:val="TableText"/>
            </w:pPr>
            <w:r>
              <w:t>F03</w:t>
            </w:r>
          </w:p>
        </w:tc>
        <w:tc>
          <w:tcPr>
            <w:tcW w:type="dxa" w:w="4800"/>
            <w:tcMar>
              <w:top w:w="80" w:type="dxa"/>
              <w:bottom w:w="80" w:type="dxa"/>
              <w:start w:w="120" w:type="dxa"/>
              <w:end w:w="120" w:type="dxa"/>
            </w:tcMar>
          </w:tcPr>
          <w:p>
            <w:pPr>
              <w:pStyle w:val="TableText"/>
            </w:pPr>
            <w:r>
              <w:t>Kit provisioning and installation verification</w:t>
            </w:r>
          </w:p>
        </w:tc>
        <w:tc>
          <w:tcPr>
            <w:tcW w:type="dxa" w:w="3910"/>
            <w:tcMar>
              <w:top w:w="80" w:type="dxa"/>
              <w:bottom w:w="80" w:type="dxa"/>
              <w:start w:w="120" w:type="dxa"/>
              <w:end w:w="120" w:type="dxa"/>
            </w:tcMar>
          </w:tcPr>
          <w:p>
            <w:pPr>
              <w:pStyle w:val="TableText"/>
            </w:pPr>
            <w:r>
              <w:t>N04, H07, B06, A01, S03, T02</w:t>
            </w:r>
          </w:p>
        </w:tc>
      </w:tr>
      <w:tr>
        <w:trPr>
          <w:cantSplit/>
        </w:trPr>
        <w:tc>
          <w:tcPr>
            <w:tcW w:type="dxa" w:w="650"/>
            <w:tcMar>
              <w:top w:w="80" w:type="dxa"/>
              <w:bottom w:w="80" w:type="dxa"/>
              <w:start w:w="120" w:type="dxa"/>
              <w:end w:w="120" w:type="dxa"/>
            </w:tcMar>
          </w:tcPr>
          <w:p>
            <w:pPr>
              <w:pStyle w:val="TableText"/>
            </w:pPr>
            <w:r>
              <w:t>F04</w:t>
            </w:r>
          </w:p>
        </w:tc>
        <w:tc>
          <w:tcPr>
            <w:tcW w:type="dxa" w:w="4800"/>
            <w:tcMar>
              <w:top w:w="80" w:type="dxa"/>
              <w:bottom w:w="80" w:type="dxa"/>
              <w:start w:w="120" w:type="dxa"/>
              <w:end w:w="120" w:type="dxa"/>
            </w:tcMar>
          </w:tcPr>
          <w:p>
            <w:pPr>
              <w:pStyle w:val="TableText"/>
            </w:pPr>
            <w:r>
              <w:t>Configurable morning routine</w:t>
            </w:r>
          </w:p>
        </w:tc>
        <w:tc>
          <w:tcPr>
            <w:tcW w:type="dxa" w:w="3910"/>
            <w:tcMar>
              <w:top w:w="80" w:type="dxa"/>
              <w:bottom w:w="80" w:type="dxa"/>
              <w:start w:w="120" w:type="dxa"/>
              <w:end w:w="120" w:type="dxa"/>
            </w:tcMar>
          </w:tcPr>
          <w:p>
            <w:pPr>
              <w:pStyle w:val="TableText"/>
            </w:pPr>
            <w:r>
              <w:t>A03, B06, H07, H03, H05, S02</w:t>
            </w:r>
          </w:p>
        </w:tc>
      </w:tr>
      <w:tr>
        <w:trPr>
          <w:cantSplit/>
        </w:trPr>
        <w:tc>
          <w:tcPr>
            <w:tcW w:type="dxa" w:w="650"/>
            <w:tcMar>
              <w:top w:w="80" w:type="dxa"/>
              <w:bottom w:w="80" w:type="dxa"/>
              <w:start w:w="120" w:type="dxa"/>
              <w:end w:w="120" w:type="dxa"/>
            </w:tcMar>
          </w:tcPr>
          <w:p>
            <w:pPr>
              <w:pStyle w:val="TableText"/>
            </w:pPr>
            <w:r>
              <w:t>F05</w:t>
            </w:r>
          </w:p>
        </w:tc>
        <w:tc>
          <w:tcPr>
            <w:tcW w:type="dxa" w:w="4800"/>
            <w:tcMar>
              <w:top w:w="80" w:type="dxa"/>
              <w:bottom w:w="80" w:type="dxa"/>
              <w:start w:w="120" w:type="dxa"/>
              <w:end w:w="120" w:type="dxa"/>
            </w:tcMar>
          </w:tcPr>
          <w:p>
            <w:pPr>
              <w:pStyle w:val="TableText"/>
            </w:pPr>
            <w:r>
              <w:t>Morning activity evidence</w:t>
            </w:r>
          </w:p>
        </w:tc>
        <w:tc>
          <w:tcPr>
            <w:tcW w:type="dxa" w:w="3910"/>
            <w:tcMar>
              <w:top w:w="80" w:type="dxa"/>
              <w:bottom w:w="80" w:type="dxa"/>
              <w:start w:w="120" w:type="dxa"/>
              <w:end w:w="120" w:type="dxa"/>
            </w:tcMar>
          </w:tcPr>
          <w:p>
            <w:pPr>
              <w:pStyle w:val="TableText"/>
            </w:pPr>
            <w:r>
              <w:t>N01, H01, H02, H05, S02, B07, A02</w:t>
            </w:r>
          </w:p>
        </w:tc>
      </w:tr>
      <w:tr>
        <w:trPr>
          <w:cantSplit/>
        </w:trPr>
        <w:tc>
          <w:tcPr>
            <w:tcW w:type="dxa" w:w="650"/>
            <w:tcMar>
              <w:top w:w="80" w:type="dxa"/>
              <w:bottom w:w="80" w:type="dxa"/>
              <w:start w:w="120" w:type="dxa"/>
              <w:end w:w="120" w:type="dxa"/>
            </w:tcMar>
          </w:tcPr>
          <w:p>
            <w:pPr>
              <w:pStyle w:val="TableText"/>
            </w:pPr>
            <w:r>
              <w:t>F06</w:t>
            </w:r>
          </w:p>
        </w:tc>
        <w:tc>
          <w:tcPr>
            <w:tcW w:type="dxa" w:w="4800"/>
            <w:tcMar>
              <w:top w:w="80" w:type="dxa"/>
              <w:bottom w:w="80" w:type="dxa"/>
              <w:start w:w="120" w:type="dxa"/>
              <w:end w:w="120" w:type="dxa"/>
            </w:tcMar>
          </w:tcPr>
          <w:p>
            <w:pPr>
              <w:pStyle w:val="TableText"/>
            </w:pPr>
            <w:r>
              <w:t>Explicit “I’m OK” check-in</w:t>
            </w:r>
          </w:p>
        </w:tc>
        <w:tc>
          <w:tcPr>
            <w:tcW w:type="dxa" w:w="3910"/>
            <w:tcMar>
              <w:top w:w="80" w:type="dxa"/>
              <w:bottom w:w="80" w:type="dxa"/>
              <w:start w:w="120" w:type="dxa"/>
              <w:end w:w="120" w:type="dxa"/>
            </w:tcMar>
          </w:tcPr>
          <w:p>
            <w:pPr>
              <w:pStyle w:val="TableText"/>
            </w:pPr>
            <w:r>
              <w:t>H06, H02, H05, S02, B07, A02</w:t>
            </w:r>
          </w:p>
        </w:tc>
      </w:tr>
      <w:tr>
        <w:trPr>
          <w:cantSplit/>
        </w:trPr>
        <w:tc>
          <w:tcPr>
            <w:tcW w:type="dxa" w:w="650"/>
            <w:tcMar>
              <w:top w:w="80" w:type="dxa"/>
              <w:bottom w:w="80" w:type="dxa"/>
              <w:start w:w="120" w:type="dxa"/>
              <w:end w:w="120" w:type="dxa"/>
            </w:tcMar>
          </w:tcPr>
          <w:p>
            <w:pPr>
              <w:pStyle w:val="TableText"/>
            </w:pPr>
            <w:r>
              <w:t>F07</w:t>
            </w:r>
          </w:p>
        </w:tc>
        <w:tc>
          <w:tcPr>
            <w:tcW w:type="dxa" w:w="4800"/>
            <w:tcMar>
              <w:top w:w="80" w:type="dxa"/>
              <w:bottom w:w="80" w:type="dxa"/>
              <w:start w:w="120" w:type="dxa"/>
              <w:end w:w="120" w:type="dxa"/>
            </w:tcMar>
          </w:tcPr>
          <w:p>
            <w:pPr>
              <w:pStyle w:val="TableText"/>
            </w:pPr>
            <w:r>
              <w:t>“Call family” request</w:t>
            </w:r>
          </w:p>
        </w:tc>
        <w:tc>
          <w:tcPr>
            <w:tcW w:type="dxa" w:w="3910"/>
            <w:tcMar>
              <w:top w:w="80" w:type="dxa"/>
              <w:bottom w:w="80" w:type="dxa"/>
              <w:start w:w="120" w:type="dxa"/>
              <w:end w:w="120" w:type="dxa"/>
            </w:tcMar>
          </w:tcPr>
          <w:p>
            <w:pPr>
              <w:pStyle w:val="TableText"/>
            </w:pPr>
            <w:r>
              <w:t>H06, H02, H05, B04, B05, A04</w:t>
            </w:r>
          </w:p>
        </w:tc>
      </w:tr>
      <w:tr>
        <w:trPr>
          <w:cantSplit/>
        </w:trPr>
        <w:tc>
          <w:tcPr>
            <w:tcW w:type="dxa" w:w="650"/>
            <w:tcMar>
              <w:top w:w="80" w:type="dxa"/>
              <w:bottom w:w="80" w:type="dxa"/>
              <w:start w:w="120" w:type="dxa"/>
              <w:end w:w="120" w:type="dxa"/>
            </w:tcMar>
          </w:tcPr>
          <w:p>
            <w:pPr>
              <w:pStyle w:val="TableText"/>
            </w:pPr>
            <w:r>
              <w:t>F08</w:t>
            </w:r>
          </w:p>
        </w:tc>
        <w:tc>
          <w:tcPr>
            <w:tcW w:type="dxa" w:w="4800"/>
            <w:tcMar>
              <w:top w:w="80" w:type="dxa"/>
              <w:bottom w:w="80" w:type="dxa"/>
              <w:start w:w="120" w:type="dxa"/>
              <w:end w:w="120" w:type="dxa"/>
            </w:tcMar>
          </w:tcPr>
          <w:p>
            <w:pPr>
              <w:pStyle w:val="TableText"/>
            </w:pPr>
            <w:r>
              <w:t>Missing morning activity workflow</w:t>
            </w:r>
          </w:p>
        </w:tc>
        <w:tc>
          <w:tcPr>
            <w:tcW w:type="dxa" w:w="3910"/>
            <w:tcMar>
              <w:top w:w="80" w:type="dxa"/>
              <w:bottom w:w="80" w:type="dxa"/>
              <w:start w:w="120" w:type="dxa"/>
              <w:end w:w="120" w:type="dxa"/>
            </w:tcMar>
          </w:tcPr>
          <w:p>
            <w:pPr>
              <w:pStyle w:val="TableText"/>
            </w:pPr>
            <w:r>
              <w:t>H03, H04, H05, S02, B04, B05</w:t>
            </w:r>
          </w:p>
        </w:tc>
      </w:tr>
      <w:tr>
        <w:trPr>
          <w:cantSplit/>
        </w:trPr>
        <w:tc>
          <w:tcPr>
            <w:tcW w:type="dxa" w:w="650"/>
            <w:tcMar>
              <w:top w:w="80" w:type="dxa"/>
              <w:bottom w:w="80" w:type="dxa"/>
              <w:start w:w="120" w:type="dxa"/>
              <w:end w:w="120" w:type="dxa"/>
            </w:tcMar>
          </w:tcPr>
          <w:p>
            <w:pPr>
              <w:pStyle w:val="TableText"/>
            </w:pPr>
            <w:r>
              <w:t>F09</w:t>
            </w:r>
          </w:p>
        </w:tc>
        <w:tc>
          <w:tcPr>
            <w:tcW w:type="dxa" w:w="4800"/>
            <w:tcMar>
              <w:top w:w="80" w:type="dxa"/>
              <w:bottom w:w="80" w:type="dxa"/>
              <w:start w:w="120" w:type="dxa"/>
              <w:end w:w="120" w:type="dxa"/>
            </w:tcMar>
          </w:tcPr>
          <w:p>
            <w:pPr>
              <w:pStyle w:val="TableText"/>
            </w:pPr>
            <w:r>
              <w:t>Main-door event history and quiet-hour notice</w:t>
            </w:r>
          </w:p>
        </w:tc>
        <w:tc>
          <w:tcPr>
            <w:tcW w:type="dxa" w:w="3910"/>
            <w:tcMar>
              <w:top w:w="80" w:type="dxa"/>
              <w:bottom w:w="80" w:type="dxa"/>
              <w:start w:w="120" w:type="dxa"/>
              <w:end w:w="120" w:type="dxa"/>
            </w:tcMar>
          </w:tcPr>
          <w:p>
            <w:pPr>
              <w:pStyle w:val="TableText"/>
            </w:pPr>
            <w:r>
              <w:t>N01, H05, S02, B07, B05, A02</w:t>
            </w:r>
          </w:p>
        </w:tc>
      </w:tr>
      <w:tr>
        <w:trPr>
          <w:cantSplit/>
        </w:trPr>
        <w:tc>
          <w:tcPr>
            <w:tcW w:type="dxa" w:w="650"/>
            <w:tcMar>
              <w:top w:w="80" w:type="dxa"/>
              <w:bottom w:w="80" w:type="dxa"/>
              <w:start w:w="120" w:type="dxa"/>
              <w:end w:w="120" w:type="dxa"/>
            </w:tcMar>
          </w:tcPr>
          <w:p>
            <w:pPr>
              <w:pStyle w:val="TableText"/>
            </w:pPr>
            <w:r>
              <w:t>F10</w:t>
            </w:r>
          </w:p>
        </w:tc>
        <w:tc>
          <w:tcPr>
            <w:tcW w:type="dxa" w:w="4800"/>
            <w:tcMar>
              <w:top w:w="80" w:type="dxa"/>
              <w:bottom w:w="80" w:type="dxa"/>
              <w:start w:w="120" w:type="dxa"/>
              <w:end w:w="120" w:type="dxa"/>
            </w:tcMar>
          </w:tcPr>
          <w:p>
            <w:pPr>
              <w:pStyle w:val="TableText"/>
            </w:pPr>
            <w:r>
              <w:t>Away, pause and visitor modes</w:t>
            </w:r>
          </w:p>
        </w:tc>
        <w:tc>
          <w:tcPr>
            <w:tcW w:type="dxa" w:w="3910"/>
            <w:tcMar>
              <w:top w:w="80" w:type="dxa"/>
              <w:bottom w:w="80" w:type="dxa"/>
              <w:start w:w="120" w:type="dxa"/>
              <w:end w:w="120" w:type="dxa"/>
            </w:tcMar>
          </w:tcPr>
          <w:p>
            <w:pPr>
              <w:pStyle w:val="TableText"/>
            </w:pPr>
            <w:r>
              <w:t>A03, B02, H07, H06, H05, S02</w:t>
            </w:r>
          </w:p>
        </w:tc>
      </w:tr>
      <w:tr>
        <w:trPr>
          <w:cantSplit/>
        </w:trPr>
        <w:tc>
          <w:tcPr>
            <w:tcW w:type="dxa" w:w="650"/>
            <w:tcMar>
              <w:top w:w="80" w:type="dxa"/>
              <w:bottom w:w="80" w:type="dxa"/>
              <w:start w:w="120" w:type="dxa"/>
              <w:end w:w="120" w:type="dxa"/>
            </w:tcMar>
          </w:tcPr>
          <w:p>
            <w:pPr>
              <w:pStyle w:val="TableText"/>
            </w:pPr>
            <w:r>
              <w:t>F11</w:t>
            </w:r>
          </w:p>
        </w:tc>
        <w:tc>
          <w:tcPr>
            <w:tcW w:type="dxa" w:w="4800"/>
            <w:tcMar>
              <w:top w:w="80" w:type="dxa"/>
              <w:bottom w:w="80" w:type="dxa"/>
              <w:start w:w="120" w:type="dxa"/>
              <w:end w:w="120" w:type="dxa"/>
            </w:tcMar>
          </w:tcPr>
          <w:p>
            <w:pPr>
              <w:pStyle w:val="TableText"/>
            </w:pPr>
            <w:r>
              <w:t>Caregiver home screen and evidence timeline</w:t>
            </w:r>
          </w:p>
        </w:tc>
        <w:tc>
          <w:tcPr>
            <w:tcW w:type="dxa" w:w="3910"/>
            <w:tcMar>
              <w:top w:w="80" w:type="dxa"/>
              <w:bottom w:w="80" w:type="dxa"/>
              <w:start w:w="120" w:type="dxa"/>
              <w:end w:w="120" w:type="dxa"/>
            </w:tcMar>
          </w:tcPr>
          <w:p>
            <w:pPr>
              <w:pStyle w:val="TableText"/>
            </w:pPr>
            <w:r>
              <w:t>B07, B08, A02, A05</w:t>
            </w:r>
          </w:p>
        </w:tc>
      </w:tr>
      <w:tr>
        <w:trPr>
          <w:cantSplit/>
        </w:trPr>
        <w:tc>
          <w:tcPr>
            <w:tcW w:type="dxa" w:w="650"/>
            <w:tcMar>
              <w:top w:w="80" w:type="dxa"/>
              <w:bottom w:w="80" w:type="dxa"/>
              <w:start w:w="120" w:type="dxa"/>
              <w:end w:w="120" w:type="dxa"/>
            </w:tcMar>
          </w:tcPr>
          <w:p>
            <w:pPr>
              <w:pStyle w:val="TableText"/>
            </w:pPr>
            <w:r>
              <w:t>F12</w:t>
            </w:r>
          </w:p>
        </w:tc>
        <w:tc>
          <w:tcPr>
            <w:tcW w:type="dxa" w:w="4800"/>
            <w:tcMar>
              <w:top w:w="80" w:type="dxa"/>
              <w:bottom w:w="80" w:type="dxa"/>
              <w:start w:w="120" w:type="dxa"/>
              <w:end w:w="120" w:type="dxa"/>
            </w:tcMar>
          </w:tcPr>
          <w:p>
            <w:pPr>
              <w:pStyle w:val="TableText"/>
            </w:pPr>
            <w:r>
              <w:t>Caregiver acknowledgement and resolution</w:t>
            </w:r>
          </w:p>
        </w:tc>
        <w:tc>
          <w:tcPr>
            <w:tcW w:type="dxa" w:w="3910"/>
            <w:tcMar>
              <w:top w:w="80" w:type="dxa"/>
              <w:bottom w:w="80" w:type="dxa"/>
              <w:start w:w="120" w:type="dxa"/>
              <w:end w:w="120" w:type="dxa"/>
            </w:tcMar>
          </w:tcPr>
          <w:p>
            <w:pPr>
              <w:pStyle w:val="TableText"/>
            </w:pPr>
            <w:r>
              <w:t>B04, B07, B05, A04, H08</w:t>
            </w:r>
          </w:p>
        </w:tc>
      </w:tr>
      <w:tr>
        <w:trPr>
          <w:cantSplit/>
        </w:trPr>
        <w:tc>
          <w:tcPr>
            <w:tcW w:type="dxa" w:w="650"/>
            <w:tcMar>
              <w:top w:w="80" w:type="dxa"/>
              <w:bottom w:w="80" w:type="dxa"/>
              <w:start w:w="120" w:type="dxa"/>
              <w:end w:w="120" w:type="dxa"/>
            </w:tcMar>
          </w:tcPr>
          <w:p>
            <w:pPr>
              <w:pStyle w:val="TableText"/>
            </w:pPr>
            <w:r>
              <w:t>F13</w:t>
            </w:r>
          </w:p>
        </w:tc>
        <w:tc>
          <w:tcPr>
            <w:tcW w:type="dxa" w:w="4800"/>
            <w:tcMar>
              <w:top w:w="80" w:type="dxa"/>
              <w:bottom w:w="80" w:type="dxa"/>
              <w:start w:w="120" w:type="dxa"/>
              <w:end w:w="120" w:type="dxa"/>
            </w:tcMar>
          </w:tcPr>
          <w:p>
            <w:pPr>
              <w:pStyle w:val="TableText"/>
            </w:pPr>
            <w:r>
              <w:t>Backup caregiver routing and delivery visibility</w:t>
            </w:r>
          </w:p>
        </w:tc>
        <w:tc>
          <w:tcPr>
            <w:tcW w:type="dxa" w:w="3910"/>
            <w:tcMar>
              <w:top w:w="80" w:type="dxa"/>
              <w:bottom w:w="80" w:type="dxa"/>
              <w:start w:w="120" w:type="dxa"/>
              <w:end w:w="120" w:type="dxa"/>
            </w:tcMar>
          </w:tcPr>
          <w:p>
            <w:pPr>
              <w:pStyle w:val="TableText"/>
            </w:pPr>
            <w:r>
              <w:t>B05, B04, B08, A04, A05</w:t>
            </w:r>
          </w:p>
        </w:tc>
      </w:tr>
      <w:tr>
        <w:trPr>
          <w:cantSplit/>
        </w:trPr>
        <w:tc>
          <w:tcPr>
            <w:tcW w:type="dxa" w:w="650"/>
            <w:tcMar>
              <w:top w:w="80" w:type="dxa"/>
              <w:bottom w:w="80" w:type="dxa"/>
              <w:start w:w="120" w:type="dxa"/>
              <w:end w:w="120" w:type="dxa"/>
            </w:tcMar>
          </w:tcPr>
          <w:p>
            <w:pPr>
              <w:pStyle w:val="TableText"/>
            </w:pPr>
            <w:r>
              <w:t>F14</w:t>
            </w:r>
          </w:p>
        </w:tc>
        <w:tc>
          <w:tcPr>
            <w:tcW w:type="dxa" w:w="4800"/>
            <w:tcMar>
              <w:top w:w="80" w:type="dxa"/>
              <w:bottom w:w="80" w:type="dxa"/>
              <w:start w:w="120" w:type="dxa"/>
              <w:end w:w="120" w:type="dxa"/>
            </w:tcMar>
          </w:tcPr>
          <w:p>
            <w:pPr>
              <w:pStyle w:val="TableText"/>
            </w:pPr>
            <w:r>
              <w:t>Opt-in daily morning summary</w:t>
            </w:r>
          </w:p>
        </w:tc>
        <w:tc>
          <w:tcPr>
            <w:tcW w:type="dxa" w:w="3910"/>
            <w:tcMar>
              <w:top w:w="80" w:type="dxa"/>
              <w:bottom w:w="80" w:type="dxa"/>
              <w:start w:w="120" w:type="dxa"/>
              <w:end w:w="120" w:type="dxa"/>
            </w:tcMar>
          </w:tcPr>
          <w:p>
            <w:pPr>
              <w:pStyle w:val="TableText"/>
            </w:pPr>
            <w:r>
              <w:t>B05, B07, A03, A02</w:t>
            </w:r>
          </w:p>
        </w:tc>
      </w:tr>
    </w:tbl>
    <w:p>
      <w:pPr>
        <w:pStyle w:val="TableSpacer"/>
      </w:pPr>
    </w:p>
    <w:p>
      <w:pPr>
        <w:pStyle w:val="Heading2"/>
        <w:pageBreakBefore/>
      </w:pPr>
      <w:r>
        <w:rPr>
          <w:color w:val="000000"/>
        </w:rPr>
        <w:t>Engineering P0 — necessary for trustworthy behavior</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650"/>
        <w:gridCol w:w="4800"/>
        <w:gridCol w:w="3910"/>
      </w:tblGrid>
      <w:tr>
        <w:trPr>
          <w:cantSplit/>
          <w:tblHeader/>
        </w:trPr>
        <w:tc>
          <w:tcPr>
            <w:tcW w:type="dxa" w:w="650"/>
            <w:tcMar>
              <w:top w:w="80" w:type="dxa"/>
              <w:bottom w:w="80" w:type="dxa"/>
              <w:start w:w="120" w:type="dxa"/>
              <w:end w:w="120" w:type="dxa"/>
            </w:tcMar>
            <w:shd w:fill="E8EEF5"/>
          </w:tcPr>
          <w:p>
            <w:pPr>
              <w:pStyle w:val="TableText"/>
            </w:pPr>
            <w:r>
              <w:rPr>
                <w:b/>
              </w:rPr>
              <w:t>ID</w:t>
            </w:r>
          </w:p>
        </w:tc>
        <w:tc>
          <w:tcPr>
            <w:tcW w:type="dxa" w:w="4800"/>
            <w:tcMar>
              <w:top w:w="80" w:type="dxa"/>
              <w:bottom w:w="80" w:type="dxa"/>
              <w:start w:w="120" w:type="dxa"/>
              <w:end w:w="120" w:type="dxa"/>
            </w:tcMar>
            <w:shd w:fill="E8EEF5"/>
          </w:tcPr>
          <w:p>
            <w:pPr>
              <w:pStyle w:val="TableText"/>
            </w:pPr>
            <w:r>
              <w:rPr>
                <w:b/>
              </w:rPr>
              <w:t>Capability</w:t>
            </w:r>
          </w:p>
        </w:tc>
        <w:tc>
          <w:tcPr>
            <w:tcW w:type="dxa" w:w="3910"/>
            <w:tcMar>
              <w:top w:w="80" w:type="dxa"/>
              <w:bottom w:w="80" w:type="dxa"/>
              <w:start w:w="120" w:type="dxa"/>
              <w:end w:w="120" w:type="dxa"/>
            </w:tcMar>
            <w:shd w:fill="E8EEF5"/>
          </w:tcPr>
          <w:p>
            <w:pPr>
              <w:pStyle w:val="TableText"/>
            </w:pPr>
            <w:r>
              <w:rPr>
                <w:b/>
              </w:rPr>
              <w:t>Primary ownership</w:t>
            </w:r>
          </w:p>
        </w:tc>
      </w:tr>
      <w:tr>
        <w:trPr>
          <w:cantSplit/>
        </w:trPr>
        <w:tc>
          <w:tcPr>
            <w:tcW w:type="dxa" w:w="650"/>
            <w:tcMar>
              <w:top w:w="80" w:type="dxa"/>
              <w:bottom w:w="80" w:type="dxa"/>
              <w:start w:w="120" w:type="dxa"/>
              <w:end w:w="120" w:type="dxa"/>
            </w:tcMar>
          </w:tcPr>
          <w:p>
            <w:pPr>
              <w:pStyle w:val="TableText"/>
            </w:pPr>
            <w:r>
              <w:t>E01</w:t>
            </w:r>
          </w:p>
        </w:tc>
        <w:tc>
          <w:tcPr>
            <w:tcW w:type="dxa" w:w="4800"/>
            <w:tcMar>
              <w:top w:w="80" w:type="dxa"/>
              <w:bottom w:w="80" w:type="dxa"/>
              <w:start w:w="120" w:type="dxa"/>
              <w:end w:w="120" w:type="dxa"/>
            </w:tcMar>
          </w:tcPr>
          <w:p>
            <w:pPr>
              <w:pStyle w:val="TableText"/>
            </w:pPr>
            <w:r>
              <w:t>Node health, battery and observation coverage</w:t>
            </w:r>
          </w:p>
        </w:tc>
        <w:tc>
          <w:tcPr>
            <w:tcW w:type="dxa" w:w="3910"/>
            <w:tcMar>
              <w:top w:w="80" w:type="dxa"/>
              <w:bottom w:w="80" w:type="dxa"/>
              <w:start w:w="120" w:type="dxa"/>
              <w:end w:w="120" w:type="dxa"/>
            </w:tcMar>
          </w:tcPr>
          <w:p>
            <w:pPr>
              <w:pStyle w:val="TableText"/>
            </w:pPr>
            <w:r>
              <w:t>N03, N02, H04, B08, A02</w:t>
            </w:r>
          </w:p>
        </w:tc>
      </w:tr>
      <w:tr>
        <w:trPr>
          <w:cantSplit/>
        </w:trPr>
        <w:tc>
          <w:tcPr>
            <w:tcW w:type="dxa" w:w="650"/>
            <w:tcMar>
              <w:top w:w="80" w:type="dxa"/>
              <w:bottom w:w="80" w:type="dxa"/>
              <w:start w:w="120" w:type="dxa"/>
              <w:end w:w="120" w:type="dxa"/>
            </w:tcMar>
          </w:tcPr>
          <w:p>
            <w:pPr>
              <w:pStyle w:val="TableText"/>
            </w:pPr>
            <w:r>
              <w:t>E02</w:t>
            </w:r>
          </w:p>
        </w:tc>
        <w:tc>
          <w:tcPr>
            <w:tcW w:type="dxa" w:w="4800"/>
            <w:tcMar>
              <w:top w:w="80" w:type="dxa"/>
              <w:bottom w:w="80" w:type="dxa"/>
              <w:start w:w="120" w:type="dxa"/>
              <w:end w:w="120" w:type="dxa"/>
            </w:tcMar>
          </w:tcPr>
          <w:p>
            <w:pPr>
              <w:pStyle w:val="TableText"/>
            </w:pPr>
            <w:r>
              <w:t>Reliable event transport and duplicate handling</w:t>
            </w:r>
          </w:p>
        </w:tc>
        <w:tc>
          <w:tcPr>
            <w:tcW w:type="dxa" w:w="3910"/>
            <w:tcMar>
              <w:top w:w="80" w:type="dxa"/>
              <w:bottom w:w="80" w:type="dxa"/>
              <w:start w:w="120" w:type="dxa"/>
              <w:end w:w="120" w:type="dxa"/>
            </w:tcMar>
          </w:tcPr>
          <w:p>
            <w:pPr>
              <w:pStyle w:val="TableText"/>
            </w:pPr>
            <w:r>
              <w:t>N02, N05, H01, H02, H08, B03, S01</w:t>
            </w:r>
          </w:p>
        </w:tc>
      </w:tr>
      <w:tr>
        <w:trPr>
          <w:cantSplit/>
        </w:trPr>
        <w:tc>
          <w:tcPr>
            <w:tcW w:type="dxa" w:w="650"/>
            <w:tcMar>
              <w:top w:w="80" w:type="dxa"/>
              <w:bottom w:w="80" w:type="dxa"/>
              <w:start w:w="120" w:type="dxa"/>
              <w:end w:w="120" w:type="dxa"/>
            </w:tcMar>
          </w:tcPr>
          <w:p>
            <w:pPr>
              <w:pStyle w:val="TableText"/>
            </w:pPr>
            <w:r>
              <w:t>E03</w:t>
            </w:r>
          </w:p>
        </w:tc>
        <w:tc>
          <w:tcPr>
            <w:tcW w:type="dxa" w:w="4800"/>
            <w:tcMar>
              <w:top w:w="80" w:type="dxa"/>
              <w:bottom w:w="80" w:type="dxa"/>
              <w:start w:w="120" w:type="dxa"/>
              <w:end w:w="120" w:type="dxa"/>
            </w:tcMar>
          </w:tcPr>
          <w:p>
            <w:pPr>
              <w:pStyle w:val="TableText"/>
            </w:pPr>
            <w:r>
              <w:t>Local operation during internet failure</w:t>
            </w:r>
          </w:p>
        </w:tc>
        <w:tc>
          <w:tcPr>
            <w:tcW w:type="dxa" w:w="3910"/>
            <w:tcMar>
              <w:top w:w="80" w:type="dxa"/>
              <w:bottom w:w="80" w:type="dxa"/>
              <w:start w:w="120" w:type="dxa"/>
              <w:end w:w="120" w:type="dxa"/>
            </w:tcMar>
          </w:tcPr>
          <w:p>
            <w:pPr>
              <w:pStyle w:val="TableText"/>
            </w:pPr>
            <w:r>
              <w:t>H03, H04, H05, H06, H02, H08</w:t>
            </w:r>
          </w:p>
        </w:tc>
      </w:tr>
      <w:tr>
        <w:trPr>
          <w:cantSplit/>
        </w:trPr>
        <w:tc>
          <w:tcPr>
            <w:tcW w:type="dxa" w:w="650"/>
            <w:tcMar>
              <w:top w:w="80" w:type="dxa"/>
              <w:bottom w:w="80" w:type="dxa"/>
              <w:start w:w="120" w:type="dxa"/>
              <w:end w:w="120" w:type="dxa"/>
            </w:tcMar>
          </w:tcPr>
          <w:p>
            <w:pPr>
              <w:pStyle w:val="TableText"/>
            </w:pPr>
            <w:r>
              <w:t>E04</w:t>
            </w:r>
          </w:p>
        </w:tc>
        <w:tc>
          <w:tcPr>
            <w:tcW w:type="dxa" w:w="4800"/>
            <w:tcMar>
              <w:top w:w="80" w:type="dxa"/>
              <w:bottom w:w="80" w:type="dxa"/>
              <w:start w:w="120" w:type="dxa"/>
              <w:end w:w="120" w:type="dxa"/>
            </w:tcMar>
          </w:tcPr>
          <w:p>
            <w:pPr>
              <w:pStyle w:val="TableText"/>
            </w:pPr>
            <w:r>
              <w:t>Hub/cloud/app connectivity and freshness</w:t>
            </w:r>
          </w:p>
        </w:tc>
        <w:tc>
          <w:tcPr>
            <w:tcW w:type="dxa" w:w="3910"/>
            <w:tcMar>
              <w:top w:w="80" w:type="dxa"/>
              <w:bottom w:w="80" w:type="dxa"/>
              <w:start w:w="120" w:type="dxa"/>
              <w:end w:w="120" w:type="dxa"/>
            </w:tcMar>
          </w:tcPr>
          <w:p>
            <w:pPr>
              <w:pStyle w:val="TableText"/>
            </w:pPr>
            <w:r>
              <w:t>H08, B08, B07, A05, A02</w:t>
            </w:r>
          </w:p>
        </w:tc>
      </w:tr>
      <w:tr>
        <w:trPr>
          <w:cantSplit/>
        </w:trPr>
        <w:tc>
          <w:tcPr>
            <w:tcW w:type="dxa" w:w="650"/>
            <w:tcMar>
              <w:top w:w="80" w:type="dxa"/>
              <w:bottom w:w="80" w:type="dxa"/>
              <w:start w:w="120" w:type="dxa"/>
              <w:end w:w="120" w:type="dxa"/>
            </w:tcMar>
          </w:tcPr>
          <w:p>
            <w:pPr>
              <w:pStyle w:val="TableText"/>
            </w:pPr>
            <w:r>
              <w:t>E05</w:t>
            </w:r>
          </w:p>
        </w:tc>
        <w:tc>
          <w:tcPr>
            <w:tcW w:type="dxa" w:w="4800"/>
            <w:tcMar>
              <w:top w:w="80" w:type="dxa"/>
              <w:bottom w:w="80" w:type="dxa"/>
              <w:start w:w="120" w:type="dxa"/>
              <w:end w:w="120" w:type="dxa"/>
            </w:tcMar>
          </w:tcPr>
          <w:p>
            <w:pPr>
              <w:pStyle w:val="TableText"/>
            </w:pPr>
            <w:r>
              <w:t>Persistence, recovery and bounded storage</w:t>
            </w:r>
          </w:p>
        </w:tc>
        <w:tc>
          <w:tcPr>
            <w:tcW w:type="dxa" w:w="3910"/>
            <w:tcMar>
              <w:top w:w="80" w:type="dxa"/>
              <w:bottom w:w="80" w:type="dxa"/>
              <w:start w:w="120" w:type="dxa"/>
              <w:end w:w="120" w:type="dxa"/>
            </w:tcMar>
          </w:tcPr>
          <w:p>
            <w:pPr>
              <w:pStyle w:val="TableText"/>
            </w:pPr>
            <w:r>
              <w:t>N05, H02, B03, B04, B05, B08</w:t>
            </w:r>
          </w:p>
        </w:tc>
      </w:tr>
      <w:tr>
        <w:trPr>
          <w:cantSplit/>
        </w:trPr>
        <w:tc>
          <w:tcPr>
            <w:tcW w:type="dxa" w:w="650"/>
            <w:tcMar>
              <w:top w:w="80" w:type="dxa"/>
              <w:bottom w:w="80" w:type="dxa"/>
              <w:start w:w="120" w:type="dxa"/>
              <w:end w:w="120" w:type="dxa"/>
            </w:tcMar>
          </w:tcPr>
          <w:p>
            <w:pPr>
              <w:pStyle w:val="TableText"/>
            </w:pPr>
            <w:r>
              <w:t>E06</w:t>
            </w:r>
          </w:p>
        </w:tc>
        <w:tc>
          <w:tcPr>
            <w:tcW w:type="dxa" w:w="4800"/>
            <w:tcMar>
              <w:top w:w="80" w:type="dxa"/>
              <w:bottom w:w="80" w:type="dxa"/>
              <w:start w:w="120" w:type="dxa"/>
              <w:end w:w="120" w:type="dxa"/>
            </w:tcMar>
          </w:tcPr>
          <w:p>
            <w:pPr>
              <w:pStyle w:val="TableText"/>
            </w:pPr>
            <w:r>
              <w:t>Trusted time and routine boundary handling</w:t>
            </w:r>
          </w:p>
        </w:tc>
        <w:tc>
          <w:tcPr>
            <w:tcW w:type="dxa" w:w="3910"/>
            <w:tcMar>
              <w:top w:w="80" w:type="dxa"/>
              <w:bottom w:w="80" w:type="dxa"/>
              <w:start w:w="120" w:type="dxa"/>
              <w:end w:w="120" w:type="dxa"/>
            </w:tcMar>
          </w:tcPr>
          <w:p>
            <w:pPr>
              <w:pStyle w:val="TableText"/>
            </w:pPr>
            <w:r>
              <w:t>H03, H07, H05, S01, S02</w:t>
            </w:r>
          </w:p>
        </w:tc>
      </w:tr>
      <w:tr>
        <w:trPr>
          <w:cantSplit/>
        </w:trPr>
        <w:tc>
          <w:tcPr>
            <w:tcW w:type="dxa" w:w="650"/>
            <w:tcMar>
              <w:top w:w="80" w:type="dxa"/>
              <w:bottom w:w="80" w:type="dxa"/>
              <w:start w:w="120" w:type="dxa"/>
              <w:end w:w="120" w:type="dxa"/>
            </w:tcMar>
          </w:tcPr>
          <w:p>
            <w:pPr>
              <w:pStyle w:val="TableText"/>
            </w:pPr>
            <w:r>
              <w:t>E07</w:t>
            </w:r>
          </w:p>
        </w:tc>
        <w:tc>
          <w:tcPr>
            <w:tcW w:type="dxa" w:w="4800"/>
            <w:tcMar>
              <w:top w:w="80" w:type="dxa"/>
              <w:bottom w:w="80" w:type="dxa"/>
              <w:start w:w="120" w:type="dxa"/>
              <w:end w:w="120" w:type="dxa"/>
            </w:tcMar>
          </w:tcPr>
          <w:p>
            <w:pPr>
              <w:pStyle w:val="TableText"/>
            </w:pPr>
            <w:r>
              <w:t>Versioned configuration and command application</w:t>
            </w:r>
          </w:p>
        </w:tc>
        <w:tc>
          <w:tcPr>
            <w:tcW w:type="dxa" w:w="3910"/>
            <w:tcMar>
              <w:top w:w="80" w:type="dxa"/>
              <w:bottom w:w="80" w:type="dxa"/>
              <w:start w:w="120" w:type="dxa"/>
              <w:end w:w="120" w:type="dxa"/>
            </w:tcMar>
          </w:tcPr>
          <w:p>
            <w:pPr>
              <w:pStyle w:val="TableText"/>
            </w:pPr>
            <w:r>
              <w:t>B06, A03, H07, N04, H08, S01</w:t>
            </w:r>
          </w:p>
        </w:tc>
      </w:tr>
      <w:tr>
        <w:trPr>
          <w:cantSplit/>
        </w:trPr>
        <w:tc>
          <w:tcPr>
            <w:tcW w:type="dxa" w:w="650"/>
            <w:tcMar>
              <w:top w:w="80" w:type="dxa"/>
              <w:bottom w:w="80" w:type="dxa"/>
              <w:start w:w="120" w:type="dxa"/>
              <w:end w:w="120" w:type="dxa"/>
            </w:tcMar>
          </w:tcPr>
          <w:p>
            <w:pPr>
              <w:pStyle w:val="TableText"/>
            </w:pPr>
            <w:r>
              <w:t>E08</w:t>
            </w:r>
          </w:p>
        </w:tc>
        <w:tc>
          <w:tcPr>
            <w:tcW w:type="dxa" w:w="4800"/>
            <w:tcMar>
              <w:top w:w="80" w:type="dxa"/>
              <w:bottom w:w="80" w:type="dxa"/>
              <w:start w:w="120" w:type="dxa"/>
              <w:end w:w="120" w:type="dxa"/>
            </w:tcMar>
          </w:tcPr>
          <w:p>
            <w:pPr>
              <w:pStyle w:val="TableText"/>
            </w:pPr>
            <w:r>
              <w:t>Security, access control and data lifecycle</w:t>
            </w:r>
          </w:p>
        </w:tc>
        <w:tc>
          <w:tcPr>
            <w:tcW w:type="dxa" w:w="3910"/>
            <w:tcMar>
              <w:top w:w="80" w:type="dxa"/>
              <w:bottom w:w="80" w:type="dxa"/>
              <w:start w:w="120" w:type="dxa"/>
              <w:end w:w="120" w:type="dxa"/>
            </w:tcMar>
          </w:tcPr>
          <w:p>
            <w:pPr>
              <w:pStyle w:val="TableText"/>
            </w:pPr>
            <w:r>
              <w:t>S03, B01, B02, B06, B08, A05, T01</w:t>
            </w:r>
          </w:p>
        </w:tc>
      </w:tr>
      <w:tr>
        <w:trPr>
          <w:cantSplit/>
        </w:trPr>
        <w:tc>
          <w:tcPr>
            <w:tcW w:type="dxa" w:w="650"/>
            <w:tcMar>
              <w:top w:w="80" w:type="dxa"/>
              <w:bottom w:w="80" w:type="dxa"/>
              <w:start w:w="120" w:type="dxa"/>
              <w:end w:w="120" w:type="dxa"/>
            </w:tcMar>
          </w:tcPr>
          <w:p>
            <w:pPr>
              <w:pStyle w:val="TableText"/>
            </w:pPr>
            <w:r>
              <w:t>E09</w:t>
            </w:r>
          </w:p>
        </w:tc>
        <w:tc>
          <w:tcPr>
            <w:tcW w:type="dxa" w:w="4800"/>
            <w:tcMar>
              <w:top w:w="80" w:type="dxa"/>
              <w:bottom w:w="80" w:type="dxa"/>
              <w:start w:w="120" w:type="dxa"/>
              <w:end w:w="120" w:type="dxa"/>
            </w:tcMar>
          </w:tcPr>
          <w:p>
            <w:pPr>
              <w:pStyle w:val="TableText"/>
            </w:pPr>
            <w:r>
              <w:t>Firmware update, watchdog and recovery</w:t>
            </w:r>
          </w:p>
        </w:tc>
        <w:tc>
          <w:tcPr>
            <w:tcW w:type="dxa" w:w="3910"/>
            <w:tcMar>
              <w:top w:w="80" w:type="dxa"/>
              <w:bottom w:w="80" w:type="dxa"/>
              <w:start w:w="120" w:type="dxa"/>
              <w:end w:w="120" w:type="dxa"/>
            </w:tcMar>
          </w:tcPr>
          <w:p>
            <w:pPr>
              <w:pStyle w:val="TableText"/>
            </w:pPr>
            <w:r>
              <w:t>S03, H07, N04, B06, B08, T02</w:t>
            </w:r>
          </w:p>
        </w:tc>
      </w:tr>
      <w:tr>
        <w:trPr>
          <w:cantSplit/>
        </w:trPr>
        <w:tc>
          <w:tcPr>
            <w:tcW w:type="dxa" w:w="650"/>
            <w:tcMar>
              <w:top w:w="80" w:type="dxa"/>
              <w:bottom w:w="80" w:type="dxa"/>
              <w:start w:w="120" w:type="dxa"/>
              <w:end w:w="120" w:type="dxa"/>
            </w:tcMar>
          </w:tcPr>
          <w:p>
            <w:pPr>
              <w:pStyle w:val="TableText"/>
            </w:pPr>
            <w:r>
              <w:t>E10</w:t>
            </w:r>
          </w:p>
        </w:tc>
        <w:tc>
          <w:tcPr>
            <w:tcW w:type="dxa" w:w="4800"/>
            <w:tcMar>
              <w:top w:w="80" w:type="dxa"/>
              <w:bottom w:w="80" w:type="dxa"/>
              <w:start w:w="120" w:type="dxa"/>
              <w:end w:w="120" w:type="dxa"/>
            </w:tcMar>
          </w:tcPr>
          <w:p>
            <w:pPr>
              <w:pStyle w:val="TableText"/>
            </w:pPr>
            <w:r>
              <w:t>Diagnostics, support and installation evidence</w:t>
            </w:r>
          </w:p>
        </w:tc>
        <w:tc>
          <w:tcPr>
            <w:tcW w:type="dxa" w:w="3910"/>
            <w:tcMar>
              <w:top w:w="80" w:type="dxa"/>
              <w:bottom w:w="80" w:type="dxa"/>
              <w:start w:w="120" w:type="dxa"/>
              <w:end w:w="120" w:type="dxa"/>
            </w:tcMar>
          </w:tcPr>
          <w:p>
            <w:pPr>
              <w:pStyle w:val="TableText"/>
            </w:pPr>
            <w:r>
              <w:t>B08, A02, T01, T02, T03, H02, H08</w:t>
            </w:r>
          </w:p>
        </w:tc>
      </w:tr>
    </w:tbl>
    <w:p>
      <w:pPr>
        <w:pStyle w:val="TableSpacer"/>
      </w:pPr>
    </w:p>
    <w:p>
      <w:pPr>
        <w:pStyle w:val="Heading2"/>
      </w:pPr>
      <w:r>
        <w:rPr>
          <w:color w:val="000000"/>
        </w:rPr>
        <w:t>P0 hardware and operational cross-cutting gates</w:t>
      </w:r>
    </w:p>
    <w:p>
      <w:pPr>
        <w:pStyle w:val="SpecBody"/>
      </w:pPr>
      <w:r>
        <w:t>The 24 feature IDs do not replace physical-product obligations. HW01 installation coverage, HW02 power/charging safety, HW03 button/privacy usability, HW04 enclosure/mounting and HW05 radio/EMC/product compliance review are cross-cutting gates. OP01 caregiver contact availability, OP02 incident/support ownership and OP03 funded remote-service duration must also be defined before sale. Their detailed tests appear in Sections 4 and 10.</w:t>
      </w:r>
    </w:p>
    <w:p>
      <w:pPr>
        <w:pStyle w:val="SpecBody"/>
      </w:pPr>
      <w:r>
        <w:t>Global invariant: any code path that cannot establish a required fact shall return unknown/degraded/pending with a reason. It shall not invent activity, wellness, delivery or successful configuration application.</w:t>
      </w:r>
    </w:p>
    <w:p>
      <w:bookmarkStart w:id="3" w:name="architecture"/>
      <w:pPr>
        <w:pStyle w:val="Heading1"/>
        <w:pageBreakBefore/>
      </w:pPr>
      <w:r>
        <w:rPr>
          <w:color w:val="000000"/>
        </w:rPr>
        <w:t>3. Architecture and ownership</w:t>
      </w:r>
      <w:bookmarkEnd w:id="3"/>
    </w:p>
    <w:p>
      <w:pPr>
        <w:pStyle w:val="SpecBody"/>
      </w:pPr>
      <w:r>
        <w:t>Use a monorepo and a modular monolith backend. Keep hardware dependencies out of the pure rule engine so the same rule logic can run in host tests. Scale process replicas and database access before splitting business domains into services.</w:t>
      </w:r>
    </w:p>
    <w:p>
      <w:r>
        <w:drawing>
          <wp:inline xmlns:a="http://schemas.openxmlformats.org/drawingml/2006/main" xmlns:pic="http://schemas.openxmlformats.org/drawingml/2006/picture">
            <wp:extent cx="5440680" cy="3339427"/>
            <wp:docPr id="1" name="Picture 1" descr="Three ESP32-C3 nodes communicate with the local ESP32-S3 rules hub over encrypted ESP-NOW. The hub connects through MQTT to a backend and PostgreSQL. Caregivers use HTTPS/SSE and an external Web Push delivery path."/>
            <wp:cNvGraphicFramePr>
              <a:graphicFrameLocks noChangeAspect="1"/>
            </wp:cNvGraphicFramePr>
            <a:graphic>
              <a:graphicData uri="http://schemas.openxmlformats.org/drawingml/2006/picture">
                <pic:pic>
                  <pic:nvPicPr>
                    <pic:cNvPr id="0" name="requirements_architecture.png"/>
                    <pic:cNvPicPr/>
                  </pic:nvPicPr>
                  <pic:blipFill>
                    <a:blip r:embed="rId11"/>
                    <a:stretch>
                      <a:fillRect/>
                    </a:stretch>
                  </pic:blipFill>
                  <pic:spPr>
                    <a:xfrm>
                      <a:off x="0" y="0"/>
                      <a:ext cx="5440680" cy="3339427"/>
                    </a:xfrm>
                    <a:prstGeom prst="rect"/>
                  </pic:spPr>
                </pic:pic>
              </a:graphicData>
            </a:graphic>
          </wp:inline>
        </w:drawing>
      </w:r>
    </w:p>
    <w:p>
      <w:pPr>
        <w:pStyle w:val="TableCitation"/>
      </w:pPr>
      <w:r>
        <w:t>Figure 1. Local observation is independent of WAN connectivity. Remote family routing is not. Arrows show interfaces, not guaranteed delivery.</w:t>
      </w:r>
    </w:p>
    <w:p>
      <w:pPr>
        <w:pStyle w:val="Heading2"/>
        <w:pageBreakBefore/>
      </w:pPr>
      <w:r>
        <w:rPr>
          <w:color w:val="000000"/>
        </w:rPr>
        <w:t>Technology baseline and authoritative owners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400"/>
        <w:gridCol w:w="4210"/>
        <w:gridCol w:w="3750"/>
      </w:tblGrid>
      <w:tr>
        <w:trPr>
          <w:cantSplit/>
          <w:tblHeader/>
        </w:trPr>
        <w:tc>
          <w:tcPr>
            <w:tcW w:type="dxa" w:w="1400"/>
            <w:tcMar>
              <w:top w:w="80" w:type="dxa"/>
              <w:bottom w:w="80" w:type="dxa"/>
              <w:start w:w="120" w:type="dxa"/>
              <w:end w:w="120" w:type="dxa"/>
            </w:tcMar>
            <w:shd w:fill="E8EEF5"/>
          </w:tcPr>
          <w:p>
            <w:pPr>
              <w:pStyle w:val="TableText"/>
            </w:pPr>
            <w:r>
              <w:rPr>
                <w:b/>
              </w:rPr>
              <w:t>Layer</w:t>
            </w:r>
          </w:p>
        </w:tc>
        <w:tc>
          <w:tcPr>
            <w:tcW w:type="dxa" w:w="4210"/>
            <w:tcMar>
              <w:top w:w="80" w:type="dxa"/>
              <w:bottom w:w="80" w:type="dxa"/>
              <w:start w:w="120" w:type="dxa"/>
              <w:end w:w="120" w:type="dxa"/>
            </w:tcMar>
            <w:shd w:fill="E8EEF5"/>
          </w:tcPr>
          <w:p>
            <w:pPr>
              <w:pStyle w:val="TableText"/>
            </w:pPr>
            <w:r>
              <w:rPr>
                <w:b/>
              </w:rPr>
              <w:t>Proposed choice</w:t>
            </w:r>
          </w:p>
        </w:tc>
        <w:tc>
          <w:tcPr>
            <w:tcW w:type="dxa" w:w="3750"/>
            <w:tcMar>
              <w:top w:w="80" w:type="dxa"/>
              <w:bottom w:w="80" w:type="dxa"/>
              <w:start w:w="120" w:type="dxa"/>
              <w:end w:w="120" w:type="dxa"/>
            </w:tcMar>
            <w:shd w:fill="E8EEF5"/>
          </w:tcPr>
          <w:p>
            <w:pPr>
              <w:pStyle w:val="TableText"/>
            </w:pPr>
            <w:r>
              <w:rPr>
                <w:b/>
              </w:rPr>
              <w:t>Owns / does not own</w:t>
            </w:r>
          </w:p>
        </w:tc>
      </w:tr>
      <w:tr>
        <w:trPr>
          <w:cantSplit/>
        </w:trPr>
        <w:tc>
          <w:tcPr>
            <w:tcW w:type="dxa" w:w="1400"/>
            <w:tcMar>
              <w:top w:w="80" w:type="dxa"/>
              <w:bottom w:w="80" w:type="dxa"/>
              <w:start w:w="120" w:type="dxa"/>
              <w:end w:w="120" w:type="dxa"/>
            </w:tcMar>
          </w:tcPr>
          <w:p>
            <w:pPr>
              <w:pStyle w:val="TableText"/>
            </w:pPr>
            <w:r>
              <w:t>Node + hub firmware</w:t>
            </w:r>
          </w:p>
        </w:tc>
        <w:tc>
          <w:tcPr>
            <w:tcW w:type="dxa" w:w="4210"/>
            <w:tcMar>
              <w:top w:w="80" w:type="dxa"/>
              <w:bottom w:w="80" w:type="dxa"/>
              <w:start w:w="120" w:type="dxa"/>
              <w:end w:w="120" w:type="dxa"/>
            </w:tcMar>
          </w:tcPr>
          <w:p>
            <w:pPr>
              <w:pStyle w:val="TableText"/>
            </w:pPr>
            <w:r>
              <w:t>ESP-IDF, C/C++; FreeRTOS; fixed-size messages. Start a compatibility spike on the verified SDK documentation baseline, then pin the tested tag/commit.</w:t>
            </w:r>
          </w:p>
        </w:tc>
        <w:tc>
          <w:tcPr>
            <w:tcW w:type="dxa" w:w="3750"/>
            <w:tcMar>
              <w:top w:w="80" w:type="dxa"/>
              <w:bottom w:w="80" w:type="dxa"/>
              <w:start w:w="120" w:type="dxa"/>
              <w:end w:w="120" w:type="dxa"/>
            </w:tcMar>
          </w:tcPr>
          <w:p>
            <w:pPr>
              <w:pStyle w:val="TableText"/>
            </w:pPr>
            <w:r>
              <w:t>Node owns sampling; hub owns all routine windows and routine/contact incident creation.</w:t>
            </w:r>
          </w:p>
        </w:tc>
      </w:tr>
      <w:tr>
        <w:trPr>
          <w:cantSplit/>
        </w:trPr>
        <w:tc>
          <w:tcPr>
            <w:tcW w:type="dxa" w:w="1400"/>
            <w:tcMar>
              <w:top w:w="80" w:type="dxa"/>
              <w:bottom w:w="80" w:type="dxa"/>
              <w:start w:w="120" w:type="dxa"/>
              <w:end w:w="120" w:type="dxa"/>
            </w:tcMar>
          </w:tcPr>
          <w:p>
            <w:pPr>
              <w:pStyle w:val="TableText"/>
            </w:pPr>
            <w:r>
              <w:t>Rules core</w:t>
            </w:r>
          </w:p>
        </w:tc>
        <w:tc>
          <w:tcPr>
            <w:tcW w:type="dxa" w:w="4210"/>
            <w:tcMar>
              <w:top w:w="80" w:type="dxa"/>
              <w:bottom w:w="80" w:type="dxa"/>
              <w:start w:w="120" w:type="dxa"/>
              <w:end w:w="120" w:type="dxa"/>
            </w:tcMar>
          </w:tcPr>
          <w:p>
            <w:pPr>
              <w:pStyle w:val="TableText"/>
            </w:pPr>
            <w:r>
              <w:t>Pure C++ reducer with injected clock/events; compiled into hub and host tests.</w:t>
            </w:r>
          </w:p>
        </w:tc>
        <w:tc>
          <w:tcPr>
            <w:tcW w:type="dxa" w:w="3750"/>
            <w:tcMar>
              <w:top w:w="80" w:type="dxa"/>
              <w:bottom w:w="80" w:type="dxa"/>
              <w:start w:w="120" w:type="dxa"/>
              <w:end w:w="120" w:type="dxa"/>
            </w:tcMar>
          </w:tcPr>
          <w:p>
            <w:pPr>
              <w:pStyle w:val="TableText"/>
            </w:pPr>
            <w:r>
              <w:t>Deterministic decisions only; no GPIO, database, TLS or push calls.</w:t>
            </w:r>
          </w:p>
        </w:tc>
      </w:tr>
      <w:tr>
        <w:trPr>
          <w:cantSplit/>
        </w:trPr>
        <w:tc>
          <w:tcPr>
            <w:tcW w:type="dxa" w:w="1400"/>
            <w:tcMar>
              <w:top w:w="80" w:type="dxa"/>
              <w:bottom w:w="80" w:type="dxa"/>
              <w:start w:w="120" w:type="dxa"/>
              <w:end w:w="120" w:type="dxa"/>
            </w:tcMar>
          </w:tcPr>
          <w:p>
            <w:pPr>
              <w:pStyle w:val="TableText"/>
            </w:pPr>
            <w:r>
              <w:t>Backend</w:t>
            </w:r>
          </w:p>
        </w:tc>
        <w:tc>
          <w:tcPr>
            <w:tcW w:type="dxa" w:w="4210"/>
            <w:tcMar>
              <w:top w:w="80" w:type="dxa"/>
              <w:bottom w:w="80" w:type="dxa"/>
              <w:start w:w="120" w:type="dxa"/>
              <w:end w:w="120" w:type="dxa"/>
            </w:tcMar>
          </w:tcPr>
          <w:p>
            <w:pPr>
              <w:pStyle w:val="TableText"/>
            </w:pPr>
            <w:r>
              <w:t>Python FastAPI, PostgreSQL, Mosquitto; API + worker processes from one codebase.</w:t>
            </w:r>
          </w:p>
        </w:tc>
        <w:tc>
          <w:tcPr>
            <w:tcW w:type="dxa" w:w="3750"/>
            <w:tcMar>
              <w:top w:w="80" w:type="dxa"/>
              <w:bottom w:w="80" w:type="dxa"/>
              <w:start w:w="120" w:type="dxa"/>
              <w:end w:w="120" w:type="dxa"/>
            </w:tcMar>
          </w:tcPr>
          <w:p>
            <w:pPr>
              <w:pStyle w:val="TableText"/>
            </w:pPr>
            <w:r>
              <w:t>Access, durable cloud ingest, caregiver workflow, delivery, summaries and independent reachability incidents.</w:t>
            </w:r>
          </w:p>
        </w:tc>
      </w:tr>
      <w:tr>
        <w:trPr>
          <w:cantSplit/>
        </w:trPr>
        <w:tc>
          <w:tcPr>
            <w:tcW w:type="dxa" w:w="1400"/>
            <w:tcMar>
              <w:top w:w="80" w:type="dxa"/>
              <w:bottom w:w="80" w:type="dxa"/>
              <w:start w:w="120" w:type="dxa"/>
              <w:end w:w="120" w:type="dxa"/>
            </w:tcMar>
          </w:tcPr>
          <w:p>
            <w:pPr>
              <w:pStyle w:val="TableText"/>
            </w:pPr>
            <w:r>
              <w:t>App</w:t>
            </w:r>
          </w:p>
        </w:tc>
        <w:tc>
          <w:tcPr>
            <w:tcW w:type="dxa" w:w="4210"/>
            <w:tcMar>
              <w:top w:w="80" w:type="dxa"/>
              <w:bottom w:w="80" w:type="dxa"/>
              <w:start w:w="120" w:type="dxa"/>
              <w:end w:w="120" w:type="dxa"/>
            </w:tcMar>
          </w:tcPr>
          <w:p>
            <w:pPr>
              <w:pStyle w:val="TableText"/>
            </w:pPr>
            <w:r>
              <w:t>React + TypeScript PWA, HTTPS API, SSE foreground updates and standard Web Push.</w:t>
            </w:r>
          </w:p>
        </w:tc>
        <w:tc>
          <w:tcPr>
            <w:tcW w:type="dxa" w:w="3750"/>
            <w:tcMar>
              <w:top w:w="80" w:type="dxa"/>
              <w:bottom w:w="80" w:type="dxa"/>
              <w:start w:w="120" w:type="dxa"/>
              <w:end w:w="120" w:type="dxa"/>
            </w:tcMar>
          </w:tcPr>
          <w:p>
            <w:pPr>
              <w:pStyle w:val="TableText"/>
            </w:pPr>
            <w:r>
              <w:t>Presentation and user commands; never independently decides that a missed routine occurred.</w:t>
            </w:r>
          </w:p>
        </w:tc>
      </w:tr>
      <w:tr>
        <w:trPr>
          <w:cantSplit/>
        </w:trPr>
        <w:tc>
          <w:tcPr>
            <w:tcW w:type="dxa" w:w="1400"/>
            <w:tcMar>
              <w:top w:w="80" w:type="dxa"/>
              <w:bottom w:w="80" w:type="dxa"/>
              <w:start w:w="120" w:type="dxa"/>
              <w:end w:w="120" w:type="dxa"/>
            </w:tcMar>
          </w:tcPr>
          <w:p>
            <w:pPr>
              <w:pStyle w:val="TableText"/>
            </w:pPr>
            <w:r>
              <w:t>Identity / notification</w:t>
            </w:r>
          </w:p>
        </w:tc>
        <w:tc>
          <w:tcPr>
            <w:tcW w:type="dxa" w:w="4210"/>
            <w:tcMar>
              <w:top w:w="80" w:type="dxa"/>
              <w:bottom w:w="80" w:type="dxa"/>
              <w:start w:w="120" w:type="dxa"/>
              <w:end w:w="120" w:type="dxa"/>
            </w:tcMar>
          </w:tcPr>
          <w:p>
            <w:pPr>
              <w:pStyle w:val="TableText"/>
            </w:pPr>
            <w:r>
              <w:t>Managed OIDC adapter; provider choice is a procurement gate. Web Push VAPID service credentials.</w:t>
            </w:r>
          </w:p>
        </w:tc>
        <w:tc>
          <w:tcPr>
            <w:tcW w:type="dxa" w:w="3750"/>
            <w:tcMar>
              <w:top w:w="80" w:type="dxa"/>
              <w:bottom w:w="80" w:type="dxa"/>
              <w:start w:w="120" w:type="dxa"/>
              <w:end w:w="120" w:type="dxa"/>
            </w:tcMar>
          </w:tcPr>
          <w:p>
            <w:pPr>
              <w:pStyle w:val="TableText"/>
            </w:pPr>
            <w:r>
              <w:t>Provider authentication and push transport; neither provides a staffed responder.</w:t>
            </w:r>
          </w:p>
        </w:tc>
      </w:tr>
      <w:tr>
        <w:trPr>
          <w:cantSplit/>
        </w:trPr>
        <w:tc>
          <w:tcPr>
            <w:tcW w:type="dxa" w:w="1400"/>
            <w:tcMar>
              <w:top w:w="80" w:type="dxa"/>
              <w:bottom w:w="80" w:type="dxa"/>
              <w:start w:w="120" w:type="dxa"/>
              <w:end w:w="120" w:type="dxa"/>
            </w:tcMar>
          </w:tcPr>
          <w:p>
            <w:pPr>
              <w:pStyle w:val="TableText"/>
            </w:pPr>
            <w:r>
              <w:t>Deployment</w:t>
            </w:r>
          </w:p>
        </w:tc>
        <w:tc>
          <w:tcPr>
            <w:tcW w:type="dxa" w:w="4210"/>
            <w:tcMar>
              <w:top w:w="80" w:type="dxa"/>
              <w:bottom w:w="80" w:type="dxa"/>
              <w:start w:w="120" w:type="dxa"/>
              <w:end w:w="120" w:type="dxa"/>
            </w:tcMar>
          </w:tcPr>
          <w:p>
            <w:pPr>
              <w:pStyle w:val="TableText"/>
            </w:pPr>
            <w:r>
              <w:t>Containerized pilot on a small host, encrypted backups and external monitoring.</w:t>
            </w:r>
          </w:p>
        </w:tc>
        <w:tc>
          <w:tcPr>
            <w:tcW w:type="dxa" w:w="3750"/>
            <w:tcMar>
              <w:top w:w="80" w:type="dxa"/>
              <w:bottom w:w="80" w:type="dxa"/>
              <w:start w:w="120" w:type="dxa"/>
              <w:end w:w="120" w:type="dxa"/>
            </w:tcMar>
          </w:tcPr>
          <w:p>
            <w:pPr>
              <w:pStyle w:val="TableText"/>
            </w:pPr>
            <w:r>
              <w:t>Scale within a region first; avoid Kubernetes, Kafka and per-feature services in P0.</w:t>
            </w:r>
          </w:p>
        </w:tc>
      </w:tr>
    </w:tbl>
    <w:p>
      <w:pPr>
        <w:pStyle w:val="TableSpacer"/>
      </w:pPr>
    </w:p>
    <w:p>
      <w:pPr>
        <w:pStyle w:val="SpecBody"/>
      </w:pPr>
      <w:r>
        <w:t>Cloud SDK/library versions shall be locked after the integration spike, with a reproducible build and vulnerability scan. A version number in current documentation is not proof it has been tested on the purchased boards.</w:t>
      </w:r>
    </w:p>
    <w:p>
      <w:pPr>
        <w:pStyle w:val="Heading2"/>
      </w:pPr>
      <w:r>
        <w:rPr>
          <w:color w:val="000000"/>
        </w:rPr>
        <w:t>Single-writer rules</w:t>
      </w:r>
    </w:p>
    <w:p>
      <w:pPr>
        <w:pStyle w:val="ListBullet"/>
        <w:numPr>
          <w:ilvl w:val="0"/>
          <w:numId w:val="50"/>
        </w:numPr>
      </w:pPr>
      <w:r>
        <w:t>Hub: routine/contact incident IDs, window state, local evidence and applied configuration. Backend shall not regenerate an absence incident from an independent timer.</w:t>
      </w:r>
    </w:p>
    <w:p>
      <w:pPr>
        <w:pStyle w:val="ListBullet"/>
        <w:numPr>
          <w:ilvl w:val="0"/>
          <w:numId w:val="50"/>
        </w:numPr>
      </w:pPr>
      <w:r>
        <w:t>Backend: human claims, resolution, escalation and notification attempts. Hub projects those changes; it does not independently escalate to caregivers.</w:t>
      </w:r>
    </w:p>
    <w:p>
      <w:pPr>
        <w:pStyle w:val="ListBullet"/>
        <w:numPr>
          <w:ilvl w:val="0"/>
          <w:numId w:val="50"/>
        </w:numPr>
      </w:pPr>
      <w:r>
        <w:t>Backend health service: HUB_UNREACHABLE incidents, with a separate rule/ID namespace. Only verified new hub traffic closes reachability; it does not close a contact request.</w:t>
      </w:r>
    </w:p>
    <w:p>
      <w:pPr>
        <w:pStyle w:val="ListBullet"/>
        <w:numPr>
          <w:ilvl w:val="0"/>
          <w:numId w:val="50"/>
        </w:numPr>
      </w:pPr>
      <w:r>
        <w:t>App: no authoritative incident state while offline. Show pending commands and failed acknowledgements rather than pretending they succeeded.</w:t>
      </w:r>
    </w:p>
    <w:p>
      <w:pPr>
        <w:pStyle w:val="Heading2"/>
        <w:pageBreakBefore/>
      </w:pPr>
      <w:r>
        <w:rPr>
          <w:color w:val="000000"/>
        </w:rPr>
        <w:t>32 modules: bounded responsibilities, not 32 services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650"/>
        <w:gridCol w:w="6360"/>
      </w:tblGrid>
      <w:tr>
        <w:trPr>
          <w:cantSplit/>
          <w:tblHeader/>
        </w:trPr>
        <w:tc>
          <w:tcPr>
            <w:tcW w:type="dxa" w:w="2350"/>
            <w:tcMar>
              <w:top w:w="80" w:type="dxa"/>
              <w:bottom w:w="80" w:type="dxa"/>
              <w:start w:w="120" w:type="dxa"/>
              <w:end w:w="120" w:type="dxa"/>
            </w:tcMar>
            <w:shd w:fill="E8EEF5"/>
          </w:tcPr>
          <w:p>
            <w:pPr>
              <w:pStyle w:val="TableText"/>
            </w:pPr>
            <w:r>
              <w:rPr>
                <w:b/>
              </w:rPr>
              <w:t>Group</w:t>
            </w:r>
          </w:p>
        </w:tc>
        <w:tc>
          <w:tcPr>
            <w:tcW w:type="dxa" w:w="650"/>
            <w:tcMar>
              <w:top w:w="80" w:type="dxa"/>
              <w:bottom w:w="80" w:type="dxa"/>
              <w:start w:w="120" w:type="dxa"/>
              <w:end w:w="120" w:type="dxa"/>
            </w:tcMar>
            <w:shd w:fill="E8EEF5"/>
          </w:tcPr>
          <w:p>
            <w:pPr>
              <w:pStyle w:val="TableText"/>
            </w:pPr>
            <w:r>
              <w:rPr>
                <w:b/>
              </w:rPr>
              <w:t>#</w:t>
            </w:r>
          </w:p>
        </w:tc>
        <w:tc>
          <w:tcPr>
            <w:tcW w:type="dxa" w:w="6360"/>
            <w:tcMar>
              <w:top w:w="80" w:type="dxa"/>
              <w:bottom w:w="80" w:type="dxa"/>
              <w:start w:w="120" w:type="dxa"/>
              <w:end w:w="120" w:type="dxa"/>
            </w:tcMar>
            <w:shd w:fill="E8EEF5"/>
          </w:tcPr>
          <w:p>
            <w:pPr>
              <w:pStyle w:val="TableText"/>
            </w:pPr>
            <w:r>
              <w:rPr>
                <w:b/>
              </w:rPr>
              <w:t>Boundary</w:t>
            </w:r>
          </w:p>
        </w:tc>
      </w:tr>
      <w:tr>
        <w:trPr>
          <w:cantSplit/>
        </w:trPr>
        <w:tc>
          <w:tcPr>
            <w:tcW w:type="dxa" w:w="2350"/>
            <w:tcMar>
              <w:top w:w="80" w:type="dxa"/>
              <w:bottom w:w="80" w:type="dxa"/>
              <w:start w:w="120" w:type="dxa"/>
              <w:end w:w="120" w:type="dxa"/>
            </w:tcMar>
          </w:tcPr>
          <w:p>
            <w:pPr>
              <w:pStyle w:val="TableText"/>
            </w:pPr>
            <w:r>
              <w:t>Node N01–N05</w:t>
            </w:r>
          </w:p>
        </w:tc>
        <w:tc>
          <w:tcPr>
            <w:tcW w:type="dxa" w:w="650"/>
            <w:tcMar>
              <w:top w:w="80" w:type="dxa"/>
              <w:bottom w:w="80" w:type="dxa"/>
              <w:start w:w="120" w:type="dxa"/>
              <w:end w:w="120" w:type="dxa"/>
            </w:tcMar>
          </w:tcPr>
          <w:p>
            <w:pPr>
              <w:pStyle w:val="TableText"/>
            </w:pPr>
            <w:r>
              <w:t>5</w:t>
            </w:r>
          </w:p>
        </w:tc>
        <w:tc>
          <w:tcPr>
            <w:tcW w:type="dxa" w:w="6360"/>
            <w:tcMar>
              <w:top w:w="80" w:type="dxa"/>
              <w:bottom w:w="80" w:type="dxa"/>
              <w:start w:w="120" w:type="dxa"/>
              <w:end w:w="120" w:type="dxa"/>
            </w:tcMar>
          </w:tcPr>
          <w:p>
            <w:pPr>
              <w:pStyle w:val="TableText"/>
            </w:pPr>
            <w:r>
              <w:t>Sensors, radio, power, lifecycle and storage.</w:t>
            </w:r>
          </w:p>
        </w:tc>
      </w:tr>
      <w:tr>
        <w:trPr>
          <w:cantSplit/>
        </w:trPr>
        <w:tc>
          <w:tcPr>
            <w:tcW w:type="dxa" w:w="2350"/>
            <w:tcMar>
              <w:top w:w="80" w:type="dxa"/>
              <w:bottom w:w="80" w:type="dxa"/>
              <w:start w:w="120" w:type="dxa"/>
              <w:end w:w="120" w:type="dxa"/>
            </w:tcMar>
          </w:tcPr>
          <w:p>
            <w:pPr>
              <w:pStyle w:val="TableText"/>
            </w:pPr>
            <w:r>
              <w:t>Hub H01–H08</w:t>
            </w:r>
          </w:p>
        </w:tc>
        <w:tc>
          <w:tcPr>
            <w:tcW w:type="dxa" w:w="650"/>
            <w:tcMar>
              <w:top w:w="80" w:type="dxa"/>
              <w:bottom w:w="80" w:type="dxa"/>
              <w:start w:w="120" w:type="dxa"/>
              <w:end w:w="120" w:type="dxa"/>
            </w:tcMar>
          </w:tcPr>
          <w:p>
            <w:pPr>
              <w:pStyle w:val="TableText"/>
            </w:pPr>
            <w:r>
              <w:t>8</w:t>
            </w:r>
          </w:p>
        </w:tc>
        <w:tc>
          <w:tcPr>
            <w:tcW w:type="dxa" w:w="6360"/>
            <w:tcMar>
              <w:top w:w="80" w:type="dxa"/>
              <w:bottom w:w="80" w:type="dxa"/>
              <w:start w:w="120" w:type="dxa"/>
              <w:end w:w="120" w:type="dxa"/>
            </w:tcMar>
          </w:tcPr>
          <w:p>
            <w:pPr>
              <w:pStyle w:val="TableText"/>
            </w:pPr>
            <w:r>
              <w:t>Ingest, persistence, time, coverage, rules, resident UI, config and cloud link.</w:t>
            </w:r>
          </w:p>
        </w:tc>
      </w:tr>
      <w:tr>
        <w:trPr>
          <w:cantSplit/>
        </w:trPr>
        <w:tc>
          <w:tcPr>
            <w:tcW w:type="dxa" w:w="2350"/>
            <w:tcMar>
              <w:top w:w="80" w:type="dxa"/>
              <w:bottom w:w="80" w:type="dxa"/>
              <w:start w:w="120" w:type="dxa"/>
              <w:end w:w="120" w:type="dxa"/>
            </w:tcMar>
          </w:tcPr>
          <w:p>
            <w:pPr>
              <w:pStyle w:val="TableText"/>
            </w:pPr>
            <w:r>
              <w:t>Backend B01–B08</w:t>
            </w:r>
          </w:p>
        </w:tc>
        <w:tc>
          <w:tcPr>
            <w:tcW w:type="dxa" w:w="650"/>
            <w:tcMar>
              <w:top w:w="80" w:type="dxa"/>
              <w:bottom w:w="80" w:type="dxa"/>
              <w:start w:w="120" w:type="dxa"/>
              <w:end w:w="120" w:type="dxa"/>
            </w:tcMar>
          </w:tcPr>
          <w:p>
            <w:pPr>
              <w:pStyle w:val="TableText"/>
            </w:pPr>
            <w:r>
              <w:t>8</w:t>
            </w:r>
          </w:p>
        </w:tc>
        <w:tc>
          <w:tcPr>
            <w:tcW w:type="dxa" w:w="6360"/>
            <w:tcMar>
              <w:top w:w="80" w:type="dxa"/>
              <w:bottom w:w="80" w:type="dxa"/>
              <w:start w:w="120" w:type="dxa"/>
              <w:end w:w="120" w:type="dxa"/>
            </w:tcMar>
          </w:tcPr>
          <w:p>
            <w:pPr>
              <w:pStyle w:val="TableText"/>
            </w:pPr>
            <w:r>
              <w:t>Identity, home/consent, ingest, incidents, notifications, fleet, queries and operations.</w:t>
            </w:r>
          </w:p>
        </w:tc>
      </w:tr>
      <w:tr>
        <w:trPr>
          <w:cantSplit/>
        </w:trPr>
        <w:tc>
          <w:tcPr>
            <w:tcW w:type="dxa" w:w="2350"/>
            <w:tcMar>
              <w:top w:w="80" w:type="dxa"/>
              <w:bottom w:w="80" w:type="dxa"/>
              <w:start w:w="120" w:type="dxa"/>
              <w:end w:w="120" w:type="dxa"/>
            </w:tcMar>
          </w:tcPr>
          <w:p>
            <w:pPr>
              <w:pStyle w:val="TableText"/>
            </w:pPr>
            <w:r>
              <w:t>App A01–A05</w:t>
            </w:r>
          </w:p>
        </w:tc>
        <w:tc>
          <w:tcPr>
            <w:tcW w:type="dxa" w:w="650"/>
            <w:tcMar>
              <w:top w:w="80" w:type="dxa"/>
              <w:bottom w:w="80" w:type="dxa"/>
              <w:start w:w="120" w:type="dxa"/>
              <w:end w:w="120" w:type="dxa"/>
            </w:tcMar>
          </w:tcPr>
          <w:p>
            <w:pPr>
              <w:pStyle w:val="TableText"/>
            </w:pPr>
            <w:r>
              <w:t>5</w:t>
            </w:r>
          </w:p>
        </w:tc>
        <w:tc>
          <w:tcPr>
            <w:tcW w:type="dxa" w:w="6360"/>
            <w:tcMar>
              <w:top w:w="80" w:type="dxa"/>
              <w:bottom w:w="80" w:type="dxa"/>
              <w:start w:w="120" w:type="dxa"/>
              <w:end w:w="120" w:type="dxa"/>
            </w:tcMar>
          </w:tcPr>
          <w:p>
            <w:pPr>
              <w:pStyle w:val="TableText"/>
            </w:pPr>
            <w:r>
              <w:t>Onboarding, home, routine settings, incidents and platform integration.</w:t>
            </w:r>
          </w:p>
        </w:tc>
      </w:tr>
      <w:tr>
        <w:trPr>
          <w:cantSplit/>
        </w:trPr>
        <w:tc>
          <w:tcPr>
            <w:tcW w:type="dxa" w:w="2350"/>
            <w:tcMar>
              <w:top w:w="80" w:type="dxa"/>
              <w:bottom w:w="80" w:type="dxa"/>
              <w:start w:w="120" w:type="dxa"/>
              <w:end w:w="120" w:type="dxa"/>
            </w:tcMar>
          </w:tcPr>
          <w:p>
            <w:pPr>
              <w:pStyle w:val="TableText"/>
            </w:pPr>
            <w:r>
              <w:t>Shared S01–S03</w:t>
            </w:r>
          </w:p>
        </w:tc>
        <w:tc>
          <w:tcPr>
            <w:tcW w:type="dxa" w:w="650"/>
            <w:tcMar>
              <w:top w:w="80" w:type="dxa"/>
              <w:bottom w:w="80" w:type="dxa"/>
              <w:start w:w="120" w:type="dxa"/>
              <w:end w:w="120" w:type="dxa"/>
            </w:tcMar>
          </w:tcPr>
          <w:p>
            <w:pPr>
              <w:pStyle w:val="TableText"/>
            </w:pPr>
            <w:r>
              <w:t>3</w:t>
            </w:r>
          </w:p>
        </w:tc>
        <w:tc>
          <w:tcPr>
            <w:tcW w:type="dxa" w:w="6360"/>
            <w:tcMar>
              <w:top w:w="80" w:type="dxa"/>
              <w:bottom w:w="80" w:type="dxa"/>
              <w:start w:w="120" w:type="dxa"/>
              <w:end w:w="120" w:type="dxa"/>
            </w:tcMar>
          </w:tcPr>
          <w:p>
            <w:pPr>
              <w:pStyle w:val="TableText"/>
            </w:pPr>
            <w:r>
              <w:t>Contracts, deterministic rule core and firmware security/update utilities.</w:t>
            </w:r>
          </w:p>
        </w:tc>
      </w:tr>
      <w:tr>
        <w:trPr>
          <w:cantSplit/>
        </w:trPr>
        <w:tc>
          <w:tcPr>
            <w:tcW w:type="dxa" w:w="2350"/>
            <w:tcMar>
              <w:top w:w="80" w:type="dxa"/>
              <w:bottom w:w="80" w:type="dxa"/>
              <w:start w:w="120" w:type="dxa"/>
              <w:end w:w="120" w:type="dxa"/>
            </w:tcMar>
          </w:tcPr>
          <w:p>
            <w:pPr>
              <w:pStyle w:val="TableText"/>
            </w:pPr>
            <w:r>
              <w:t>Test/operations T01–T03</w:t>
            </w:r>
          </w:p>
        </w:tc>
        <w:tc>
          <w:tcPr>
            <w:tcW w:type="dxa" w:w="650"/>
            <w:tcMar>
              <w:top w:w="80" w:type="dxa"/>
              <w:bottom w:w="80" w:type="dxa"/>
              <w:start w:w="120" w:type="dxa"/>
              <w:end w:w="120" w:type="dxa"/>
            </w:tcMar>
          </w:tcPr>
          <w:p>
            <w:pPr>
              <w:pStyle w:val="TableText"/>
            </w:pPr>
            <w:r>
              <w:t>3</w:t>
            </w:r>
          </w:p>
        </w:tc>
        <w:tc>
          <w:tcPr>
            <w:tcW w:type="dxa" w:w="6360"/>
            <w:tcMar>
              <w:top w:w="80" w:type="dxa"/>
              <w:bottom w:w="80" w:type="dxa"/>
              <w:start w:w="120" w:type="dxa"/>
              <w:end w:w="120" w:type="dxa"/>
            </w:tcMar>
          </w:tcPr>
          <w:p>
            <w:pPr>
              <w:pStyle w:val="TableText"/>
            </w:pPr>
            <w:r>
              <w:t>Simulation, hardware-in-loop and deployment/runbooks.</w:t>
            </w:r>
          </w:p>
        </w:tc>
      </w:tr>
    </w:tbl>
    <w:p>
      <w:pPr>
        <w:pStyle w:val="TableSpacer"/>
      </w:pPr>
    </w:p>
    <w:p>
      <w:pPr>
        <w:pStyle w:val="SpecBody"/>
      </w:pPr>
      <w:r>
        <w:t>Within firmware, use static queues and a small number of tasks rather than one task per module. Proposed hub tasks: ingest dispatcher, storage/rules worker, resident UI, cloud worker and maintenance/health. A single state-owning worker serializes rule/config transitions; callbacks enqueue bounded data and never write flash, block on the network or play audio. Resident inputs have reserved admission capacity and priority over diagnostics.</w:t>
      </w:r>
    </w:p>
    <w:p>
      <w:pPr>
        <w:pStyle w:val="SpecBody"/>
      </w:pPr>
      <w:r>
        <w:t>Module interfaces use immutable value objects and explicit Result/Error types. Inject Clock, EventStore, RadioTransport and Notifier ports into tests. Backend services access repositories through interfaces; API handlers perform authentication/validation and invoke services, not raw cross-domain SQL. Dependency direction: app/transport adapters → application services → domain/contracts. Domain code never imports a UI/provider SDK.</w:t>
      </w:r>
    </w:p>
    <w:p>
      <w:pPr>
        <w:pStyle w:val="Heading2"/>
      </w:pPr>
      <w:r>
        <w:rPr>
          <w:color w:val="000000"/>
        </w:rPr>
        <w:t>How to read requirement-to-module ownership</w:t>
      </w:r>
    </w:p>
    <w:p>
      <w:pPr>
        <w:pStyle w:val="SpecBody"/>
      </w:pPr>
      <w:r>
        <w:t>A requirement ID is a stable behavioral contract; module IDs name the code boundaries that collaborate to satisfy it. A comma-separated list is ownership traceability, not an execution order and not a set of separate services. The first prefix indicates the deployment/code layer.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100"/>
        <w:gridCol w:w="2350"/>
        <w:gridCol w:w="5910"/>
      </w:tblGrid>
      <w:tr>
        <w:trPr>
          <w:cantSplit/>
          <w:tblHeader w:val="true"/>
        </w:trPr>
        <w:tc>
          <w:tcPr>
            <w:tcW w:type="dxa" w:w="11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Prefix</w:t>
            </w:r>
          </w:p>
        </w:tc>
        <w:tc>
          <w:tcPr>
            <w:tcW w:type="dxa" w:w="23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Layer</w:t>
            </w:r>
          </w:p>
        </w:tc>
        <w:tc>
          <w:tcPr>
            <w:tcW w:type="dxa" w:w="59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 in this baseline</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N</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Node firmware</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ESP32-C3 sampling, retained work, radio, power and lifecycle</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H</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Hub firmware</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ESP32 hub admission, persistence, time, coverage, rules, UI, config and cloud sync</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B</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Backend</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Identity, home/consent, ingest, incidents, notification, fleet, queries and operations</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A</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Caregiver application</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Onboarding, home view, routines, incident actions and browser platform</w:t>
            </w:r>
          </w:p>
        </w:tc>
      </w:tr>
      <w:tr>
        <w:trPr>
          <w:cantSplit/>
        </w:trPr>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7"/>
              </w:rPr>
              <w:t>S</w:t>
            </w:r>
          </w:p>
        </w:tc>
        <w:tc>
          <w:tcPr>
            <w:tcW w:type="dxa" w:w="2350"/>
            <w:tcMar>
              <w:top w:w="80" w:type="dxa"/>
              <w:start w:w="120" w:type="dxa"/>
              <w:bottom w:w="80" w:type="dxa"/>
              <w:end w:w="120" w:type="dxa"/>
            </w:tcMar>
            <w:vAlign w:val="center"/>
          </w:tcPr>
          <w:p>
            <w:pPr>
              <w:keepNext/>
              <w:spacing w:before="0" w:after="60" w:line="240" w:lineRule="auto"/>
            </w:pPr>
            <w:r>
              <w:rPr>
                <w:rFonts w:ascii="Calibri" w:hAnsi="Calibri"/>
                <w:sz w:val="17"/>
              </w:rPr>
              <w:t>Shared</w:t>
            </w:r>
          </w:p>
        </w:tc>
        <w:tc>
          <w:tcPr>
            <w:tcW w:type="dxa" w:w="5910"/>
            <w:tcMar>
              <w:top w:w="80" w:type="dxa"/>
              <w:start w:w="120" w:type="dxa"/>
              <w:bottom w:w="80" w:type="dxa"/>
              <w:end w:w="120" w:type="dxa"/>
            </w:tcMar>
            <w:vAlign w:val="center"/>
          </w:tcPr>
          <w:p>
            <w:pPr>
              <w:keepNext/>
              <w:spacing w:before="0" w:after="60" w:line="240" w:lineRule="auto"/>
            </w:pPr>
            <w:r>
              <w:rPr>
                <w:rFonts w:ascii="Calibri" w:hAnsi="Calibri"/>
                <w:sz w:val="17"/>
              </w:rPr>
              <w:t>Wire contracts, deterministic rule core and firmware security/update policy</w:t>
            </w:r>
          </w:p>
        </w:tc>
      </w:tr>
      <w:tr>
        <w:trPr>
          <w:cantSplit/>
        </w:trPr>
        <w:tc>
          <w:tcPr>
            <w:tcW w:type="dxa" w:w="1100"/>
            <w:tcMar>
              <w:top w:w="80" w:type="dxa"/>
              <w:start w:w="120" w:type="dxa"/>
              <w:bottom w:w="80" w:type="dxa"/>
              <w:end w:w="120" w:type="dxa"/>
            </w:tcMar>
            <w:vAlign w:val="center"/>
          </w:tcPr>
          <w:p>
            <w:pPr>
              <w:spacing w:before="0" w:after="60" w:line="240" w:lineRule="auto"/>
            </w:pPr>
            <w:r>
              <w:rPr>
                <w:rFonts w:ascii="Calibri" w:hAnsi="Calibri"/>
                <w:sz w:val="17"/>
              </w:rPr>
              <w:t>T</w:t>
            </w:r>
          </w:p>
        </w:tc>
        <w:tc>
          <w:tcPr>
            <w:tcW w:type="dxa" w:w="2350"/>
            <w:tcMar>
              <w:top w:w="80" w:type="dxa"/>
              <w:start w:w="120" w:type="dxa"/>
              <w:bottom w:w="80" w:type="dxa"/>
              <w:end w:w="120" w:type="dxa"/>
            </w:tcMar>
            <w:vAlign w:val="center"/>
          </w:tcPr>
          <w:p>
            <w:pPr>
              <w:spacing w:before="0" w:after="60" w:line="240" w:lineRule="auto"/>
            </w:pPr>
            <w:r>
              <w:rPr>
                <w:rFonts w:ascii="Calibri" w:hAnsi="Calibri"/>
                <w:sz w:val="17"/>
              </w:rPr>
              <w:t>Verification/operations</w:t>
            </w:r>
          </w:p>
        </w:tc>
        <w:tc>
          <w:tcPr>
            <w:tcW w:type="dxa" w:w="5910"/>
            <w:tcMar>
              <w:top w:w="80" w:type="dxa"/>
              <w:start w:w="120" w:type="dxa"/>
              <w:bottom w:w="80" w:type="dxa"/>
              <w:end w:w="120" w:type="dxa"/>
            </w:tcMar>
            <w:vAlign w:val="center"/>
          </w:tcPr>
          <w:p>
            <w:pPr>
              <w:spacing w:before="0" w:after="60" w:line="240" w:lineRule="auto"/>
            </w:pPr>
            <w:r>
              <w:rPr>
                <w:rFonts w:ascii="Calibri" w:hAnsi="Calibri"/>
                <w:sz w:val="17"/>
              </w:rPr>
              <w:t>Simulation/CI, HIL tooling and deployment/runbook assets</w:t>
            </w:r>
          </w:p>
        </w:tc>
      </w:tr>
    </w:tbl>
    <w:p>
      <w:pPr>
        <w:pStyle w:val="Heading3"/>
      </w:pPr>
      <w:r>
        <w:rPr>
          <w:color w:val="000000"/>
        </w:rPr>
        <w:t>F01 example flow</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800"/>
        <w:gridCol w:w="1300"/>
        <w:gridCol w:w="7260"/>
      </w:tblGrid>
      <w:tr>
        <w:trPr>
          <w:cantSplit/>
          <w:tblHeader w:val="true"/>
        </w:trPr>
        <w:tc>
          <w:tcPr>
            <w:tcW w:type="dxa" w:w="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Step</w:t>
            </w:r>
          </w:p>
        </w:tc>
        <w:tc>
          <w:tcPr>
            <w:tcW w:type="dxa" w:w="1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Owner</w:t>
            </w:r>
          </w:p>
        </w:tc>
        <w:tc>
          <w:tcPr>
            <w:tcW w:type="dxa" w:w="72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Implemented flow</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1</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A01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Validate home name, IANA timezone, resident consent and distinct primary/backup caregivers; build idempotent create-home command.</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2</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B01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Create home-scoped OWNER/CAREGIVER memberships and enforce access on every read/action.</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3</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B02</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Persist the household, consent state, route and version; withdrawal enters privacy mode.</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7"/>
              </w:rPr>
              <w:t>4</w:t>
            </w:r>
          </w:p>
        </w:tc>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7"/>
              </w:rPr>
              <w:t>S01</w:t>
            </w:r>
          </w:p>
        </w:tc>
        <w:tc>
          <w:tcPr>
            <w:tcW w:type="dxa" w:w="7260"/>
            <w:tcMar>
              <w:top w:w="80" w:type="dxa"/>
              <w:start w:w="120" w:type="dxa"/>
              <w:bottom w:w="80" w:type="dxa"/>
              <w:end w:w="120" w:type="dxa"/>
            </w:tcMar>
            <w:vAlign w:val="center"/>
          </w:tcPr>
          <w:p>
            <w:pPr>
              <w:keepNext/>
              <w:spacing w:before="0" w:after="60" w:line="240" w:lineRule="auto"/>
            </w:pPr>
            <w:r>
              <w:rPr>
                <w:rFonts w:ascii="Calibri" w:hAnsi="Calibri"/>
                <w:sz w:val="17"/>
              </w:rPr>
              <w:t>Carry canonical identifiers/versions across API and device configuration contracts.</w:t>
            </w:r>
          </w:p>
        </w:tc>
      </w:tr>
      <w:tr>
        <w:trPr>
          <w:cantSplit/>
        </w:trPr>
        <w:tc>
          <w:tcPr>
            <w:tcW w:type="dxa" w:w="800"/>
            <w:tcMar>
              <w:top w:w="80" w:type="dxa"/>
              <w:start w:w="120" w:type="dxa"/>
              <w:bottom w:w="80" w:type="dxa"/>
              <w:end w:w="120" w:type="dxa"/>
            </w:tcMar>
            <w:vAlign w:val="center"/>
          </w:tcPr>
          <w:p>
            <w:pPr>
              <w:spacing w:before="0" w:after="60" w:line="240" w:lineRule="auto"/>
            </w:pPr>
            <w:r>
              <w:rPr>
                <w:rFonts w:ascii="Calibri" w:hAnsi="Calibri"/>
                <w:sz w:val="17"/>
              </w:rPr>
              <w:t>5</w:t>
            </w:r>
          </w:p>
        </w:tc>
        <w:tc>
          <w:tcPr>
            <w:tcW w:type="dxa" w:w="1300"/>
            <w:tcMar>
              <w:top w:w="80" w:type="dxa"/>
              <w:start w:w="120" w:type="dxa"/>
              <w:bottom w:w="80" w:type="dxa"/>
              <w:end w:w="120" w:type="dxa"/>
            </w:tcMar>
            <w:vAlign w:val="center"/>
          </w:tcPr>
          <w:p>
            <w:pPr>
              <w:spacing w:before="0" w:after="60" w:line="240" w:lineRule="auto"/>
            </w:pPr>
            <w:r>
              <w:rPr>
                <w:rFonts w:ascii="Calibri" w:hAnsi="Calibri"/>
                <w:sz w:val="17"/>
              </w:rPr>
              <w:t>Verification</w:t>
            </w:r>
          </w:p>
        </w:tc>
        <w:tc>
          <w:tcPr>
            <w:tcW w:type="dxa" w:w="7260"/>
            <w:tcMar>
              <w:top w:w="80" w:type="dxa"/>
              <w:start w:w="120" w:type="dxa"/>
              <w:bottom w:w="80" w:type="dxa"/>
              <w:end w:w="120" w:type="dxa"/>
            </w:tcMar>
            <w:vAlign w:val="center"/>
          </w:tcPr>
          <w:p>
            <w:pPr>
              <w:spacing w:before="0" w:after="60" w:line="240" w:lineRule="auto"/>
            </w:pPr>
            <w:r>
              <w:rPr>
                <w:rFonts w:ascii="Calibri" w:hAnsi="Calibri"/>
                <w:sz w:val="17"/>
              </w:rPr>
              <w:t>Cross-home access fails; passive motion remains household/location evidence and never names a resident.</w:t>
            </w:r>
          </w:p>
        </w:tc>
      </w:tr>
    </w:tbl>
    <w:p>
      <w:pPr>
        <w:pStyle w:val="Heading3"/>
      </w:pPr>
      <w:r>
        <w:rPr>
          <w:color w:val="000000"/>
        </w:rPr>
        <w:t>Proposed hub FreeRTOS binding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800"/>
        <w:gridCol w:w="1400"/>
        <w:gridCol w:w="6160"/>
      </w:tblGrid>
      <w:tr>
        <w:trPr>
          <w:cantSplit/>
          <w:tblHeader w:val="true"/>
        </w:trPr>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Execution context</w:t>
            </w:r>
          </w:p>
        </w:tc>
        <w:tc>
          <w:tcPr>
            <w:tcW w:type="dxa" w:w="14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6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Required behavior</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ESP-NOW callback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H01</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Authenticate/copy fixed data to static queue; never block, write flash or run a rule.</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hub_event_task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H01–H07</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Only rule/config/coverage state writer: privacy gate → durable journal → coverage → S02 reducer → ACK.</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cloud_sync_task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H08</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Manage Wi-Fi/MQTT and committed outbox; application DB-commit ACK retires records.</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ui_task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H06</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Debounce buttons/privacy, enqueue action, render immutable state snapshot and fixed feedback.</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maintenance_task</w:t>
            </w:r>
          </w:p>
        </w:tc>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H07/S03</w:t>
            </w:r>
          </w:p>
        </w:tc>
        <w:tc>
          <w:tcPr>
            <w:tcW w:type="dxa" w:w="6160"/>
            <w:tcMar>
              <w:top w:w="80" w:type="dxa"/>
              <w:start w:w="120" w:type="dxa"/>
              <w:bottom w:w="80" w:type="dxa"/>
              <w:end w:w="120" w:type="dxa"/>
            </w:tcMar>
            <w:vAlign w:val="center"/>
          </w:tcPr>
          <w:p>
            <w:pPr>
              <w:keepNext/>
              <w:spacing w:before="0" w:after="60" w:line="240" w:lineRule="auto"/>
            </w:pPr>
            <w:r>
              <w:rPr>
                <w:rFonts w:ascii="Calibri" w:hAnsi="Calibri"/>
                <w:sz w:val="16"/>
              </w:rPr>
              <w:t>Bounded service window, diagnostics and signed update orchestration.</w:t>
            </w:r>
          </w:p>
        </w:tc>
      </w:tr>
      <w:tr>
        <w:trPr>
          <w:cantSplit/>
        </w:trPr>
        <w:tc>
          <w:tcPr>
            <w:tcW w:type="dxa" w:w="1800"/>
            <w:tcMar>
              <w:top w:w="80" w:type="dxa"/>
              <w:start w:w="120" w:type="dxa"/>
              <w:bottom w:w="80" w:type="dxa"/>
              <w:end w:w="120" w:type="dxa"/>
            </w:tcMar>
            <w:vAlign w:val="center"/>
          </w:tcPr>
          <w:p>
            <w:pPr>
              <w:spacing w:before="0" w:after="60" w:line="240" w:lineRule="auto"/>
            </w:pPr>
            <w:r>
              <w:rPr>
                <w:rFonts w:ascii="Calibri" w:hAnsi="Calibri"/>
                <w:sz w:val="16"/>
              </w:rPr>
              <w:t>FreeRTOS timers</w:t>
            </w:r>
          </w:p>
        </w:tc>
        <w:tc>
          <w:tcPr>
            <w:tcW w:type="dxa" w:w="1400"/>
            <w:tcMar>
              <w:top w:w="80" w:type="dxa"/>
              <w:start w:w="120" w:type="dxa"/>
              <w:bottom w:w="80" w:type="dxa"/>
              <w:end w:w="120" w:type="dxa"/>
            </w:tcMar>
            <w:vAlign w:val="center"/>
          </w:tcPr>
          <w:p>
            <w:pPr>
              <w:spacing w:before="0" w:after="60" w:line="240" w:lineRule="auto"/>
            </w:pPr>
            <w:r>
              <w:rPr>
                <w:rFonts w:ascii="Calibri" w:hAnsi="Calibri"/>
                <w:sz w:val="16"/>
              </w:rPr>
              <w:t>H03/H04</w:t>
            </w:r>
          </w:p>
        </w:tc>
        <w:tc>
          <w:tcPr>
            <w:tcW w:type="dxa" w:w="6160"/>
            <w:tcMar>
              <w:top w:w="80" w:type="dxa"/>
              <w:start w:w="120" w:type="dxa"/>
              <w:bottom w:w="80" w:type="dxa"/>
              <w:end w:w="120" w:type="dxa"/>
            </w:tcMar>
            <w:vAlign w:val="center"/>
          </w:tcPr>
          <w:p>
            <w:pPr>
              <w:spacing w:before="0" w:after="60" w:line="240" w:lineRule="auto"/>
            </w:pPr>
            <w:r>
              <w:rPr>
                <w:rFonts w:ascii="Calibri" w:hAnsi="Calibri"/>
                <w:sz w:val="16"/>
              </w:rPr>
              <w:t>Enqueue deadline/lease/grace events; callbacks never mutate authoritative state.</w:t>
            </w:r>
          </w:p>
        </w:tc>
      </w:tr>
    </w:tbl>
    <w:p>
      <w:pPr>
        <w:pStyle w:val="SpecBody"/>
      </w:pPr>
      <w:r>
        <w:t>ESP-IDF already includes FreeRTOS. Do not install a second RTOS. Proposed task priority/stack values are starting points only and require high-water, queue-occupancy and starvation measurements on the exact hub board and pinned ESP-IDF build.</w:t>
      </w:r>
    </w:p>
    <w:p>
      <w:bookmarkStart w:id="4" w:name="hardware"/>
      <w:pPr>
        <w:pStyle w:val="Heading1"/>
        <w:pageBreakBefore/>
      </w:pPr>
      <w:r>
        <w:rPr>
          <w:color w:val="000000"/>
        </w:rPr>
        <w:t>4. Hardware and power specification</w:t>
      </w:r>
      <w:bookmarkEnd w:id="4"/>
    </w:p>
    <w:tbl>
      <w:tblPr>
        <w:tblW w:type="dxa" w:w="9360"/>
        <w:tblLayout w:type="fixed"/>
        <w:tblLook w:firstColumn="1" w:firstRow="1" w:lastColumn="0" w:lastRow="0" w:noHBand="0" w:noVBand="1" w:val="04A0"/>
        <w:jc w:val="left"/>
        <w:tblInd w:type="dxa" w:w="120"/>
        <w:tblBorders>
          <w:top w:val="single" w:sz="4" w:color="B8C5D1" w:space="0"/>
          <w:left w:val="single" w:sz="4" w:color="B8C5D1" w:space="0"/>
          <w:bottom w:val="single" w:sz="4" w:color="B8C5D1" w:space="0"/>
          <w:right w:val="single" w:sz="4" w:color="B8C5D1" w:space="0"/>
          <w:insideH w:val="single" w:sz="4" w:color="B8C5D1" w:space="0"/>
          <w:insideV w:val="single" w:sz="4" w:color="B8C5D1" w:space="0"/>
        </w:tblBorders>
      </w:tblPr>
      <w:tblGrid>
        <w:gridCol w:w="1500"/>
        <w:gridCol w:w="2650"/>
        <w:gridCol w:w="5210"/>
      </w:tblGrid>
      <w:tr>
        <w:trPr>
          <w:cantSplit/>
          <w:tblHeader/>
          <w:cantSplit/>
          <w:tblHeader w:val="true"/>
        </w:trPr>
        <w:tc>
          <w:tcPr>
            <w:tcW w:type="dxa" w:w="150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Item</w:t>
            </w:r>
          </w:p>
        </w:tc>
        <w:tc>
          <w:tcPr>
            <w:tcW w:type="dxa" w:w="265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P0 quantity / interface</w:t>
            </w:r>
          </w:p>
        </w:tc>
        <w:tc>
          <w:tcPr>
            <w:tcW w:type="dxa" w:w="5210"/>
            <w:tcMar>
              <w:top w:w="80" w:type="dxa"/>
              <w:bottom w:w="80" w:type="dxa"/>
              <w:start w:w="120" w:type="dxa"/>
              <w:end w:w="120" w:type="dxa"/>
            </w:tcMar>
            <w:shd w:fill="E8EEF5"/>
            <w:vAlign w:val="center"/>
          </w:tcPr>
          <w:p>
            <w:pPr>
              <w:spacing w:before="0" w:after="60" w:line="240" w:lineRule="auto"/>
            </w:pPr>
            <w:r>
              <w:rPr>
                <w:rFonts w:ascii="Calibri" w:hAnsi="Calibri"/>
                <w:b/>
                <w:color w:val="1F4D78"/>
                <w:sz w:val="18"/>
              </w:rPr>
              <w:t>Design and verification requirements</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HW-HUB</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1 × ESP32 DevKit V1 candidate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Verify exact 30/38-pin supplier variant, ESP32 module, flash, regulator, USB power path, radio behavior and usable pins. No camera or microphone in P0.</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HW-NODES</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4 × ESP32-C3 nodes</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Each node has a unique identity and declared PIR/reed capability profile. Exact SuperMini supplier variant, flash, LEDs and sleep leakage require measurement.</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HW-PIR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Up to 4 × low-power PIR</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One per selected node; minimum two independently placed and tested zones for unattended routine monitoring. Validate 3.3-V output, warm-up, hold time and field of view.</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HW-DOOR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1 × reed/magnet on a selected node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Debounced GPIO input, initial-state sample, mounting-gap and cable-strain test. A combined PIR+reed node is allowed only after placement and power validation.</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HW-UI</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2 buttons + latching privacy switch</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I’m OK; Call family; Privacy. Large tactile labels, distinct placement, no color-only meaning.</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HW-FEEDBACK</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OLED + status LED; optional speaker</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I²C display. Existing 8-ohm speaker requires a suitable amplifier and supply validation. Fixed prompts only; no microphone.</w:t>
            </w:r>
          </w:p>
        </w:tc>
      </w:tr>
      <w:tr>
        <w:trPr>
          <w:cantSplit/>
          <w:cantSplit/>
        </w:trPr>
        <w:tc>
          <w:tcPr>
            <w:tcW w:type="dxa" w:w="1500"/>
            <w:tcMar>
              <w:top w:w="80" w:type="dxa"/>
              <w:bottom w:w="80" w:type="dxa"/>
              <w:start w:w="120" w:type="dxa"/>
              <w:end w:w="120" w:type="dxa"/>
            </w:tcMar>
            <w:vAlign w:val="center"/>
          </w:tcPr>
          <w:p>
            <w:pPr>
              <w:spacing w:before="0" w:after="60" w:line="240" w:lineRule="auto"/>
            </w:pPr>
            <w:r>
              <w:rPr>
                <w:rFonts w:ascii="Calibri" w:hAnsi="Calibri"/>
                <w:sz w:val="18"/>
              </w:rPr>
              <w:t>HW-POWER</w:t>
            </w:r>
          </w:p>
        </w:tc>
        <w:tc>
          <w:tcPr>
            <w:tcW w:type="dxa" w:w="2650"/>
            <w:tcMar>
              <w:top w:w="80" w:type="dxa"/>
              <w:bottom w:w="80" w:type="dxa"/>
              <w:start w:w="120" w:type="dxa"/>
              <w:end w:w="120" w:type="dxa"/>
            </w:tcMar>
            <w:vAlign w:val="center"/>
          </w:tcPr>
          <w:p>
            <w:pPr>
              <w:spacing w:before="0" w:after="60" w:line="240" w:lineRule="auto"/>
            </w:pPr>
            <w:r>
              <w:rPr>
                <w:rFonts w:ascii="Calibri" w:hAnsi="Calibri"/>
                <w:sz w:val="18"/>
              </w:rPr>
              <w:t>4 rechargeable node supplies; hub 5 V USB + backup candidate</w:t>
            </w:r>
          </w:p>
        </w:tc>
        <w:tc>
          <w:tcPr>
            <w:tcW w:type="dxa" w:w="5210"/>
            <w:tcMar>
              <w:top w:w="80" w:type="dxa"/>
              <w:bottom w:w="80" w:type="dxa"/>
              <w:start w:w="120" w:type="dxa"/>
              <w:end w:w="120" w:type="dxa"/>
            </w:tcMar>
            <w:vAlign w:val="center"/>
          </w:tcPr>
          <w:p>
            <w:pPr>
              <w:spacing w:before="0" w:after="60" w:line="240" w:lineRule="auto"/>
            </w:pPr>
            <w:r>
              <w:rPr>
                <w:rFonts w:ascii="Calibri" w:hAnsi="Calibri"/>
                <w:sz w:val="18"/>
              </w:rPr>
              <w:t>Protected cells/packs, matched charger/power path, regulator, battery measurement and safe enclosure. Two-cell shield may support the bench prototype; commercial power hardware needs supply-transition, thermal, abuse and lifecycle qualification.</w:t>
            </w:r>
          </w:p>
        </w:tc>
      </w:tr>
      <w:tr>
        <w:trPr>
          <w:cantSplit/>
        </w:trPr>
        <w:tc>
          <w:tcPr>
            <w:tcW w:type="dxa" w:w="1500"/>
            <w:vAlign w:val="center"/>
          </w:tcPr>
          <w:p>
            <w:pPr>
              <w:spacing w:before="0" w:after="60" w:line="240" w:lineRule="auto"/>
            </w:pPr>
            <w:r>
              <w:rPr>
                <w:rFonts w:ascii="Calibri" w:hAnsi="Calibri"/>
                <w:sz w:val="18"/>
              </w:rPr>
              <w:t>HW-SERVICE</w:t>
            </w:r>
          </w:p>
        </w:tc>
        <w:tc>
          <w:tcPr>
            <w:tcW w:type="dxa" w:w="2650"/>
            <w:vAlign w:val="center"/>
          </w:tcPr>
          <w:p>
            <w:pPr>
              <w:spacing w:before="0" w:after="60" w:line="240" w:lineRule="auto"/>
            </w:pPr>
            <w:r>
              <w:rPr>
                <w:rFonts w:ascii="Calibri" w:hAnsi="Calibri"/>
                <w:sz w:val="18"/>
              </w:rPr>
              <w:t>USB access + kit labels</w:t>
            </w:r>
          </w:p>
        </w:tc>
        <w:tc>
          <w:tcPr>
            <w:tcW w:type="dxa" w:w="5210"/>
            <w:vAlign w:val="center"/>
          </w:tcPr>
          <w:p>
            <w:pPr>
              <w:spacing w:before="0" w:after="60" w:line="240" w:lineRule="auto"/>
            </w:pPr>
            <w:r>
              <w:rPr>
                <w:rFonts w:ascii="Calibri" w:hAnsi="Calibri"/>
                <w:sz w:val="18"/>
              </w:rPr>
              <w:t>Provisioning/update jig, test pads and serial/QR traceability; no exposed unsafe battery terminals. OTA does not remove the need for recoverable local service access.</w:t>
            </w:r>
          </w:p>
        </w:tc>
      </w:tr>
    </w:tbl>
    <w:p>
      <w:pPr>
        <w:pStyle w:val="TableSpacer"/>
      </w:pPr>
    </w:p>
    <w:p>
      <w:pPr>
        <w:pStyle w:val="Heading2"/>
      </w:pPr>
      <w:r>
        <w:rPr>
          <w:color w:val="000000"/>
        </w:rPr>
        <w:t>Logical I/O contract — physical pin numbers intentionally open</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260"/>
        <w:gridCol w:w="3300"/>
        <w:gridCol w:w="3800"/>
      </w:tblGrid>
      <w:tr>
        <w:trPr>
          <w:cantSplit/>
          <w:tblHeader/>
        </w:trPr>
        <w:tc>
          <w:tcPr>
            <w:tcW w:type="dxa" w:w="2260"/>
            <w:tcMar>
              <w:top w:w="80" w:type="dxa"/>
              <w:bottom w:w="80" w:type="dxa"/>
              <w:start w:w="120" w:type="dxa"/>
              <w:end w:w="120" w:type="dxa"/>
            </w:tcMar>
            <w:shd w:fill="E8EEF5"/>
          </w:tcPr>
          <w:p>
            <w:pPr>
              <w:pStyle w:val="TableText"/>
            </w:pPr>
            <w:r>
              <w:rPr>
                <w:b/>
              </w:rPr>
              <w:t>Signal</w:t>
            </w:r>
          </w:p>
        </w:tc>
        <w:tc>
          <w:tcPr>
            <w:tcW w:type="dxa" w:w="3300"/>
            <w:tcMar>
              <w:top w:w="80" w:type="dxa"/>
              <w:bottom w:w="80" w:type="dxa"/>
              <w:start w:w="120" w:type="dxa"/>
              <w:end w:w="120" w:type="dxa"/>
            </w:tcMar>
            <w:shd w:fill="E8EEF5"/>
          </w:tcPr>
          <w:p>
            <w:pPr>
              <w:pStyle w:val="TableText"/>
            </w:pPr>
            <w:r>
              <w:rPr>
                <w:b/>
              </w:rPr>
              <w:t>Required behavior</w:t>
            </w:r>
          </w:p>
        </w:tc>
        <w:tc>
          <w:tcPr>
            <w:tcW w:type="dxa" w:w="3800"/>
            <w:tcMar>
              <w:top w:w="80" w:type="dxa"/>
              <w:bottom w:w="80" w:type="dxa"/>
              <w:start w:w="120" w:type="dxa"/>
              <w:end w:w="120" w:type="dxa"/>
            </w:tcMar>
            <w:shd w:fill="E8EEF5"/>
          </w:tcPr>
          <w:p>
            <w:pPr>
              <w:pStyle w:val="TableText"/>
            </w:pPr>
            <w:r>
              <w:rPr>
                <w:b/>
              </w:rPr>
              <w:t>Pin/board constraint</w:t>
            </w:r>
          </w:p>
        </w:tc>
      </w:tr>
      <w:tr>
        <w:trPr>
          <w:cantSplit/>
        </w:trPr>
        <w:tc>
          <w:tcPr>
            <w:tcW w:type="dxa" w:w="2260"/>
            <w:tcMar>
              <w:top w:w="80" w:type="dxa"/>
              <w:bottom w:w="80" w:type="dxa"/>
              <w:start w:w="120" w:type="dxa"/>
              <w:end w:w="120" w:type="dxa"/>
            </w:tcMar>
          </w:tcPr>
          <w:p>
            <w:pPr>
              <w:pStyle w:val="TableText"/>
            </w:pPr>
            <w:r>
              <w:t>PIR_IN / REED_IN</w:t>
            </w:r>
          </w:p>
        </w:tc>
        <w:tc>
          <w:tcPr>
            <w:tcW w:type="dxa" w:w="3300"/>
            <w:tcMar>
              <w:top w:w="80" w:type="dxa"/>
              <w:bottom w:w="80" w:type="dxa"/>
              <w:start w:w="120" w:type="dxa"/>
              <w:end w:w="120" w:type="dxa"/>
            </w:tcMar>
          </w:tcPr>
          <w:p>
            <w:pPr>
              <w:pStyle w:val="TableText"/>
            </w:pPr>
            <w:r>
              <w:t>Digital input + debounced wake event</w:t>
            </w:r>
          </w:p>
        </w:tc>
        <w:tc>
          <w:tcPr>
            <w:tcW w:type="dxa" w:w="3800"/>
            <w:tcMar>
              <w:top w:w="80" w:type="dxa"/>
              <w:bottom w:w="80" w:type="dxa"/>
              <w:start w:w="120" w:type="dxa"/>
              <w:end w:w="120" w:type="dxa"/>
            </w:tcMar>
          </w:tcPr>
          <w:p>
            <w:pPr>
              <w:pStyle w:val="TableText"/>
            </w:pPr>
            <w:r>
              <w:t>Verify C3 wake-capable GPIO and boot/USB conflicts; test level-held wake loops.</w:t>
            </w:r>
          </w:p>
        </w:tc>
      </w:tr>
      <w:tr>
        <w:trPr>
          <w:cantSplit/>
        </w:trPr>
        <w:tc>
          <w:tcPr>
            <w:tcW w:type="dxa" w:w="2260"/>
            <w:tcMar>
              <w:top w:w="80" w:type="dxa"/>
              <w:bottom w:w="80" w:type="dxa"/>
              <w:start w:w="120" w:type="dxa"/>
              <w:end w:w="120" w:type="dxa"/>
            </w:tcMar>
          </w:tcPr>
          <w:p>
            <w:pPr>
              <w:pStyle w:val="TableText"/>
            </w:pPr>
            <w:r>
              <w:t>OK_BTN / CALL_BTN</w:t>
            </w:r>
          </w:p>
        </w:tc>
        <w:tc>
          <w:tcPr>
            <w:tcW w:type="dxa" w:w="3300"/>
            <w:tcMar>
              <w:top w:w="80" w:type="dxa"/>
              <w:bottom w:w="80" w:type="dxa"/>
              <w:start w:w="120" w:type="dxa"/>
              <w:end w:w="120" w:type="dxa"/>
            </w:tcMar>
          </w:tcPr>
          <w:p>
            <w:pPr>
              <w:pStyle w:val="TableText"/>
            </w:pPr>
            <w:r>
              <w:t>Separate debounced active input</w:t>
            </w:r>
          </w:p>
        </w:tc>
        <w:tc>
          <w:tcPr>
            <w:tcW w:type="dxa" w:w="3800"/>
            <w:tcMar>
              <w:top w:w="80" w:type="dxa"/>
              <w:bottom w:w="80" w:type="dxa"/>
              <w:start w:w="120" w:type="dxa"/>
              <w:end w:w="120" w:type="dxa"/>
            </w:tcMar>
          </w:tcPr>
          <w:p>
            <w:pPr>
              <w:pStyle w:val="TableText"/>
            </w:pPr>
            <w:r>
              <w:t>Avoid boot-strap side effects; stuck-at-boot behavior is explicit.</w:t>
            </w:r>
          </w:p>
        </w:tc>
      </w:tr>
      <w:tr>
        <w:trPr>
          <w:cantSplit/>
        </w:trPr>
        <w:tc>
          <w:tcPr>
            <w:tcW w:type="dxa" w:w="2260"/>
            <w:tcMar>
              <w:top w:w="80" w:type="dxa"/>
              <w:bottom w:w="80" w:type="dxa"/>
              <w:start w:w="120" w:type="dxa"/>
              <w:end w:w="120" w:type="dxa"/>
            </w:tcMar>
          </w:tcPr>
          <w:p>
            <w:pPr>
              <w:pStyle w:val="TableText"/>
            </w:pPr>
            <w:r>
              <w:t>PRIVACY_SW</w:t>
            </w:r>
          </w:p>
        </w:tc>
        <w:tc>
          <w:tcPr>
            <w:tcW w:type="dxa" w:w="3300"/>
            <w:tcMar>
              <w:top w:w="80" w:type="dxa"/>
              <w:bottom w:w="80" w:type="dxa"/>
              <w:start w:w="120" w:type="dxa"/>
              <w:end w:w="120" w:type="dxa"/>
            </w:tcMar>
          </w:tcPr>
          <w:p>
            <w:pPr>
              <w:pStyle w:val="TableText"/>
            </w:pPr>
            <w:r>
              <w:t>Sample before enabling observation</w:t>
            </w:r>
          </w:p>
        </w:tc>
        <w:tc>
          <w:tcPr>
            <w:tcW w:type="dxa" w:w="3800"/>
            <w:tcMar>
              <w:top w:w="80" w:type="dxa"/>
              <w:bottom w:w="80" w:type="dxa"/>
              <w:start w:w="120" w:type="dxa"/>
              <w:end w:w="120" w:type="dxa"/>
            </w:tcMar>
          </w:tcPr>
          <w:p>
            <w:pPr>
              <w:pStyle w:val="TableText"/>
            </w:pPr>
            <w:r>
              <w:t>Stable latching input; local mode has highest priority.</w:t>
            </w:r>
          </w:p>
        </w:tc>
      </w:tr>
      <w:tr>
        <w:trPr>
          <w:cantSplit/>
        </w:trPr>
        <w:tc>
          <w:tcPr>
            <w:tcW w:type="dxa" w:w="2260"/>
            <w:tcMar>
              <w:top w:w="80" w:type="dxa"/>
              <w:bottom w:w="80" w:type="dxa"/>
              <w:start w:w="120" w:type="dxa"/>
              <w:end w:w="120" w:type="dxa"/>
            </w:tcMar>
          </w:tcPr>
          <w:p>
            <w:pPr>
              <w:pStyle w:val="TableText"/>
            </w:pPr>
            <w:r>
              <w:t>BAT_SENSE</w:t>
            </w:r>
          </w:p>
        </w:tc>
        <w:tc>
          <w:tcPr>
            <w:tcW w:type="dxa" w:w="3300"/>
            <w:tcMar>
              <w:top w:w="80" w:type="dxa"/>
              <w:bottom w:w="80" w:type="dxa"/>
              <w:start w:w="120" w:type="dxa"/>
              <w:end w:w="120" w:type="dxa"/>
            </w:tcMar>
          </w:tcPr>
          <w:p>
            <w:pPr>
              <w:pStyle w:val="TableText"/>
            </w:pPr>
            <w:r>
              <w:t>Calibrated millivolts with bounded input</w:t>
            </w:r>
          </w:p>
        </w:tc>
        <w:tc>
          <w:tcPr>
            <w:tcW w:type="dxa" w:w="3800"/>
            <w:tcMar>
              <w:top w:w="80" w:type="dxa"/>
              <w:bottom w:w="80" w:type="dxa"/>
              <w:start w:w="120" w:type="dxa"/>
              <w:end w:w="120" w:type="dxa"/>
            </w:tcMar>
          </w:tcPr>
          <w:p>
            <w:pPr>
              <w:pStyle w:val="TableText"/>
            </w:pPr>
            <w:r>
              <w:t>Divider within ADC rating at full charge; leakage measured at battery.</w:t>
            </w:r>
          </w:p>
        </w:tc>
      </w:tr>
      <w:tr>
        <w:trPr>
          <w:cantSplit/>
        </w:trPr>
        <w:tc>
          <w:tcPr>
            <w:tcW w:type="dxa" w:w="2260"/>
            <w:tcMar>
              <w:top w:w="80" w:type="dxa"/>
              <w:bottom w:w="80" w:type="dxa"/>
              <w:start w:w="120" w:type="dxa"/>
              <w:end w:w="120" w:type="dxa"/>
            </w:tcMar>
          </w:tcPr>
          <w:p>
            <w:pPr>
              <w:pStyle w:val="TableText"/>
            </w:pPr>
            <w:r>
              <w:t>USB_PRESENT / CHG_STATUS</w:t>
            </w:r>
          </w:p>
        </w:tc>
        <w:tc>
          <w:tcPr>
            <w:tcW w:type="dxa" w:w="3300"/>
            <w:tcMar>
              <w:top w:w="80" w:type="dxa"/>
              <w:bottom w:w="80" w:type="dxa"/>
              <w:start w:w="120" w:type="dxa"/>
              <w:end w:w="120" w:type="dxa"/>
            </w:tcMar>
          </w:tcPr>
          <w:p>
            <w:pPr>
              <w:pStyle w:val="TableText"/>
            </w:pPr>
            <w:r>
              <w:t>Optional verified status inputs</w:t>
            </w:r>
          </w:p>
        </w:tc>
        <w:tc>
          <w:tcPr>
            <w:tcW w:type="dxa" w:w="3800"/>
            <w:tcMar>
              <w:top w:w="80" w:type="dxa"/>
              <w:bottom w:w="80" w:type="dxa"/>
              <w:start w:w="120" w:type="dxa"/>
              <w:end w:w="120" w:type="dxa"/>
            </w:tcMar>
          </w:tcPr>
          <w:p>
            <w:pPr>
              <w:pStyle w:val="TableText"/>
            </w:pPr>
            <w:r>
              <w:t>Do not infer status from an unverified charger module or directly expose 5 V to GPIO.</w:t>
            </w:r>
          </w:p>
        </w:tc>
      </w:tr>
      <w:tr>
        <w:trPr>
          <w:cantSplit/>
        </w:trPr>
        <w:tc>
          <w:tcPr>
            <w:tcW w:type="dxa" w:w="2260"/>
            <w:tcMar>
              <w:top w:w="80" w:type="dxa"/>
              <w:bottom w:w="80" w:type="dxa"/>
              <w:start w:w="120" w:type="dxa"/>
              <w:end w:w="120" w:type="dxa"/>
            </w:tcMar>
          </w:tcPr>
          <w:p>
            <w:pPr>
              <w:pStyle w:val="TableText"/>
            </w:pPr>
            <w:r>
              <w:t>I²C / I²S / AMP_EN</w:t>
            </w:r>
          </w:p>
        </w:tc>
        <w:tc>
          <w:tcPr>
            <w:tcW w:type="dxa" w:w="3300"/>
            <w:tcMar>
              <w:top w:w="80" w:type="dxa"/>
              <w:bottom w:w="80" w:type="dxa"/>
              <w:start w:w="120" w:type="dxa"/>
              <w:end w:w="120" w:type="dxa"/>
            </w:tcMar>
          </w:tcPr>
          <w:p>
            <w:pPr>
              <w:pStyle w:val="TableText"/>
            </w:pPr>
            <w:r>
              <w:t>Display and optional fixed prompts</w:t>
            </w:r>
          </w:p>
        </w:tc>
        <w:tc>
          <w:tcPr>
            <w:tcW w:type="dxa" w:w="3800"/>
            <w:tcMar>
              <w:top w:w="80" w:type="dxa"/>
              <w:bottom w:w="80" w:type="dxa"/>
              <w:start w:w="120" w:type="dxa"/>
              <w:end w:w="120" w:type="dxa"/>
            </w:tcMar>
          </w:tcPr>
          <w:p>
            <w:pPr>
              <w:pStyle w:val="TableText"/>
            </w:pPr>
            <w:r>
              <w:t>Check voltage, pin allocation and audio-load peak current; power down amp when idle.</w:t>
            </w:r>
          </w:p>
        </w:tc>
      </w:tr>
    </w:tbl>
    <w:p>
      <w:pPr>
        <w:pStyle w:val="TableSpacer"/>
      </w:pPr>
    </w:p>
    <w:p>
      <w:pPr>
        <w:pStyle w:val="SpecBody"/>
      </w:pPr>
      <w:r>
        <w:t>HW01/HW04: perform placement, retention, cable strain and enclosure access tests with consenting adults. Keep nodes out of bathrooms/private rooms for the first pilot. An ordinary PIR is not a human-presence guarantee; a motionless person can remain undetected.</w:t>
      </w:r>
    </w:p>
    <w:p>
      <w:pPr>
        <w:pStyle w:val="Heading2"/>
        <w:pageBreakBefore/>
      </w:pPr>
      <w:r>
        <w:rPr>
          <w:color w:val="000000"/>
        </w:rPr>
        <w:t>Rechargeable batteries: allowed in principle, not yet a wiring approval</w:t>
      </w:r>
    </w:p>
    <w:p>
      <w:pPr>
        <w:pStyle w:val="SpecBody"/>
      </w:pPr>
      <w:r>
        <w:t>“BLC” is not an identified electrical specification. If BL-5C was intended, treat it as an unapproved candidate until the exact pack is documented. Do not infer the third terminal’s purpose or charge parameters from the shape/name. Existing DMEGC 18650 2900 mAh cells may support bench energy tests, but holders/cells alone do not establish a safe in-device charging system.</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830"/>
        <w:gridCol w:w="7530"/>
      </w:tblGrid>
      <w:tr>
        <w:trPr>
          <w:cantSplit/>
          <w:tblHeader/>
        </w:trPr>
        <w:tc>
          <w:tcPr>
            <w:tcW w:type="dxa" w:w="1830"/>
            <w:tcMar>
              <w:top w:w="80" w:type="dxa"/>
              <w:bottom w:w="80" w:type="dxa"/>
              <w:start w:w="120" w:type="dxa"/>
              <w:end w:w="120" w:type="dxa"/>
            </w:tcMar>
            <w:shd w:fill="E8EEF5"/>
          </w:tcPr>
          <w:p>
            <w:pPr>
              <w:pStyle w:val="TableText"/>
            </w:pPr>
            <w:r>
              <w:rPr>
                <w:b/>
              </w:rPr>
              <w:t>Function</w:t>
            </w:r>
          </w:p>
        </w:tc>
        <w:tc>
          <w:tcPr>
            <w:tcW w:type="dxa" w:w="7530"/>
            <w:tcMar>
              <w:top w:w="80" w:type="dxa"/>
              <w:bottom w:w="80" w:type="dxa"/>
              <w:start w:w="120" w:type="dxa"/>
              <w:end w:w="120" w:type="dxa"/>
            </w:tcMar>
            <w:shd w:fill="E8EEF5"/>
          </w:tcPr>
          <w:p>
            <w:pPr>
              <w:pStyle w:val="TableText"/>
            </w:pPr>
            <w:r>
              <w:rPr>
                <w:b/>
              </w:rPr>
              <w:t>Required design decision</w:t>
            </w:r>
          </w:p>
        </w:tc>
      </w:tr>
      <w:tr>
        <w:trPr>
          <w:cantSplit/>
        </w:trPr>
        <w:tc>
          <w:tcPr>
            <w:tcW w:type="dxa" w:w="1830"/>
            <w:tcMar>
              <w:top w:w="80" w:type="dxa"/>
              <w:bottom w:w="80" w:type="dxa"/>
              <w:start w:w="120" w:type="dxa"/>
              <w:end w:w="120" w:type="dxa"/>
            </w:tcMar>
          </w:tcPr>
          <w:p>
            <w:pPr>
              <w:pStyle w:val="TableText"/>
            </w:pPr>
            <w:r>
              <w:t>Cell/pack</w:t>
            </w:r>
          </w:p>
        </w:tc>
        <w:tc>
          <w:tcPr>
            <w:tcW w:type="dxa" w:w="7530"/>
            <w:tcMar>
              <w:top w:w="80" w:type="dxa"/>
              <w:bottom w:w="80" w:type="dxa"/>
              <w:start w:w="120" w:type="dxa"/>
              <w:end w:w="120" w:type="dxa"/>
            </w:tcMar>
          </w:tcPr>
          <w:p>
            <w:pPr>
              <w:pStyle w:val="TableText"/>
            </w:pPr>
            <w:r>
              <w:t>Known chemistry, voltage, continuous/pulse load capability, capacity provenance, protection and temperature limits. Never use swollen/damaged/unknown cells.</w:t>
            </w:r>
          </w:p>
        </w:tc>
      </w:tr>
      <w:tr>
        <w:trPr>
          <w:cantSplit/>
        </w:trPr>
        <w:tc>
          <w:tcPr>
            <w:tcW w:type="dxa" w:w="1830"/>
            <w:tcMar>
              <w:top w:w="80" w:type="dxa"/>
              <w:bottom w:w="80" w:type="dxa"/>
              <w:start w:w="120" w:type="dxa"/>
              <w:end w:w="120" w:type="dxa"/>
            </w:tcMar>
          </w:tcPr>
          <w:p>
            <w:pPr>
              <w:pStyle w:val="TableText"/>
            </w:pPr>
            <w:r>
              <w:t>Charging</w:t>
            </w:r>
          </w:p>
        </w:tc>
        <w:tc>
          <w:tcPr>
            <w:tcW w:type="dxa" w:w="7530"/>
            <w:tcMar>
              <w:top w:w="80" w:type="dxa"/>
              <w:bottom w:w="80" w:type="dxa"/>
              <w:start w:w="120" w:type="dxa"/>
              <w:end w:w="120" w:type="dxa"/>
            </w:tcMar>
          </w:tcPr>
          <w:p>
            <w:pPr>
              <w:pStyle w:val="TableText"/>
            </w:pPr>
            <w:r>
              <w:t>A matching single-cell charge controller with charge current set to the pack’s approved limit and temperature supervision where required. An unspecified TP4056 module is not automatically approved.</w:t>
            </w:r>
          </w:p>
        </w:tc>
      </w:tr>
      <w:tr>
        <w:trPr>
          <w:cantSplit/>
        </w:trPr>
        <w:tc>
          <w:tcPr>
            <w:tcW w:type="dxa" w:w="1830"/>
            <w:tcMar>
              <w:top w:w="80" w:type="dxa"/>
              <w:bottom w:w="80" w:type="dxa"/>
              <w:start w:w="120" w:type="dxa"/>
              <w:end w:w="120" w:type="dxa"/>
            </w:tcMar>
          </w:tcPr>
          <w:p>
            <w:pPr>
              <w:pStyle w:val="TableText"/>
            </w:pPr>
            <w:r>
              <w:t>Power sharing</w:t>
            </w:r>
          </w:p>
        </w:tc>
        <w:tc>
          <w:tcPr>
            <w:tcW w:type="dxa" w:w="7530"/>
            <w:tcMar>
              <w:top w:w="80" w:type="dxa"/>
              <w:bottom w:w="80" w:type="dxa"/>
              <w:start w:w="120" w:type="dxa"/>
              <w:end w:w="120" w:type="dxa"/>
            </w:tcMar>
          </w:tcPr>
          <w:p>
            <w:pPr>
              <w:pStyle w:val="TableText"/>
            </w:pPr>
            <w:r>
              <w:t>For operation while charging, choose a validated charger/power-path circuit. BQ24074 is one candidate class with power-path management [S9], not an approved finished module.</w:t>
            </w:r>
          </w:p>
        </w:tc>
      </w:tr>
      <w:tr>
        <w:trPr>
          <w:cantSplit/>
        </w:trPr>
        <w:tc>
          <w:tcPr>
            <w:tcW w:type="dxa" w:w="1830"/>
            <w:tcMar>
              <w:top w:w="80" w:type="dxa"/>
              <w:bottom w:w="80" w:type="dxa"/>
              <w:start w:w="120" w:type="dxa"/>
              <w:end w:w="120" w:type="dxa"/>
            </w:tcMar>
          </w:tcPr>
          <w:p>
            <w:pPr>
              <w:pStyle w:val="TableText"/>
            </w:pPr>
            <w:r>
              <w:t>Regulation</w:t>
            </w:r>
          </w:p>
        </w:tc>
        <w:tc>
          <w:tcPr>
            <w:tcW w:type="dxa" w:w="7530"/>
            <w:tcMar>
              <w:top w:w="80" w:type="dxa"/>
              <w:bottom w:w="80" w:type="dxa"/>
              <w:start w:w="120" w:type="dxa"/>
              <w:end w:w="120" w:type="dxa"/>
            </w:tcMar>
          </w:tcPr>
          <w:p>
            <w:pPr>
              <w:pStyle w:val="TableText"/>
            </w:pPr>
            <w:r>
              <w:t>TPS63020 is a buck-boost regulator, not a charger or complete battery protection system [S8]. Verify the purchased module’s output, efficiency, quiescent draw and transient response.</w:t>
            </w:r>
          </w:p>
        </w:tc>
      </w:tr>
      <w:tr>
        <w:trPr>
          <w:cantSplit/>
        </w:trPr>
        <w:tc>
          <w:tcPr>
            <w:tcW w:type="dxa" w:w="1830"/>
            <w:tcMar>
              <w:top w:w="80" w:type="dxa"/>
              <w:bottom w:w="80" w:type="dxa"/>
              <w:start w:w="120" w:type="dxa"/>
              <w:end w:w="120" w:type="dxa"/>
            </w:tcMar>
          </w:tcPr>
          <w:p>
            <w:pPr>
              <w:pStyle w:val="TableText"/>
            </w:pPr>
            <w:r>
              <w:t>Voltage safety</w:t>
            </w:r>
          </w:p>
        </w:tc>
        <w:tc>
          <w:tcPr>
            <w:tcW w:type="dxa" w:w="7530"/>
            <w:tcMar>
              <w:top w:w="80" w:type="dxa"/>
              <w:bottom w:w="80" w:type="dxa"/>
              <w:start w:w="120" w:type="dxa"/>
              <w:end w:w="120" w:type="dxa"/>
            </w:tcMar>
          </w:tcPr>
          <w:p>
            <w:pPr>
              <w:pStyle w:val="TableText"/>
            </w:pPr>
            <w:r>
              <w:t>A typical 1S Li-ion pack may reach 4.2 V. Do not wire it directly to a 3.3-V rail. Verify the exact board input path and avoid regulator/USB back-feeding.</w:t>
            </w:r>
          </w:p>
        </w:tc>
      </w:tr>
      <w:tr>
        <w:trPr>
          <w:cantSplit/>
        </w:trPr>
        <w:tc>
          <w:tcPr>
            <w:tcW w:type="dxa" w:w="1830"/>
            <w:tcMar>
              <w:top w:w="80" w:type="dxa"/>
              <w:bottom w:w="80" w:type="dxa"/>
              <w:start w:w="120" w:type="dxa"/>
              <w:end w:w="120" w:type="dxa"/>
            </w:tcMar>
          </w:tcPr>
          <w:p>
            <w:pPr>
              <w:pStyle w:val="TableText"/>
            </w:pPr>
            <w:r>
              <w:t>Mechanical safety</w:t>
            </w:r>
          </w:p>
        </w:tc>
        <w:tc>
          <w:tcPr>
            <w:tcW w:type="dxa" w:w="7530"/>
            <w:tcMar>
              <w:top w:w="80" w:type="dxa"/>
              <w:bottom w:w="80" w:type="dxa"/>
              <w:start w:w="120" w:type="dxa"/>
              <w:end w:w="120" w:type="dxa"/>
            </w:tcMar>
          </w:tcPr>
          <w:p>
            <w:pPr>
              <w:pStyle w:val="TableText"/>
            </w:pPr>
            <w:r>
              <w:t>Polarized connector, secure retention, insulation, short-circuit protection and thermal assessment. Do not combine unmatched cells in parallel/series for the prototype.</w:t>
            </w:r>
          </w:p>
        </w:tc>
      </w:tr>
      <w:tr>
        <w:trPr>
          <w:cantSplit/>
        </w:trPr>
        <w:tc>
          <w:tcPr>
            <w:tcW w:type="dxa" w:w="1830"/>
            <w:tcMar>
              <w:top w:w="80" w:type="dxa"/>
              <w:bottom w:w="80" w:type="dxa"/>
              <w:start w:w="120" w:type="dxa"/>
              <w:end w:w="120" w:type="dxa"/>
            </w:tcMar>
          </w:tcPr>
          <w:p>
            <w:pPr>
              <w:pStyle w:val="TableText"/>
            </w:pPr>
            <w:r>
              <w:t>Firmware behavior</w:t>
            </w:r>
          </w:p>
        </w:tc>
        <w:tc>
          <w:tcPr>
            <w:tcW w:type="dxa" w:w="7530"/>
            <w:tcMar>
              <w:top w:w="80" w:type="dxa"/>
              <w:bottom w:w="80" w:type="dxa"/>
              <w:start w:w="120" w:type="dxa"/>
              <w:end w:w="120" w:type="dxa"/>
            </w:tcMar>
          </w:tcPr>
          <w:p>
            <w:pPr>
              <w:pStyle w:val="TableText"/>
            </w:pPr>
            <w:r>
              <w:t>Monitor battery and power-source status where measured, warn with hysteresis, protect flash integrity on low supply and expose loss of coverage. Software does not replace hardware protection.</w:t>
            </w:r>
          </w:p>
        </w:tc>
      </w:tr>
    </w:tbl>
    <w:p>
      <w:pPr>
        <w:pStyle w:val="TableSpacer"/>
      </w:pPr>
    </w:p>
    <w:p>
      <w:pPr>
        <w:pStyle w:val="SpecBody"/>
      </w:pPr>
      <w:r>
        <w:t>Conceptual power path: USB input → validated charger/power-path subsystem ↔ protected pack; system output → suitable regulator → verified board rail. This is a functional architecture, not a construction-ready schematic. Charger, protection, regulator and board constraints must be reviewed together.</w:t>
      </w:r>
    </w:p>
    <w:p>
      <w:pPr>
        <w:pStyle w:val="Heading2"/>
        <w:pageBreakBefore/>
      </w:pPr>
      <w:r>
        <w:rPr>
          <w:color w:val="000000"/>
        </w:rPr>
        <w:t>Runtime model and power exit targets</w:t>
      </w:r>
    </w:p>
    <w:p>
      <w:pPr>
        <w:pStyle w:val="SpecBody"/>
      </w:pPr>
      <w:r>
        <w:t>Use battery-side average current: runtime hours ≈ rated mAh × usable fraction ÷ average mA. The 80% usable fraction below is an illustrative assumption, not a cell guarantee. It includes a reserve but does not validate ageing, temperature, cutoff or conversion losses. Measure those at system level.</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920"/>
        <w:gridCol w:w="3220"/>
        <w:gridCol w:w="3220"/>
      </w:tblGrid>
      <w:tr>
        <w:trPr>
          <w:cantSplit/>
          <w:tblHeader/>
        </w:trPr>
        <w:tc>
          <w:tcPr>
            <w:tcW w:type="dxa" w:w="2920"/>
            <w:tcMar>
              <w:top w:w="80" w:type="dxa"/>
              <w:bottom w:w="80" w:type="dxa"/>
              <w:start w:w="120" w:type="dxa"/>
              <w:end w:w="120" w:type="dxa"/>
            </w:tcMar>
            <w:shd w:fill="E8EEF5"/>
          </w:tcPr>
          <w:p>
            <w:pPr>
              <w:pStyle w:val="TableText"/>
            </w:pPr>
            <w:r>
              <w:rPr>
                <w:b/>
              </w:rPr>
              <w:t>Illustrative pack</w:t>
            </w:r>
          </w:p>
        </w:tc>
        <w:tc>
          <w:tcPr>
            <w:tcW w:type="dxa" w:w="3220"/>
            <w:tcMar>
              <w:top w:w="80" w:type="dxa"/>
              <w:bottom w:w="80" w:type="dxa"/>
              <w:start w:w="120" w:type="dxa"/>
              <w:end w:w="120" w:type="dxa"/>
            </w:tcMar>
            <w:shd w:fill="E8EEF5"/>
          </w:tcPr>
          <w:p>
            <w:pPr>
              <w:pStyle w:val="TableText"/>
            </w:pPr>
            <w:r>
              <w:rPr>
                <w:b/>
              </w:rPr>
              <w:t>Average battery current</w:t>
            </w:r>
          </w:p>
        </w:tc>
        <w:tc>
          <w:tcPr>
            <w:tcW w:type="dxa" w:w="3220"/>
            <w:tcMar>
              <w:top w:w="80" w:type="dxa"/>
              <w:bottom w:w="80" w:type="dxa"/>
              <w:start w:w="120" w:type="dxa"/>
              <w:end w:w="120" w:type="dxa"/>
            </w:tcMar>
            <w:shd w:fill="E8EEF5"/>
          </w:tcPr>
          <w:p>
            <w:pPr>
              <w:pStyle w:val="TableText"/>
            </w:pPr>
            <w:r>
              <w:rPr>
                <w:b/>
              </w:rPr>
              <w:t>Calculated runtime</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0.1 mA</w:t>
            </w:r>
          </w:p>
        </w:tc>
        <w:tc>
          <w:tcPr>
            <w:tcW w:type="dxa" w:w="3220"/>
            <w:tcMar>
              <w:top w:w="80" w:type="dxa"/>
              <w:bottom w:w="80" w:type="dxa"/>
              <w:start w:w="120" w:type="dxa"/>
              <w:end w:w="120" w:type="dxa"/>
            </w:tcMar>
          </w:tcPr>
          <w:p>
            <w:pPr>
              <w:pStyle w:val="TableText"/>
            </w:pPr>
            <w:r>
              <w:t>333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0.5 mA</w:t>
            </w:r>
          </w:p>
        </w:tc>
        <w:tc>
          <w:tcPr>
            <w:tcW w:type="dxa" w:w="3220"/>
            <w:tcMar>
              <w:top w:w="80" w:type="dxa"/>
              <w:bottom w:w="80" w:type="dxa"/>
              <w:start w:w="120" w:type="dxa"/>
              <w:end w:w="120" w:type="dxa"/>
            </w:tcMar>
          </w:tcPr>
          <w:p>
            <w:pPr>
              <w:pStyle w:val="TableText"/>
            </w:pPr>
            <w:r>
              <w:t>66.7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5 mA</w:t>
            </w:r>
          </w:p>
        </w:tc>
        <w:tc>
          <w:tcPr>
            <w:tcW w:type="dxa" w:w="3220"/>
            <w:tcMar>
              <w:top w:w="80" w:type="dxa"/>
              <w:bottom w:w="80" w:type="dxa"/>
              <w:start w:w="120" w:type="dxa"/>
              <w:end w:w="120" w:type="dxa"/>
            </w:tcMar>
          </w:tcPr>
          <w:p>
            <w:pPr>
              <w:pStyle w:val="TableText"/>
            </w:pPr>
            <w:r>
              <w:t>6.7 days</w:t>
            </w:r>
          </w:p>
        </w:tc>
      </w:tr>
      <w:tr>
        <w:trPr>
          <w:cantSplit/>
        </w:trPr>
        <w:tc>
          <w:tcPr>
            <w:tcW w:type="dxa" w:w="2920"/>
            <w:tcMar>
              <w:top w:w="80" w:type="dxa"/>
              <w:bottom w:w="80" w:type="dxa"/>
              <w:start w:w="120" w:type="dxa"/>
              <w:end w:w="120" w:type="dxa"/>
            </w:tcMar>
          </w:tcPr>
          <w:p>
            <w:pPr>
              <w:pStyle w:val="TableText"/>
            </w:pPr>
            <w:r>
              <w:t>1,000 mAh × 80%</w:t>
            </w:r>
          </w:p>
        </w:tc>
        <w:tc>
          <w:tcPr>
            <w:tcW w:type="dxa" w:w="3220"/>
            <w:tcMar>
              <w:top w:w="80" w:type="dxa"/>
              <w:bottom w:w="80" w:type="dxa"/>
              <w:start w:w="120" w:type="dxa"/>
              <w:end w:w="120" w:type="dxa"/>
            </w:tcMar>
          </w:tcPr>
          <w:p>
            <w:pPr>
              <w:pStyle w:val="TableText"/>
            </w:pPr>
            <w:r>
              <w:t>150 mA</w:t>
            </w:r>
          </w:p>
        </w:tc>
        <w:tc>
          <w:tcPr>
            <w:tcW w:type="dxa" w:w="3220"/>
            <w:tcMar>
              <w:top w:w="80" w:type="dxa"/>
              <w:bottom w:w="80" w:type="dxa"/>
              <w:start w:w="120" w:type="dxa"/>
              <w:end w:w="120" w:type="dxa"/>
            </w:tcMar>
          </w:tcPr>
          <w:p>
            <w:pPr>
              <w:pStyle w:val="TableText"/>
            </w:pPr>
            <w:r>
              <w:t>5.3 hours</w:t>
            </w:r>
          </w:p>
        </w:tc>
      </w:tr>
      <w:tr>
        <w:trPr>
          <w:cantSplit/>
        </w:trPr>
        <w:tc>
          <w:tcPr>
            <w:tcW w:type="dxa" w:w="2920"/>
            <w:tcMar>
              <w:top w:w="80" w:type="dxa"/>
              <w:bottom w:w="80" w:type="dxa"/>
              <w:start w:w="120" w:type="dxa"/>
              <w:end w:w="120" w:type="dxa"/>
            </w:tcMar>
          </w:tcPr>
          <w:p>
            <w:pPr>
              <w:pStyle w:val="TableText"/>
            </w:pPr>
            <w:r>
              <w:t>2,900 mAh × 80%</w:t>
            </w:r>
          </w:p>
        </w:tc>
        <w:tc>
          <w:tcPr>
            <w:tcW w:type="dxa" w:w="3220"/>
            <w:tcMar>
              <w:top w:w="80" w:type="dxa"/>
              <w:bottom w:w="80" w:type="dxa"/>
              <w:start w:w="120" w:type="dxa"/>
              <w:end w:w="120" w:type="dxa"/>
            </w:tcMar>
          </w:tcPr>
          <w:p>
            <w:pPr>
              <w:pStyle w:val="TableText"/>
            </w:pPr>
            <w:r>
              <w:t>150 mA</w:t>
            </w:r>
          </w:p>
        </w:tc>
        <w:tc>
          <w:tcPr>
            <w:tcW w:type="dxa" w:w="3220"/>
            <w:tcMar>
              <w:top w:w="80" w:type="dxa"/>
              <w:bottom w:w="80" w:type="dxa"/>
              <w:start w:w="120" w:type="dxa"/>
              <w:end w:w="120" w:type="dxa"/>
            </w:tcMar>
          </w:tcPr>
          <w:p>
            <w:pPr>
              <w:pStyle w:val="TableText"/>
            </w:pPr>
            <w:r>
              <w:t>15.5 hours</w:t>
            </w:r>
          </w:p>
        </w:tc>
      </w:tr>
    </w:tbl>
    <w:p>
      <w:pPr>
        <w:pStyle w:val="TableSpacer"/>
      </w:pPr>
    </w:p>
    <w:p>
      <w:pPr>
        <w:pStyle w:val="SpecBody"/>
      </w:pPr>
      <w:r>
        <w:t>One year from 1,000 mAh at 80% usable requires ≤91 µA average for the entire node; 2,900 mAh requires ≤265 µA. These are energy budgets, not expected lifetimes. PIR, divider, regulator, USB bridge, power LED, radio retries and scan recovery all count. A 60-second heartbeat may materially change the result.</w:t>
      </w:r>
    </w:p>
    <w:p>
      <w:pPr>
        <w:pStyle w:val="SpecBody"/>
      </w:pPr>
      <w:r>
        <w:t>HW02 gates: supervised charging/power-path review; no brownout at worst measured radio/audio burst; measured node runtime ≥7 days for the bench prototype and a provisional ≥30 days for the assisted pilot; hub backup ≥4 hours at the tested workload. Set a sellable runtime only after actual discharge/temperature/ageing tests. Battery-only hub use needs a separate measured requirement and user acceptance of recharge frequency.</w:t>
      </w:r>
    </w:p>
    <w:p>
      <w:bookmarkStart w:id="5" w:name="communications"/>
      <w:pPr>
        <w:pStyle w:val="Heading1"/>
        <w:pageBreakBefore/>
      </w:pPr>
      <w:r>
        <w:rPr>
          <w:color w:val="000000"/>
        </w:rPr>
        <w:t>5. Communication and interface contracts</w:t>
      </w:r>
      <w:bookmarkEnd w:id="5"/>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640"/>
        <w:gridCol w:w="3680"/>
        <w:gridCol w:w="4040"/>
      </w:tblGrid>
      <w:tr>
        <w:trPr>
          <w:cantSplit/>
          <w:tblHeader/>
        </w:trPr>
        <w:tc>
          <w:tcPr>
            <w:tcW w:type="dxa" w:w="1640"/>
            <w:tcMar>
              <w:top w:w="80" w:type="dxa"/>
              <w:bottom w:w="80" w:type="dxa"/>
              <w:start w:w="120" w:type="dxa"/>
              <w:end w:w="120" w:type="dxa"/>
            </w:tcMar>
            <w:shd w:fill="E8EEF5"/>
          </w:tcPr>
          <w:p>
            <w:pPr>
              <w:pStyle w:val="TableText"/>
            </w:pPr>
            <w:r>
              <w:rPr>
                <w:b/>
              </w:rPr>
              <w:t>Link</w:t>
            </w:r>
          </w:p>
        </w:tc>
        <w:tc>
          <w:tcPr>
            <w:tcW w:type="dxa" w:w="3680"/>
            <w:tcMar>
              <w:top w:w="80" w:type="dxa"/>
              <w:bottom w:w="80" w:type="dxa"/>
              <w:start w:w="120" w:type="dxa"/>
              <w:end w:w="120" w:type="dxa"/>
            </w:tcMar>
            <w:shd w:fill="E8EEF5"/>
          </w:tcPr>
          <w:p>
            <w:pPr>
              <w:pStyle w:val="TableText"/>
            </w:pPr>
            <w:r>
              <w:rPr>
                <w:b/>
              </w:rPr>
              <w:t>Mode / payload</w:t>
            </w:r>
          </w:p>
        </w:tc>
        <w:tc>
          <w:tcPr>
            <w:tcW w:type="dxa" w:w="4040"/>
            <w:tcMar>
              <w:top w:w="80" w:type="dxa"/>
              <w:bottom w:w="80" w:type="dxa"/>
              <w:start w:w="120" w:type="dxa"/>
              <w:end w:w="120" w:type="dxa"/>
            </w:tcMar>
            <w:shd w:fill="E8EEF5"/>
          </w:tcPr>
          <w:p>
            <w:pPr>
              <w:pStyle w:val="TableText"/>
            </w:pPr>
            <w:r>
              <w:rPr>
                <w:b/>
              </w:rPr>
              <w:t>Acknowledgement and authority</w:t>
            </w:r>
          </w:p>
        </w:tc>
      </w:tr>
      <w:tr>
        <w:trPr>
          <w:cantSplit/>
        </w:trPr>
        <w:tc>
          <w:tcPr>
            <w:tcW w:type="dxa" w:w="1640"/>
            <w:tcMar>
              <w:top w:w="80" w:type="dxa"/>
              <w:bottom w:w="80" w:type="dxa"/>
              <w:start w:w="120" w:type="dxa"/>
              <w:end w:w="120" w:type="dxa"/>
            </w:tcMar>
          </w:tcPr>
          <w:p>
            <w:pPr>
              <w:pStyle w:val="TableText"/>
            </w:pPr>
            <w:r>
              <w:t>Node ↔ hub</w:t>
            </w:r>
          </w:p>
        </w:tc>
        <w:tc>
          <w:tcPr>
            <w:tcW w:type="dxa" w:w="3680"/>
            <w:tcMar>
              <w:top w:w="80" w:type="dxa"/>
              <w:bottom w:w="80" w:type="dxa"/>
              <w:start w:w="120" w:type="dxa"/>
              <w:end w:w="120" w:type="dxa"/>
            </w:tcMar>
          </w:tcPr>
          <w:p>
            <w:pPr>
              <w:pStyle w:val="TableText"/>
            </w:pPr>
            <w:r>
              <w:t>Encrypted ESP-NOW unicast; compact CBOR ≤200 bytes, schema v1.</w:t>
            </w:r>
          </w:p>
        </w:tc>
        <w:tc>
          <w:tcPr>
            <w:tcW w:type="dxa" w:w="4040"/>
            <w:tcMar>
              <w:top w:w="80" w:type="dxa"/>
              <w:bottom w:w="80" w:type="dxa"/>
              <w:start w:w="120" w:type="dxa"/>
              <w:end w:w="120" w:type="dxa"/>
            </w:tcMar>
          </w:tcPr>
          <w:p>
            <w:pPr>
              <w:pStyle w:val="TableText"/>
            </w:pPr>
            <w:r>
              <w:t>Business event: durable application ACK. Heartbeat: explicitly volatile receipt ACK. MAC success alone is insufficient [S1].</w:t>
            </w:r>
          </w:p>
        </w:tc>
      </w:tr>
      <w:tr>
        <w:trPr>
          <w:cantSplit/>
        </w:trPr>
        <w:tc>
          <w:tcPr>
            <w:tcW w:type="dxa" w:w="1640"/>
            <w:tcMar>
              <w:top w:w="80" w:type="dxa"/>
              <w:bottom w:w="80" w:type="dxa"/>
              <w:start w:w="120" w:type="dxa"/>
              <w:end w:w="120" w:type="dxa"/>
            </w:tcMar>
          </w:tcPr>
          <w:p>
            <w:pPr>
              <w:pStyle w:val="TableText"/>
            </w:pPr>
            <w:r>
              <w:t>Hub ↔ backend</w:t>
            </w:r>
          </w:p>
        </w:tc>
        <w:tc>
          <w:tcPr>
            <w:tcW w:type="dxa" w:w="3680"/>
            <w:tcMar>
              <w:top w:w="80" w:type="dxa"/>
              <w:bottom w:w="80" w:type="dxa"/>
              <w:start w:w="120" w:type="dxa"/>
              <w:end w:w="120" w:type="dxa"/>
            </w:tcMar>
          </w:tcPr>
          <w:p>
            <w:pPr>
              <w:pStyle w:val="TableText"/>
            </w:pPr>
            <w:r>
              <w:t>MQTT 3.1.1 over TLS, QoS 1, authenticated per-hub ACL.</w:t>
            </w:r>
          </w:p>
        </w:tc>
        <w:tc>
          <w:tcPr>
            <w:tcW w:type="dxa" w:w="4040"/>
            <w:tcMar>
              <w:top w:w="80" w:type="dxa"/>
              <w:bottom w:w="80" w:type="dxa"/>
              <w:start w:w="120" w:type="dxa"/>
              <w:end w:w="120" w:type="dxa"/>
            </w:tcMar>
          </w:tcPr>
          <w:p>
            <w:pPr>
              <w:pStyle w:val="TableText"/>
            </w:pPr>
            <w:r>
              <w:t>PUBACK is broker-level. Hub retires business outbox only after backend DB-commit ACK [S5].</w:t>
            </w:r>
          </w:p>
        </w:tc>
      </w:tr>
      <w:tr>
        <w:trPr>
          <w:cantSplit/>
        </w:trPr>
        <w:tc>
          <w:tcPr>
            <w:tcW w:type="dxa" w:w="1640"/>
            <w:tcMar>
              <w:top w:w="80" w:type="dxa"/>
              <w:bottom w:w="80" w:type="dxa"/>
              <w:start w:w="120" w:type="dxa"/>
              <w:end w:w="120" w:type="dxa"/>
            </w:tcMar>
          </w:tcPr>
          <w:p>
            <w:pPr>
              <w:pStyle w:val="TableText"/>
            </w:pPr>
            <w:r>
              <w:t>App ↔ backend</w:t>
            </w:r>
          </w:p>
        </w:tc>
        <w:tc>
          <w:tcPr>
            <w:tcW w:type="dxa" w:w="3680"/>
            <w:tcMar>
              <w:top w:w="80" w:type="dxa"/>
              <w:bottom w:w="80" w:type="dxa"/>
              <w:start w:w="120" w:type="dxa"/>
              <w:end w:w="120" w:type="dxa"/>
            </w:tcMar>
          </w:tcPr>
          <w:p>
            <w:pPr>
              <w:pStyle w:val="TableText"/>
            </w:pPr>
            <w:r>
              <w:t>HTTPS REST/JSON; OIDC token; SSE change hints.</w:t>
            </w:r>
          </w:p>
        </w:tc>
        <w:tc>
          <w:tcPr>
            <w:tcW w:type="dxa" w:w="4040"/>
            <w:tcMar>
              <w:top w:w="80" w:type="dxa"/>
              <w:bottom w:w="80" w:type="dxa"/>
              <w:start w:w="120" w:type="dxa"/>
              <w:end w:w="120" w:type="dxa"/>
            </w:tcMar>
          </w:tcPr>
          <w:p>
            <w:pPr>
              <w:pStyle w:val="TableText"/>
            </w:pPr>
            <w:r>
              <w:t>Mutations have idempotency keys and resource versions; app displays committed/applied state.</w:t>
            </w:r>
          </w:p>
        </w:tc>
      </w:tr>
      <w:tr>
        <w:trPr>
          <w:cantSplit/>
        </w:trPr>
        <w:tc>
          <w:tcPr>
            <w:tcW w:type="dxa" w:w="1640"/>
            <w:tcMar>
              <w:top w:w="80" w:type="dxa"/>
              <w:bottom w:w="80" w:type="dxa"/>
              <w:start w:w="120" w:type="dxa"/>
              <w:end w:w="120" w:type="dxa"/>
            </w:tcMar>
          </w:tcPr>
          <w:p>
            <w:pPr>
              <w:pStyle w:val="TableText"/>
            </w:pPr>
            <w:r>
              <w:t>Backend → caregiver</w:t>
            </w:r>
          </w:p>
        </w:tc>
        <w:tc>
          <w:tcPr>
            <w:tcW w:type="dxa" w:w="3680"/>
            <w:tcMar>
              <w:top w:w="80" w:type="dxa"/>
              <w:bottom w:w="80" w:type="dxa"/>
              <w:start w:w="120" w:type="dxa"/>
              <w:end w:w="120" w:type="dxa"/>
            </w:tcMar>
          </w:tcPr>
          <w:p>
            <w:pPr>
              <w:pStyle w:val="TableText"/>
            </w:pPr>
            <w:r>
              <w:t>Web Push, generic lock-screen text + incident reference.</w:t>
            </w:r>
          </w:p>
        </w:tc>
        <w:tc>
          <w:tcPr>
            <w:tcW w:type="dxa" w:w="4040"/>
            <w:tcMar>
              <w:top w:w="80" w:type="dxa"/>
              <w:bottom w:w="80" w:type="dxa"/>
              <w:start w:w="120" w:type="dxa"/>
              <w:end w:w="120" w:type="dxa"/>
            </w:tcMar>
          </w:tcPr>
          <w:p>
            <w:pPr>
              <w:pStyle w:val="TableText"/>
            </w:pPr>
            <w:r>
              <w:t>Provider acceptance, optional app receipt and human action remain separate. Push is not a guaranteed response channel.</w:t>
            </w:r>
          </w:p>
        </w:tc>
      </w:tr>
      <w:tr>
        <w:trPr>
          <w:cantSplit/>
        </w:trPr>
        <w:tc>
          <w:tcPr>
            <w:tcW w:type="dxa" w:w="1640"/>
            <w:tcMar>
              <w:top w:w="80" w:type="dxa"/>
              <w:bottom w:w="80" w:type="dxa"/>
              <w:start w:w="120" w:type="dxa"/>
              <w:end w:w="120" w:type="dxa"/>
            </w:tcMar>
          </w:tcPr>
          <w:p>
            <w:pPr>
              <w:pStyle w:val="TableText"/>
            </w:pPr>
            <w:r>
              <w:t>Installer ↔ devices</w:t>
            </w:r>
          </w:p>
        </w:tc>
        <w:tc>
          <w:tcPr>
            <w:tcW w:type="dxa" w:w="3680"/>
            <w:tcMar>
              <w:top w:w="80" w:type="dxa"/>
              <w:bottom w:w="80" w:type="dxa"/>
              <w:start w:w="120" w:type="dxa"/>
              <w:end w:w="120" w:type="dxa"/>
            </w:tcMar>
          </w:tcPr>
          <w:p>
            <w:pPr>
              <w:pStyle w:val="TableText"/>
            </w:pPr>
            <w:r>
              <w:t>Local USB jig in physical service mode.</w:t>
            </w:r>
          </w:p>
        </w:tc>
        <w:tc>
          <w:tcPr>
            <w:tcW w:type="dxa" w:w="4040"/>
            <w:tcMar>
              <w:top w:w="80" w:type="dxa"/>
              <w:bottom w:w="80" w:type="dxa"/>
              <w:start w:w="120" w:type="dxa"/>
              <w:end w:w="120" w:type="dxa"/>
            </w:tcMar>
          </w:tcPr>
          <w:p>
            <w:pPr>
              <w:pStyle w:val="TableText"/>
            </w:pPr>
            <w:r>
              <w:t>Provisioning and signed maintenance image checks; no unauthenticated radio enrollment.</w:t>
            </w:r>
          </w:p>
        </w:tc>
      </w:tr>
      <w:tr>
        <w:trPr>
          <w:cantSplit/>
        </w:trPr>
        <w:tc>
          <w:tcPr>
            <w:tcW w:type="dxa" w:w="1640"/>
            <w:tcMar>
              <w:top w:w="80" w:type="dxa"/>
              <w:bottom w:w="80" w:type="dxa"/>
              <w:start w:w="120" w:type="dxa"/>
              <w:end w:w="120" w:type="dxa"/>
            </w:tcMar>
          </w:tcPr>
          <w:p>
            <w:pPr>
              <w:pStyle w:val="TableText"/>
            </w:pPr>
            <w:r>
              <w:t>Hub/node internal</w:t>
            </w:r>
          </w:p>
        </w:tc>
        <w:tc>
          <w:tcPr>
            <w:tcW w:type="dxa" w:w="3680"/>
            <w:tcMar>
              <w:top w:w="80" w:type="dxa"/>
              <w:bottom w:w="80" w:type="dxa"/>
              <w:start w:w="120" w:type="dxa"/>
              <w:end w:w="120" w:type="dxa"/>
            </w:tcMar>
          </w:tcPr>
          <w:p>
            <w:pPr>
              <w:pStyle w:val="TableText"/>
            </w:pPr>
            <w:r>
              <w:t>Bounded in-memory queues; journaled domain events.</w:t>
            </w:r>
          </w:p>
        </w:tc>
        <w:tc>
          <w:tcPr>
            <w:tcW w:type="dxa" w:w="4040"/>
            <w:tcMar>
              <w:top w:w="80" w:type="dxa"/>
              <w:bottom w:w="80" w:type="dxa"/>
              <w:start w:w="120" w:type="dxa"/>
              <w:end w:w="120" w:type="dxa"/>
            </w:tcMar>
          </w:tcPr>
          <w:p>
            <w:pPr>
              <w:pStyle w:val="TableText"/>
            </w:pPr>
            <w:r>
              <w:t>One state-owning reducer; durable commit before business ACK, no blocking driver callbacks.</w:t>
            </w:r>
          </w:p>
        </w:tc>
      </w:tr>
    </w:tbl>
    <w:p>
      <w:pPr>
        <w:pStyle w:val="TableSpacer"/>
      </w:pPr>
    </w:p>
    <w:p>
      <w:pPr>
        <w:pStyle w:val="Heading2"/>
      </w:pPr>
      <w:r>
        <w:rPr>
          <w:color w:val="000000"/>
        </w:rPr>
        <w:t>Radio envelope and identity</w:t>
      </w:r>
    </w:p>
    <w:p>
      <w:pPr>
        <w:pStyle w:val="Code"/>
        <w:keepLines/>
      </w:pPr>
      <w:r>
        <w:t>schema_v: 1</w:t>
        <w:br/>
        <w:t>kind: MOTION | DOOR_STATE | HEARTBEAT | SESSION_START</w:t>
        <w:br/>
        <w:t>node_id: 128-bit registered identifier</w:t>
        <w:br/>
        <w:t>session_id: 64-bit random cold-boot session</w:t>
        <w:br/>
        <w:t>seq: uint64, monotonic within session, retained across deep sleep</w:t>
        <w:br/>
        <w:t>event_ticks_ms: uint64 logical elapsed time within session</w:t>
        <w:br/>
        <w:t>age_uncertainty_ms: uint32</w:t>
        <w:br/>
        <w:t>config_v: uint32</w:t>
        <w:br/>
        <w:t>payload: typed sensor/status fields; battery_mv when sampled</w:t>
      </w:r>
    </w:p>
    <w:p>
      <w:pPr>
        <w:pStyle w:val="SpecBody"/>
      </w:pPr>
      <w:r>
        <w:t>The packet shall be encoded by the generated contract implementation, with compile-time/max-size tests. node_id is checked against the bonded peer; home/location are assigned from the hub registry, not trusted from the packet. Authenticate a new cold-boot session with a hub nonce exchange before admitting events. Ordinary deep-sleep wakes retain session/sequence and calibrated elapsed-time state. On hard power loss create a new session; queued old-session records preserve their original IDs/anchors and cannot masquerade as new observations. Sequence wraps are not supported; start a new authenticated session before wrap.</w:t>
      </w:r>
    </w:p>
    <w:p>
      <w:pPr>
        <w:pStyle w:val="SpecBody"/>
      </w:pPr>
      <w:r>
        <w:t>Per-node business queue: proposed 8 retained RAM slots (budget ≤1 KB serialized) plus a dedicated flash ring sized after actual flash confirmation. Timer heartbeats are coalesced and need no durable queue. PIR input held high must not cause a wake storm: wait/re-arm safely or use a bounded timer strategy, documenting any sampling gap. ESP-NOW channel recovery searches permitted regional channels with bounded dwell and backoff; loss of coverage remains visible until recovery.</w:t>
      </w:r>
    </w:p>
    <w:p>
      <w:pPr>
        <w:pStyle w:val="Heading2"/>
        <w:pageBreakBefore/>
      </w:pPr>
      <w:r>
        <w:rPr>
          <w:color w:val="000000"/>
        </w:rPr>
        <w:t>Cloud topics, commands and replay</w:t>
      </w:r>
    </w:p>
    <w:p>
      <w:pPr>
        <w:pStyle w:val="Code"/>
        <w:keepLines/>
      </w:pPr>
      <w:r>
        <w:t>fc/v1/hubs/{hub_id}/events       hub → ingest</w:t>
        <w:br/>
        <w:t>fc/v1/hubs/{hub_id}/heartbeat    hub → health service</w:t>
        <w:br/>
        <w:t>fc/v1/hubs/{hub_id}/commit       backend → hub: DB-committed IDs</w:t>
        <w:br/>
        <w:t>fc/v1/hubs/{hub_id}/commands     backend → hub: expiring commands</w:t>
        <w:br/>
        <w:t>fc/v1/hubs/{hub_id}/command_ack  hub → backend: applied/rejected</w:t>
        <w:br/>
        <w:t>fc/v1/hubs/{hub_id}/presence     Last Will / connection hint</w:t>
      </w:r>
    </w:p>
    <w:p>
      <w:pPr>
        <w:pStyle w:val="SpecBody"/>
      </w:pPr>
      <w:r>
        <w:t>Broker ACL binds the authenticated hub identity to its own topics; clients cannot choose a home by publishing another ID. Retain presence hints only, never contact requests or executable commands. The hub uses a persistent client ID/session, but correctness relies on its own durable outbox and the backend unique keys. Batch events only within a capped envelope (proposed 16 KB and 50 events). Malformed/oversized batches are rejected with a reason and do not block other homes.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7010"/>
      </w:tblGrid>
      <w:tr>
        <w:trPr>
          <w:cantSplit/>
          <w:tblHeader/>
        </w:trPr>
        <w:tc>
          <w:tcPr>
            <w:tcW w:type="dxa" w:w="2350"/>
            <w:tcMar>
              <w:top w:w="80" w:type="dxa"/>
              <w:bottom w:w="80" w:type="dxa"/>
              <w:start w:w="120" w:type="dxa"/>
              <w:end w:w="120" w:type="dxa"/>
            </w:tcMar>
            <w:shd w:fill="E8EEF5"/>
          </w:tcPr>
          <w:p>
            <w:pPr>
              <w:pStyle w:val="TableText"/>
            </w:pPr>
            <w:r>
              <w:rPr>
                <w:b/>
              </w:rPr>
              <w:t>Field / operation</w:t>
            </w:r>
          </w:p>
        </w:tc>
        <w:tc>
          <w:tcPr>
            <w:tcW w:type="dxa" w:w="7010"/>
            <w:tcMar>
              <w:top w:w="80" w:type="dxa"/>
              <w:bottom w:w="80" w:type="dxa"/>
              <w:start w:w="120" w:type="dxa"/>
              <w:end w:w="120" w:type="dxa"/>
            </w:tcMar>
            <w:shd w:fill="E8EEF5"/>
          </w:tcPr>
          <w:p>
            <w:pPr>
              <w:pStyle w:val="TableText"/>
            </w:pPr>
            <w:r>
              <w:rPr>
                <w:b/>
              </w:rPr>
              <w:t>Required semantics</w:t>
            </w:r>
          </w:p>
        </w:tc>
      </w:tr>
      <w:tr>
        <w:trPr>
          <w:cantSplit/>
        </w:trPr>
        <w:tc>
          <w:tcPr>
            <w:tcW w:type="dxa" w:w="2350"/>
            <w:tcMar>
              <w:top w:w="80" w:type="dxa"/>
              <w:bottom w:w="80" w:type="dxa"/>
              <w:start w:w="120" w:type="dxa"/>
              <w:end w:w="120" w:type="dxa"/>
            </w:tcMar>
          </w:tcPr>
          <w:p>
            <w:pPr>
              <w:pStyle w:val="TableText"/>
            </w:pPr>
            <w:r>
              <w:t>event_id</w:t>
            </w:r>
          </w:p>
        </w:tc>
        <w:tc>
          <w:tcPr>
            <w:tcW w:type="dxa" w:w="7010"/>
            <w:tcMar>
              <w:top w:w="80" w:type="dxa"/>
              <w:bottom w:w="80" w:type="dxa"/>
              <w:start w:w="120" w:type="dxa"/>
              <w:end w:w="120" w:type="dxa"/>
            </w:tcMar>
          </w:tcPr>
          <w:p>
            <w:pPr>
              <w:pStyle w:val="TableText"/>
            </w:pPr>
            <w:r>
              <w:t>Deterministic key from source/session/seq or hub journal epoch/seq. Globally unique within the source identity; immutable across retry.</w:t>
            </w:r>
          </w:p>
        </w:tc>
      </w:tr>
      <w:tr>
        <w:trPr>
          <w:cantSplit/>
        </w:trPr>
        <w:tc>
          <w:tcPr>
            <w:tcW w:type="dxa" w:w="2350"/>
            <w:tcMar>
              <w:top w:w="80" w:type="dxa"/>
              <w:bottom w:w="80" w:type="dxa"/>
              <w:start w:w="120" w:type="dxa"/>
              <w:end w:w="120" w:type="dxa"/>
            </w:tcMar>
          </w:tcPr>
          <w:p>
            <w:pPr>
              <w:pStyle w:val="TableText"/>
            </w:pPr>
            <w:r>
              <w:t>incident_id</w:t>
            </w:r>
          </w:p>
        </w:tc>
        <w:tc>
          <w:tcPr>
            <w:tcW w:type="dxa" w:w="7010"/>
            <w:tcMar>
              <w:top w:w="80" w:type="dxa"/>
              <w:bottom w:w="80" w:type="dxa"/>
              <w:start w:w="120" w:type="dxa"/>
              <w:end w:w="120" w:type="dxa"/>
            </w:tcMar>
          </w:tcPr>
          <w:p>
            <w:pPr>
              <w:pStyle w:val="TableText"/>
            </w:pPr>
            <w:r>
              <w:t>Routine: hash(home, hub_authority_epoch, rule, window_id). Contact: hash(home, source_event_id, CONTACT_REQUEST). Service faults use a separate backend namespace.</w:t>
            </w:r>
          </w:p>
        </w:tc>
      </w:tr>
      <w:tr>
        <w:trPr>
          <w:cantSplit/>
        </w:trPr>
        <w:tc>
          <w:tcPr>
            <w:tcW w:type="dxa" w:w="2350"/>
            <w:tcMar>
              <w:top w:w="80" w:type="dxa"/>
              <w:bottom w:w="80" w:type="dxa"/>
              <w:start w:w="120" w:type="dxa"/>
              <w:end w:w="120" w:type="dxa"/>
            </w:tcMar>
          </w:tcPr>
          <w:p>
            <w:pPr>
              <w:pStyle w:val="TableText"/>
            </w:pPr>
            <w:r>
              <w:t>command_id + expires_at</w:t>
            </w:r>
          </w:p>
        </w:tc>
        <w:tc>
          <w:tcPr>
            <w:tcW w:type="dxa" w:w="7010"/>
            <w:tcMar>
              <w:top w:w="80" w:type="dxa"/>
              <w:bottom w:w="80" w:type="dxa"/>
              <w:start w:w="120" w:type="dxa"/>
              <w:end w:w="120" w:type="dxa"/>
            </w:tcMar>
          </w:tcPr>
          <w:p>
            <w:pPr>
              <w:pStyle w:val="TableText"/>
            </w:pPr>
            <w:r>
              <w:t>Same ID across retries; reject after expiry or incompatible config version. Desired state is reconciled after reconnect with a new valid command.</w:t>
            </w:r>
          </w:p>
        </w:tc>
      </w:tr>
      <w:tr>
        <w:trPr>
          <w:cantSplit/>
        </w:trPr>
        <w:tc>
          <w:tcPr>
            <w:tcW w:type="dxa" w:w="2350"/>
            <w:tcMar>
              <w:top w:w="80" w:type="dxa"/>
              <w:bottom w:w="80" w:type="dxa"/>
              <w:start w:w="120" w:type="dxa"/>
              <w:end w:w="120" w:type="dxa"/>
            </w:tcMar>
          </w:tcPr>
          <w:p>
            <w:pPr>
              <w:pStyle w:val="TableText"/>
            </w:pPr>
            <w:r>
              <w:t>commit ACK</w:t>
            </w:r>
          </w:p>
        </w:tc>
        <w:tc>
          <w:tcPr>
            <w:tcW w:type="dxa" w:w="7010"/>
            <w:tcMar>
              <w:top w:w="80" w:type="dxa"/>
              <w:bottom w:w="80" w:type="dxa"/>
              <w:start w:w="120" w:type="dxa"/>
              <w:end w:w="120" w:type="dxa"/>
            </w:tcMar>
          </w:tcPr>
          <w:p>
            <w:pPr>
              <w:pStyle w:val="TableText"/>
            </w:pPr>
            <w:r>
              <w:t>Lists event IDs durably committed or already present. A failed DB transaction returns no commit ACK.</w:t>
            </w:r>
          </w:p>
        </w:tc>
      </w:tr>
      <w:tr>
        <w:trPr>
          <w:cantSplit/>
        </w:trPr>
        <w:tc>
          <w:tcPr>
            <w:tcW w:type="dxa" w:w="2350"/>
            <w:tcMar>
              <w:top w:w="80" w:type="dxa"/>
              <w:bottom w:w="80" w:type="dxa"/>
              <w:start w:w="120" w:type="dxa"/>
              <w:end w:w="120" w:type="dxa"/>
            </w:tcMar>
          </w:tcPr>
          <w:p>
            <w:pPr>
              <w:pStyle w:val="TableText"/>
            </w:pPr>
            <w:r>
              <w:t>node command ACK</w:t>
            </w:r>
          </w:p>
        </w:tc>
        <w:tc>
          <w:tcPr>
            <w:tcW w:type="dxa" w:w="7010"/>
            <w:tcMar>
              <w:top w:w="80" w:type="dxa"/>
              <w:bottom w:w="80" w:type="dxa"/>
              <w:start w:w="120" w:type="dxa"/>
              <w:end w:w="120" w:type="dxa"/>
            </w:tcMar>
          </w:tcPr>
          <w:p>
            <w:pPr>
              <w:pStyle w:val="TableText"/>
            </w:pPr>
            <w:r>
              <w:t>Includes command ID, applied_version/hash, result and reason. Configuration remains pending until this arrives.</w:t>
            </w:r>
          </w:p>
        </w:tc>
      </w:tr>
      <w:tr>
        <w:trPr>
          <w:cantSplit/>
        </w:trPr>
        <w:tc>
          <w:tcPr>
            <w:tcW w:type="dxa" w:w="2350"/>
            <w:tcMar>
              <w:top w:w="80" w:type="dxa"/>
              <w:bottom w:w="80" w:type="dxa"/>
              <w:start w:w="120" w:type="dxa"/>
              <w:end w:w="120" w:type="dxa"/>
            </w:tcMar>
          </w:tcPr>
          <w:p>
            <w:pPr>
              <w:pStyle w:val="TableText"/>
            </w:pPr>
            <w:r>
              <w:t>schema migration</w:t>
            </w:r>
          </w:p>
        </w:tc>
        <w:tc>
          <w:tcPr>
            <w:tcW w:type="dxa" w:w="7010"/>
            <w:tcMar>
              <w:top w:w="80" w:type="dxa"/>
              <w:bottom w:w="80" w:type="dxa"/>
              <w:start w:w="120" w:type="dxa"/>
              <w:end w:w="120" w:type="dxa"/>
            </w:tcMar>
          </w:tcPr>
          <w:p>
            <w:pPr>
              <w:pStyle w:val="TableText"/>
            </w:pPr>
            <w:r>
              <w:t>Readers tolerate additional optional fields within v1; incompatible changes use v2. Preserve v1 read support through the documented rollout/replay interval.</w:t>
            </w:r>
          </w:p>
        </w:tc>
      </w:tr>
    </w:tbl>
    <w:p>
      <w:pPr>
        <w:pStyle w:val="TableSpacer"/>
      </w:pPr>
    </w:p>
    <w:p>
      <w:pPr>
        <w:pStyle w:val="Heading2"/>
      </w:pPr>
      <w:r>
        <w:rPr>
          <w:color w:val="000000"/>
        </w:rPr>
        <w:t>Timing and default retry policy</w:t>
      </w:r>
    </w:p>
    <w:p>
      <w:pPr>
        <w:pStyle w:val="SpecBody"/>
      </w:pPr>
      <w:r>
        <w:t>Radio: 0.2/0.6/1.8-second retry delays with jitter, then defer to scheduled wake; cap time awake and queued records. Hub MQTT reconnect: exponential 1–60 seconds with jitter. Notification transient retries: 10 seconds, 30 seconds, 2 minutes and 5 minutes; stop on permanent errors and expose them. These are test defaults, not performance guarantees. Backlog replay is rate-limited per home so one recovered hub cannot starve live requests.</w:t>
      </w:r>
    </w:p>
    <w:p>
      <w:pPr>
        <w:pStyle w:val="SpecBody"/>
      </w:pPr>
      <w:r>
        <w:t>Single-radio constraint: the S3 station’s home Wi-Fi channel and its ESP-NOW peers must be compatible [S1]. Prefer a fixed, permitted 2.4-GHz router channel during an assisted pilot but still test automatic channel changes. Do not make “router never changes channel” a hidden reliability assumption.</w:t>
      </w:r>
    </w:p>
    <w:p>
      <w:pPr>
        <w:pStyle w:val="SpecBody"/>
      </w:pPr>
      <w:r>
        <w:t>External push is not transactionally atomic with PostgreSQL. If a worker crashes after a provider accepts a push but before recording the result, a retry may duplicate delivery. Persist attempt IDs before sending, use provider idempotency when available, and use a stable incident/stage notification tag in the PWA. Preserve this residual risk; claim only one business/job intent, not exactly-once phone delivery.</w:t>
      </w:r>
    </w:p>
    <w:p>
      <w:pPr>
        <w:pStyle w:val="Heading2"/>
        <w:pageBreakBefore/>
      </w:pPr>
      <w:r>
        <w:rPr>
          <w:color w:val="000000"/>
        </w:rPr>
        <w:t>End-to-end communication scenarios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580"/>
        <w:gridCol w:w="3970"/>
        <w:gridCol w:w="3810"/>
      </w:tblGrid>
      <w:tr>
        <w:trPr>
          <w:cantSplit/>
          <w:tblHeader/>
        </w:trPr>
        <w:tc>
          <w:tcPr>
            <w:tcW w:type="dxa" w:w="1580"/>
            <w:tcMar>
              <w:top w:w="80" w:type="dxa"/>
              <w:bottom w:w="80" w:type="dxa"/>
              <w:start w:w="120" w:type="dxa"/>
              <w:end w:w="120" w:type="dxa"/>
            </w:tcMar>
            <w:shd w:fill="E8EEF5"/>
          </w:tcPr>
          <w:p>
            <w:pPr>
              <w:pStyle w:val="TableText"/>
            </w:pPr>
            <w:r>
              <w:rPr>
                <w:b/>
              </w:rPr>
              <w:t>Scenario</w:t>
            </w:r>
          </w:p>
        </w:tc>
        <w:tc>
          <w:tcPr>
            <w:tcW w:type="dxa" w:w="3970"/>
            <w:tcMar>
              <w:top w:w="80" w:type="dxa"/>
              <w:bottom w:w="80" w:type="dxa"/>
              <w:start w:w="120" w:type="dxa"/>
              <w:end w:w="120" w:type="dxa"/>
            </w:tcMar>
            <w:shd w:fill="E8EEF5"/>
          </w:tcPr>
          <w:p>
            <w:pPr>
              <w:pStyle w:val="TableText"/>
            </w:pPr>
            <w:r>
              <w:rPr>
                <w:b/>
              </w:rPr>
              <w:t>Ordered exchange</w:t>
            </w:r>
          </w:p>
        </w:tc>
        <w:tc>
          <w:tcPr>
            <w:tcW w:type="dxa" w:w="3810"/>
            <w:tcMar>
              <w:top w:w="80" w:type="dxa"/>
              <w:bottom w:w="80" w:type="dxa"/>
              <w:start w:w="120" w:type="dxa"/>
              <w:end w:w="120" w:type="dxa"/>
            </w:tcMar>
            <w:shd w:fill="E8EEF5"/>
          </w:tcPr>
          <w:p>
            <w:pPr>
              <w:pStyle w:val="TableText"/>
            </w:pPr>
            <w:r>
              <w:rPr>
                <w:b/>
              </w:rPr>
              <w:t>Expected result / failure branch</w:t>
            </w:r>
          </w:p>
        </w:tc>
      </w:tr>
      <w:tr>
        <w:trPr>
          <w:cantSplit/>
        </w:trPr>
        <w:tc>
          <w:tcPr>
            <w:tcW w:type="dxa" w:w="1580"/>
            <w:tcMar>
              <w:top w:w="80" w:type="dxa"/>
              <w:bottom w:w="80" w:type="dxa"/>
              <w:start w:w="120" w:type="dxa"/>
              <w:end w:w="120" w:type="dxa"/>
            </w:tcMar>
          </w:tcPr>
          <w:p>
            <w:pPr>
              <w:pStyle w:val="TableText"/>
            </w:pPr>
            <w:r>
              <w:t>C01 Normal morning</w:t>
            </w:r>
          </w:p>
        </w:tc>
        <w:tc>
          <w:tcPr>
            <w:tcW w:type="dxa" w:w="3970"/>
            <w:tcMar>
              <w:top w:w="80" w:type="dxa"/>
              <w:bottom w:w="80" w:type="dxa"/>
              <w:start w:w="120" w:type="dxa"/>
              <w:end w:w="120" w:type="dxa"/>
            </w:tcMar>
          </w:tcPr>
          <w:p>
            <w:pPr>
              <w:pStyle w:val="TableText"/>
            </w:pPr>
            <w:r>
              <w:t>PIR → node journal → ESP-NOW → hub commit/ACK → reducer → MQTT → backend commit/ACK → app snapshot.</w:t>
            </w:r>
          </w:p>
        </w:tc>
        <w:tc>
          <w:tcPr>
            <w:tcW w:type="dxa" w:w="3810"/>
            <w:tcMar>
              <w:top w:w="80" w:type="dxa"/>
              <w:bottom w:w="80" w:type="dxa"/>
              <w:start w:w="120" w:type="dxa"/>
              <w:end w:w="120" w:type="dxa"/>
            </w:tcMar>
          </w:tcPr>
          <w:p>
            <w:pPr>
              <w:pStyle w:val="TableText"/>
            </w:pPr>
            <w:r>
              <w:t>Activity evidence appears once. No routine alert. Sensor health and self-check-in remain separate.</w:t>
            </w:r>
          </w:p>
        </w:tc>
      </w:tr>
      <w:tr>
        <w:trPr>
          <w:cantSplit/>
        </w:trPr>
        <w:tc>
          <w:tcPr>
            <w:tcW w:type="dxa" w:w="1580"/>
            <w:tcMar>
              <w:top w:w="80" w:type="dxa"/>
              <w:bottom w:w="80" w:type="dxa"/>
              <w:start w:w="120" w:type="dxa"/>
              <w:end w:w="120" w:type="dxa"/>
            </w:tcMar>
          </w:tcPr>
          <w:p>
            <w:pPr>
              <w:pStyle w:val="TableText"/>
            </w:pPr>
            <w:r>
              <w:t>C02 No movement</w:t>
            </w:r>
          </w:p>
        </w:tc>
        <w:tc>
          <w:tcPr>
            <w:tcW w:type="dxa" w:w="3970"/>
            <w:tcMar>
              <w:top w:w="80" w:type="dxa"/>
              <w:bottom w:w="80" w:type="dxa"/>
              <w:start w:w="120" w:type="dxa"/>
              <w:end w:w="120" w:type="dxa"/>
            </w:tcMar>
          </w:tcPr>
          <w:p>
            <w:pPr>
              <w:pStyle w:val="TableText"/>
            </w:pPr>
            <w:r>
              <w:t>Deadline → eligibility check → optional local reminder → grace timer → recheck → hub incident → backend route → phone.</w:t>
            </w:r>
          </w:p>
        </w:tc>
        <w:tc>
          <w:tcPr>
            <w:tcW w:type="dxa" w:w="3810"/>
            <w:tcMar>
              <w:top w:w="80" w:type="dxa"/>
              <w:bottom w:w="80" w:type="dxa"/>
              <w:start w:w="120" w:type="dxa"/>
              <w:end w:w="120" w:type="dxa"/>
            </w:tcMar>
          </w:tcPr>
          <w:p>
            <w:pPr>
              <w:pStyle w:val="TableText"/>
            </w:pPr>
            <w:r>
              <w:t>One explainable prompt only if coverage is eligible. A gap produces observation-incomplete/service status instead.</w:t>
            </w:r>
          </w:p>
        </w:tc>
      </w:tr>
      <w:tr>
        <w:trPr>
          <w:cantSplit/>
        </w:trPr>
        <w:tc>
          <w:tcPr>
            <w:tcW w:type="dxa" w:w="1580"/>
            <w:tcMar>
              <w:top w:w="80" w:type="dxa"/>
              <w:bottom w:w="80" w:type="dxa"/>
              <w:start w:w="120" w:type="dxa"/>
              <w:end w:w="120" w:type="dxa"/>
            </w:tcMar>
          </w:tcPr>
          <w:p>
            <w:pPr>
              <w:pStyle w:val="TableText"/>
            </w:pPr>
            <w:r>
              <w:t>C03 Manual contact</w:t>
            </w:r>
          </w:p>
        </w:tc>
        <w:tc>
          <w:tcPr>
            <w:tcW w:type="dxa" w:w="3970"/>
            <w:tcMar>
              <w:top w:w="80" w:type="dxa"/>
              <w:bottom w:w="80" w:type="dxa"/>
              <w:start w:w="120" w:type="dxa"/>
              <w:end w:w="120" w:type="dxa"/>
            </w:tcMar>
          </w:tcPr>
          <w:p>
            <w:pPr>
              <w:pStyle w:val="TableText"/>
            </w:pPr>
            <w:r>
              <w:t>Call button → local durable event → incident → primary push → human claim → human outcome → hub/app status.</w:t>
            </w:r>
          </w:p>
        </w:tc>
        <w:tc>
          <w:tcPr>
            <w:tcW w:type="dxa" w:w="3810"/>
            <w:tcMar>
              <w:top w:w="80" w:type="dxa"/>
              <w:bottom w:w="80" w:type="dxa"/>
              <w:start w:w="120" w:type="dxa"/>
              <w:end w:w="120" w:type="dxa"/>
            </w:tcMar>
          </w:tcPr>
          <w:p>
            <w:pPr>
              <w:pStyle w:val="TableText"/>
            </w:pPr>
            <w:r>
              <w:t>No-ack routes to backup. Claim without resolution has a 10-minute lease. Later PIR never resolves it.</w:t>
            </w:r>
          </w:p>
        </w:tc>
      </w:tr>
      <w:tr>
        <w:trPr>
          <w:cantSplit/>
        </w:trPr>
        <w:tc>
          <w:tcPr>
            <w:tcW w:type="dxa" w:w="1580"/>
            <w:tcMar>
              <w:top w:w="80" w:type="dxa"/>
              <w:bottom w:w="80" w:type="dxa"/>
              <w:start w:w="120" w:type="dxa"/>
              <w:end w:w="120" w:type="dxa"/>
            </w:tcMar>
          </w:tcPr>
          <w:p>
            <w:pPr>
              <w:pStyle w:val="TableText"/>
            </w:pPr>
            <w:r>
              <w:t>C04 WAN outage</w:t>
            </w:r>
          </w:p>
        </w:tc>
        <w:tc>
          <w:tcPr>
            <w:tcW w:type="dxa" w:w="3970"/>
            <w:tcMar>
              <w:top w:w="80" w:type="dxa"/>
              <w:bottom w:w="80" w:type="dxa"/>
              <w:start w:w="120" w:type="dxa"/>
              <w:end w:w="120" w:type="dxa"/>
            </w:tcMar>
          </w:tcPr>
          <w:p>
            <w:pPr>
              <w:pStyle w:val="TableText"/>
            </w:pPr>
            <w:r>
              <w:t>Hub cloud lease expires → backend service notice; nodes still send locally → hub queues → reconnect → prioritized replay.</w:t>
            </w:r>
          </w:p>
        </w:tc>
        <w:tc>
          <w:tcPr>
            <w:tcW w:type="dxa" w:w="3810"/>
            <w:tcMar>
              <w:top w:w="80" w:type="dxa"/>
              <w:bottom w:w="80" w:type="dxa"/>
              <w:start w:w="120" w:type="dxa"/>
              <w:end w:w="120" w:type="dxa"/>
            </w:tcMar>
          </w:tcPr>
          <w:p>
            <w:pPr>
              <w:pStyle w:val="TableText"/>
            </w:pPr>
            <w:r>
              <w:t>Remote service unavailable is visible. Late contact requests retain age; no fabricated real-time notification.</w:t>
            </w:r>
          </w:p>
        </w:tc>
      </w:tr>
      <w:tr>
        <w:trPr>
          <w:cantSplit/>
        </w:trPr>
        <w:tc>
          <w:tcPr>
            <w:tcW w:type="dxa" w:w="1580"/>
            <w:tcMar>
              <w:top w:w="80" w:type="dxa"/>
              <w:bottom w:w="80" w:type="dxa"/>
              <w:start w:w="120" w:type="dxa"/>
              <w:end w:w="120" w:type="dxa"/>
            </w:tcMar>
          </w:tcPr>
          <w:p>
            <w:pPr>
              <w:pStyle w:val="TableText"/>
            </w:pPr>
            <w:r>
              <w:t>C05 Node outage / channel change</w:t>
            </w:r>
          </w:p>
        </w:tc>
        <w:tc>
          <w:tcPr>
            <w:tcW w:type="dxa" w:w="3970"/>
            <w:tcMar>
              <w:top w:w="80" w:type="dxa"/>
              <w:bottom w:w="80" w:type="dxa"/>
              <w:start w:w="120" w:type="dxa"/>
              <w:end w:w="120" w:type="dxa"/>
            </w:tcMar>
          </w:tcPr>
          <w:p>
            <w:pPr>
              <w:pStyle w:val="TableText"/>
            </w:pPr>
            <w:r>
              <w:t>Missed leases or radio retry failure → coverage interval closes → node bounded reacquisition → new authenticated traffic.</w:t>
            </w:r>
          </w:p>
        </w:tc>
        <w:tc>
          <w:tcPr>
            <w:tcW w:type="dxa" w:w="3810"/>
            <w:tcMar>
              <w:top w:w="80" w:type="dxa"/>
              <w:bottom w:w="80" w:type="dxa"/>
              <w:start w:w="120" w:type="dxa"/>
              <w:end w:w="120" w:type="dxa"/>
            </w:tcMar>
          </w:tcPr>
          <w:p>
            <w:pPr>
              <w:pStyle w:val="TableText"/>
            </w:pPr>
            <w:r>
              <w:t>Current health recovers; historical observation gap remains. No retrospective “normal morning”.</w:t>
            </w:r>
          </w:p>
        </w:tc>
      </w:tr>
      <w:tr>
        <w:trPr>
          <w:cantSplit/>
        </w:trPr>
        <w:tc>
          <w:tcPr>
            <w:tcW w:type="dxa" w:w="1580"/>
            <w:tcMar>
              <w:top w:w="80" w:type="dxa"/>
              <w:bottom w:w="80" w:type="dxa"/>
              <w:start w:w="120" w:type="dxa"/>
              <w:end w:w="120" w:type="dxa"/>
            </w:tcMar>
          </w:tcPr>
          <w:p>
            <w:pPr>
              <w:pStyle w:val="TableText"/>
            </w:pPr>
            <w:r>
              <w:t>C06 Config while asleep</w:t>
            </w:r>
          </w:p>
        </w:tc>
        <w:tc>
          <w:tcPr>
            <w:tcW w:type="dxa" w:w="3970"/>
            <w:tcMar>
              <w:top w:w="80" w:type="dxa"/>
              <w:bottom w:w="80" w:type="dxa"/>
              <w:start w:w="120" w:type="dxa"/>
              <w:end w:w="120" w:type="dxa"/>
            </w:tcMar>
          </w:tcPr>
          <w:p>
            <w:pPr>
              <w:pStyle w:val="TableText"/>
            </w:pPr>
            <w:r>
              <w:t>App desired version → backend command → hub staging/apply → node next wake receives command → node apply ACK.</w:t>
            </w:r>
          </w:p>
        </w:tc>
        <w:tc>
          <w:tcPr>
            <w:tcW w:type="dxa" w:w="3810"/>
            <w:tcMar>
              <w:top w:w="80" w:type="dxa"/>
              <w:bottom w:w="80" w:type="dxa"/>
              <w:start w:w="120" w:type="dxa"/>
              <w:end w:w="120" w:type="dxa"/>
            </w:tcMar>
          </w:tcPr>
          <w:p>
            <w:pPr>
              <w:pStyle w:val="TableText"/>
            </w:pPr>
            <w:r>
              <w:t>App shows hub/node applied versions independently; stale heartbeat settings are not assumed applied.</w:t>
            </w:r>
          </w:p>
        </w:tc>
      </w:tr>
      <w:tr>
        <w:trPr>
          <w:cantSplit/>
        </w:trPr>
        <w:tc>
          <w:tcPr>
            <w:tcW w:type="dxa" w:w="1580"/>
            <w:tcMar>
              <w:top w:w="80" w:type="dxa"/>
              <w:bottom w:w="80" w:type="dxa"/>
              <w:start w:w="120" w:type="dxa"/>
              <w:end w:w="120" w:type="dxa"/>
            </w:tcMar>
          </w:tcPr>
          <w:p>
            <w:pPr>
              <w:pStyle w:val="TableText"/>
            </w:pPr>
            <w:r>
              <w:t>C07 Privacy / withdrawal</w:t>
            </w:r>
          </w:p>
        </w:tc>
        <w:tc>
          <w:tcPr>
            <w:tcW w:type="dxa" w:w="3970"/>
            <w:tcMar>
              <w:top w:w="80" w:type="dxa"/>
              <w:bottom w:w="80" w:type="dxa"/>
              <w:start w:w="120" w:type="dxa"/>
              <w:end w:w="120" w:type="dxa"/>
            </w:tcMar>
          </w:tcPr>
          <w:p>
            <w:pPr>
              <w:pStyle w:val="TableText"/>
            </w:pPr>
            <w:r>
              <w:t>Physical switch → immediate local gating → mode journal → backend on reconnect; withdrawal → cancel future sharing.</w:t>
            </w:r>
          </w:p>
        </w:tc>
        <w:tc>
          <w:tcPr>
            <w:tcW w:type="dxa" w:w="3810"/>
            <w:tcMar>
              <w:top w:w="80" w:type="dxa"/>
              <w:bottom w:w="80" w:type="dxa"/>
              <w:start w:w="120" w:type="dxa"/>
              <w:end w:w="120" w:type="dxa"/>
            </w:tcMar>
          </w:tcPr>
          <w:p>
            <w:pPr>
              <w:pStyle w:val="TableText"/>
            </w:pPr>
            <w:r>
              <w:t>Remote resume cannot override privacy. Old in-flight notifications cannot necessarily be recalled.</w:t>
            </w:r>
          </w:p>
        </w:tc>
      </w:tr>
      <w:tr>
        <w:trPr>
          <w:cantSplit/>
        </w:trPr>
        <w:tc>
          <w:tcPr>
            <w:tcW w:type="dxa" w:w="1580"/>
            <w:tcMar>
              <w:top w:w="80" w:type="dxa"/>
              <w:bottom w:w="80" w:type="dxa"/>
              <w:start w:w="120" w:type="dxa"/>
              <w:end w:w="120" w:type="dxa"/>
            </w:tcMar>
          </w:tcPr>
          <w:p>
            <w:pPr>
              <w:pStyle w:val="TableText"/>
            </w:pPr>
            <w:r>
              <w:t>C08 Reboot at deadline</w:t>
            </w:r>
          </w:p>
        </w:tc>
        <w:tc>
          <w:tcPr>
            <w:tcW w:type="dxa" w:w="3970"/>
            <w:tcMar>
              <w:top w:w="80" w:type="dxa"/>
              <w:bottom w:w="80" w:type="dxa"/>
              <w:start w:w="120" w:type="dxa"/>
              <w:end w:w="120" w:type="dxa"/>
            </w:tcMar>
          </w:tcPr>
          <w:p>
            <w:pPr>
              <w:pStyle w:val="TableText"/>
            </w:pPr>
            <w:r>
              <w:t>Boot → switch/credentials/config check → journal replay → time trust check → rebuild timers → reducer.</w:t>
            </w:r>
          </w:p>
        </w:tc>
        <w:tc>
          <w:tcPr>
            <w:tcW w:type="dxa" w:w="3810"/>
            <w:tcMar>
              <w:top w:w="80" w:type="dxa"/>
              <w:bottom w:w="80" w:type="dxa"/>
              <w:start w:w="120" w:type="dxa"/>
              <w:end w:w="120" w:type="dxa"/>
            </w:tcMar>
          </w:tcPr>
          <w:p>
            <w:pPr>
              <w:pStyle w:val="TableText"/>
            </w:pPr>
            <w:r>
              <w:t>Same stable window/incident ID. If time or coverage cannot be recovered, result is incomplete, not absent.</w:t>
            </w:r>
          </w:p>
        </w:tc>
      </w:tr>
      <w:tr>
        <w:trPr>
          <w:cantSplit/>
        </w:trPr>
        <w:tc>
          <w:tcPr>
            <w:tcW w:type="dxa" w:w="1580"/>
            <w:tcMar>
              <w:top w:w="80" w:type="dxa"/>
              <w:bottom w:w="80" w:type="dxa"/>
              <w:start w:w="120" w:type="dxa"/>
              <w:end w:w="120" w:type="dxa"/>
            </w:tcMar>
          </w:tcPr>
          <w:p>
            <w:pPr>
              <w:pStyle w:val="TableText"/>
            </w:pPr>
            <w:r>
              <w:t>C09 Caregiver unavailable</w:t>
            </w:r>
          </w:p>
        </w:tc>
        <w:tc>
          <w:tcPr>
            <w:tcW w:type="dxa" w:w="3970"/>
            <w:tcMar>
              <w:top w:w="80" w:type="dxa"/>
              <w:bottom w:w="80" w:type="dxa"/>
              <w:start w:w="120" w:type="dxa"/>
              <w:end w:w="120" w:type="dxa"/>
            </w:tcMar>
          </w:tcPr>
          <w:p>
            <w:pPr>
              <w:pStyle w:val="TableText"/>
            </w:pPr>
            <w:r>
              <w:t>Primary timeout/failure → backup stage → no action or expired claim → route exhausted.</w:t>
            </w:r>
          </w:p>
        </w:tc>
        <w:tc>
          <w:tcPr>
            <w:tcW w:type="dxa" w:w="3810"/>
            <w:tcMar>
              <w:top w:w="80" w:type="dxa"/>
              <w:bottom w:w="80" w:type="dxa"/>
              <w:start w:w="120" w:type="dxa"/>
              <w:end w:w="120" w:type="dxa"/>
            </w:tcMar>
          </w:tcPr>
          <w:p>
            <w:pPr>
              <w:pStyle w:val="TableText"/>
            </w:pPr>
            <w:r>
              <w:t>Incident remains unresolved with failure reason. No infinite loop and no implied staffed monitoring.</w:t>
            </w:r>
          </w:p>
        </w:tc>
      </w:tr>
      <w:tr>
        <w:trPr>
          <w:cantSplit/>
        </w:trPr>
        <w:tc>
          <w:tcPr>
            <w:tcW w:type="dxa" w:w="1580"/>
            <w:tcMar>
              <w:top w:w="80" w:type="dxa"/>
              <w:bottom w:w="80" w:type="dxa"/>
              <w:start w:w="120" w:type="dxa"/>
              <w:end w:w="120" w:type="dxa"/>
            </w:tcMar>
          </w:tcPr>
          <w:p>
            <w:pPr>
              <w:pStyle w:val="TableText"/>
            </w:pPr>
            <w:r>
              <w:t>C10 Device replacement</w:t>
            </w:r>
          </w:p>
        </w:tc>
        <w:tc>
          <w:tcPr>
            <w:tcW w:type="dxa" w:w="3970"/>
            <w:tcMar>
              <w:top w:w="80" w:type="dxa"/>
              <w:bottom w:w="80" w:type="dxa"/>
              <w:start w:w="120" w:type="dxa"/>
              <w:end w:w="120" w:type="dxa"/>
            </w:tcMar>
          </w:tcPr>
          <w:p>
            <w:pPr>
              <w:pStyle w:val="TableText"/>
            </w:pPr>
            <w:r>
              <w:t>Owner + physical service authorization → revoke old peer/hub epoch → provision replacement → repeat tests → activate.</w:t>
            </w:r>
          </w:p>
        </w:tc>
        <w:tc>
          <w:tcPr>
            <w:tcW w:type="dxa" w:w="3810"/>
            <w:tcMar>
              <w:top w:w="80" w:type="dxa"/>
              <w:bottom w:w="80" w:type="dxa"/>
              <w:start w:w="120" w:type="dxa"/>
              <w:end w:w="120" w:type="dxa"/>
            </w:tcMar>
          </w:tcPr>
          <w:p>
            <w:pPr>
              <w:pStyle w:val="TableText"/>
            </w:pPr>
            <w:r>
              <w:t>History remains attributable. New hub cannot reuse authority before old hub is fenced/revoked.</w:t>
            </w:r>
          </w:p>
        </w:tc>
      </w:tr>
    </w:tbl>
    <w:p>
      <w:pPr>
        <w:pStyle w:val="TableSpacer"/>
      </w:pPr>
    </w:p>
    <w:p>
      <w:bookmarkStart w:id="6" w:name="state"/>
      <w:pPr>
        <w:pStyle w:val="Heading1"/>
        <w:pageBreakBefore/>
      </w:pPr>
      <w:r>
        <w:rPr>
          <w:color w:val="000000"/>
        </w:rPr>
        <w:t>6. State, time and persistence model</w:t>
      </w:r>
      <w:bookmarkEnd w:id="6"/>
    </w:p>
    <w:p>
      <w:pPr>
        <w:pStyle w:val="SpecBody"/>
      </w:pPr>
      <w:r>
        <w:t>Do not compress the home into one traffic-light enum. Separate dimensions are required because a check-in can coexist with a sensor outage, a contact request and visitor mode. The stored reason is part of the state, not just a UI tooltip.</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690"/>
        <w:gridCol w:w="3910"/>
        <w:gridCol w:w="3760"/>
      </w:tblGrid>
      <w:tr>
        <w:trPr>
          <w:cantSplit/>
          <w:tblHeader/>
        </w:trPr>
        <w:tc>
          <w:tcPr>
            <w:tcW w:type="dxa" w:w="1690"/>
            <w:tcMar>
              <w:top w:w="80" w:type="dxa"/>
              <w:bottom w:w="80" w:type="dxa"/>
              <w:start w:w="120" w:type="dxa"/>
              <w:end w:w="120" w:type="dxa"/>
            </w:tcMar>
            <w:shd w:fill="E8EEF5"/>
          </w:tcPr>
          <w:p>
            <w:pPr>
              <w:pStyle w:val="TableText"/>
            </w:pPr>
            <w:r>
              <w:rPr>
                <w:b/>
              </w:rPr>
              <w:t>Dimension</w:t>
            </w:r>
          </w:p>
        </w:tc>
        <w:tc>
          <w:tcPr>
            <w:tcW w:type="dxa" w:w="3910"/>
            <w:tcMar>
              <w:top w:w="80" w:type="dxa"/>
              <w:bottom w:w="80" w:type="dxa"/>
              <w:start w:w="120" w:type="dxa"/>
              <w:end w:w="120" w:type="dxa"/>
            </w:tcMar>
            <w:shd w:fill="E8EEF5"/>
          </w:tcPr>
          <w:p>
            <w:pPr>
              <w:pStyle w:val="TableText"/>
            </w:pPr>
            <w:r>
              <w:rPr>
                <w:b/>
              </w:rPr>
              <w:t>State / fields</w:t>
            </w:r>
          </w:p>
        </w:tc>
        <w:tc>
          <w:tcPr>
            <w:tcW w:type="dxa" w:w="3760"/>
            <w:tcMar>
              <w:top w:w="80" w:type="dxa"/>
              <w:bottom w:w="80" w:type="dxa"/>
              <w:start w:w="120" w:type="dxa"/>
              <w:end w:w="120" w:type="dxa"/>
            </w:tcMar>
            <w:shd w:fill="E8EEF5"/>
          </w:tcPr>
          <w:p>
            <w:pPr>
              <w:pStyle w:val="TableText"/>
            </w:pPr>
            <w:r>
              <w:rPr>
                <w:b/>
              </w:rPr>
              <w:t>Rules</w:t>
            </w:r>
          </w:p>
        </w:tc>
      </w:tr>
      <w:tr>
        <w:trPr>
          <w:cantSplit/>
        </w:trPr>
        <w:tc>
          <w:tcPr>
            <w:tcW w:type="dxa" w:w="1690"/>
            <w:tcMar>
              <w:top w:w="80" w:type="dxa"/>
              <w:bottom w:w="80" w:type="dxa"/>
              <w:start w:w="120" w:type="dxa"/>
              <w:end w:w="120" w:type="dxa"/>
            </w:tcMar>
          </w:tcPr>
          <w:p>
            <w:pPr>
              <w:pStyle w:val="TableText"/>
            </w:pPr>
            <w:r>
              <w:t>Consent/privacy</w:t>
            </w:r>
          </w:p>
        </w:tc>
        <w:tc>
          <w:tcPr>
            <w:tcW w:type="dxa" w:w="3910"/>
            <w:tcMar>
              <w:top w:w="80" w:type="dxa"/>
              <w:bottom w:w="80" w:type="dxa"/>
              <w:start w:w="120" w:type="dxa"/>
              <w:end w:w="120" w:type="dxa"/>
            </w:tcMar>
          </w:tcPr>
          <w:p>
            <w:pPr>
              <w:pStyle w:val="TableText"/>
            </w:pPr>
            <w:r>
              <w:t>consent_valid; privacy_switch; sharing_enabled</w:t>
            </w:r>
          </w:p>
        </w:tc>
        <w:tc>
          <w:tcPr>
            <w:tcW w:type="dxa" w:w="3760"/>
            <w:tcMar>
              <w:top w:w="80" w:type="dxa"/>
              <w:bottom w:w="80" w:type="dxa"/>
              <w:start w:w="120" w:type="dxa"/>
              <w:end w:w="120" w:type="dxa"/>
            </w:tcMar>
          </w:tcPr>
          <w:p>
            <w:pPr>
              <w:pStyle w:val="TableText"/>
            </w:pPr>
            <w:r>
              <w:t>Highest precedence; no hub/cloud passive persistence during privacy. Node-buffer handling: F02. Withdrawal blocks sharing.</w:t>
            </w:r>
          </w:p>
        </w:tc>
      </w:tr>
      <w:tr>
        <w:trPr>
          <w:cantSplit/>
        </w:trPr>
        <w:tc>
          <w:tcPr>
            <w:tcW w:type="dxa" w:w="1690"/>
            <w:tcMar>
              <w:top w:w="80" w:type="dxa"/>
              <w:bottom w:w="80" w:type="dxa"/>
              <w:start w:w="120" w:type="dxa"/>
              <w:end w:w="120" w:type="dxa"/>
            </w:tcMar>
          </w:tcPr>
          <w:p>
            <w:pPr>
              <w:pStyle w:val="TableText"/>
            </w:pPr>
            <w:r>
              <w:t>Monitoring mode</w:t>
            </w:r>
          </w:p>
        </w:tc>
        <w:tc>
          <w:tcPr>
            <w:tcW w:type="dxa" w:w="3910"/>
            <w:tcMar>
              <w:top w:w="80" w:type="dxa"/>
              <w:bottom w:w="80" w:type="dxa"/>
              <w:start w:w="120" w:type="dxa"/>
              <w:end w:w="120" w:type="dxa"/>
            </w:tcMar>
          </w:tcPr>
          <w:p>
            <w:pPr>
              <w:pStyle w:val="TableText"/>
            </w:pPr>
            <w:r>
              <w:t>ACTIVE / AWAY / PAUSED / VISITOR + intervals</w:t>
            </w:r>
          </w:p>
        </w:tc>
        <w:tc>
          <w:tcPr>
            <w:tcW w:type="dxa" w:w="3760"/>
            <w:tcMar>
              <w:top w:w="80" w:type="dxa"/>
              <w:bottom w:w="80" w:type="dxa"/>
              <w:start w:w="120" w:type="dxa"/>
              <w:end w:w="120" w:type="dxa"/>
            </w:tcMar>
          </w:tcPr>
          <w:p>
            <w:pPr>
              <w:pStyle w:val="TableText"/>
            </w:pPr>
            <w:r>
              <w:t>Explicit exceptions; preserve effective times. Visitors invalidate resident-specific interpretation.</w:t>
            </w:r>
          </w:p>
        </w:tc>
      </w:tr>
      <w:tr>
        <w:trPr>
          <w:cantSplit/>
        </w:trPr>
        <w:tc>
          <w:tcPr>
            <w:tcW w:type="dxa" w:w="1690"/>
            <w:tcMar>
              <w:top w:w="80" w:type="dxa"/>
              <w:bottom w:w="80" w:type="dxa"/>
              <w:start w:w="120" w:type="dxa"/>
              <w:end w:w="120" w:type="dxa"/>
            </w:tcMar>
          </w:tcPr>
          <w:p>
            <w:pPr>
              <w:pStyle w:val="TableText"/>
            </w:pPr>
            <w:r>
              <w:t>Coverage</w:t>
            </w:r>
          </w:p>
        </w:tc>
        <w:tc>
          <w:tcPr>
            <w:tcW w:type="dxa" w:w="3910"/>
            <w:tcMar>
              <w:top w:w="80" w:type="dxa"/>
              <w:bottom w:w="80" w:type="dxa"/>
              <w:start w:w="120" w:type="dxa"/>
              <w:end w:w="120" w:type="dxa"/>
            </w:tcMar>
          </w:tcPr>
          <w:p>
            <w:pPr>
              <w:pStyle w:val="TableText"/>
            </w:pPr>
            <w:r>
              <w:t>AVAILABLE / DEGRADED / UNAVAILABLE + intervals/reasons</w:t>
            </w:r>
          </w:p>
        </w:tc>
        <w:tc>
          <w:tcPr>
            <w:tcW w:type="dxa" w:w="3760"/>
            <w:tcMar>
              <w:top w:w="80" w:type="dxa"/>
              <w:bottom w:w="80" w:type="dxa"/>
              <w:start w:w="120" w:type="dxa"/>
              <w:end w:w="120" w:type="dxa"/>
            </w:tcMar>
          </w:tcPr>
          <w:p>
            <w:pPr>
              <w:pStyle w:val="TableText"/>
            </w:pPr>
            <w:r>
              <w:t>Current coverage and window coverage are different. Heartbeats cannot prove a sensor is physically functioning.</w:t>
            </w:r>
          </w:p>
        </w:tc>
      </w:tr>
      <w:tr>
        <w:trPr>
          <w:cantSplit/>
        </w:trPr>
        <w:tc>
          <w:tcPr>
            <w:tcW w:type="dxa" w:w="1690"/>
            <w:tcMar>
              <w:top w:w="80" w:type="dxa"/>
              <w:bottom w:w="80" w:type="dxa"/>
              <w:start w:w="120" w:type="dxa"/>
              <w:end w:w="120" w:type="dxa"/>
            </w:tcMar>
          </w:tcPr>
          <w:p>
            <w:pPr>
              <w:pStyle w:val="TableText"/>
            </w:pPr>
            <w:r>
              <w:t>Time</w:t>
            </w:r>
          </w:p>
        </w:tc>
        <w:tc>
          <w:tcPr>
            <w:tcW w:type="dxa" w:w="3910"/>
            <w:tcMar>
              <w:top w:w="80" w:type="dxa"/>
              <w:bottom w:w="80" w:type="dxa"/>
              <w:start w:w="120" w:type="dxa"/>
              <w:end w:w="120" w:type="dxa"/>
            </w:tcMar>
          </w:tcPr>
          <w:p>
            <w:pPr>
              <w:pStyle w:val="TableText"/>
            </w:pPr>
            <w:r>
              <w:t>TRUSTED / UNCERTAIN / UNTRUSTED + uncertainty</w:t>
            </w:r>
          </w:p>
        </w:tc>
        <w:tc>
          <w:tcPr>
            <w:tcW w:type="dxa" w:w="3760"/>
            <w:tcMar>
              <w:top w:w="80" w:type="dxa"/>
              <w:bottom w:w="80" w:type="dxa"/>
              <w:start w:w="120" w:type="dxa"/>
              <w:end w:w="120" w:type="dxa"/>
            </w:tcMar>
          </w:tcPr>
          <w:p>
            <w:pPr>
              <w:pStyle w:val="TableText"/>
            </w:pPr>
            <w:r>
              <w:t>Absence evaluation requires trusted boundaries/clock. Manual requests remain available.</w:t>
            </w:r>
          </w:p>
        </w:tc>
      </w:tr>
      <w:tr>
        <w:trPr>
          <w:cantSplit/>
        </w:trPr>
        <w:tc>
          <w:tcPr>
            <w:tcW w:type="dxa" w:w="1690"/>
            <w:tcMar>
              <w:top w:w="80" w:type="dxa"/>
              <w:bottom w:w="80" w:type="dxa"/>
              <w:start w:w="120" w:type="dxa"/>
              <w:end w:w="120" w:type="dxa"/>
            </w:tcMar>
          </w:tcPr>
          <w:p>
            <w:pPr>
              <w:pStyle w:val="TableText"/>
            </w:pPr>
            <w:r>
              <w:t>Routine lifecycle</w:t>
            </w:r>
          </w:p>
        </w:tc>
        <w:tc>
          <w:tcPr>
            <w:tcW w:type="dxa" w:w="3910"/>
            <w:tcMar>
              <w:top w:w="80" w:type="dxa"/>
              <w:bottom w:w="80" w:type="dxa"/>
              <w:start w:w="120" w:type="dxa"/>
              <w:end w:w="120" w:type="dxa"/>
            </w:tcMar>
          </w:tcPr>
          <w:p>
            <w:pPr>
              <w:pStyle w:val="TableText"/>
            </w:pPr>
            <w:r>
              <w:t>WAITING / OBSERVING / GRACE / FINALIZED / ABORTED</w:t>
            </w:r>
          </w:p>
        </w:tc>
        <w:tc>
          <w:tcPr>
            <w:tcW w:type="dxa" w:w="3760"/>
            <w:tcMar>
              <w:top w:w="80" w:type="dxa"/>
              <w:bottom w:w="80" w:type="dxa"/>
              <w:start w:w="120" w:type="dxa"/>
              <w:end w:w="120" w:type="dxa"/>
            </w:tcMar>
          </w:tcPr>
          <w:p>
            <w:pPr>
              <w:pStyle w:val="TableText"/>
            </w:pPr>
            <w:r>
              <w:t>Window completion does not close independent incidents.</w:t>
            </w:r>
          </w:p>
        </w:tc>
      </w:tr>
      <w:tr>
        <w:trPr>
          <w:cantSplit/>
        </w:trPr>
        <w:tc>
          <w:tcPr>
            <w:tcW w:type="dxa" w:w="1690"/>
            <w:tcMar>
              <w:top w:w="80" w:type="dxa"/>
              <w:bottom w:w="80" w:type="dxa"/>
              <w:start w:w="120" w:type="dxa"/>
              <w:end w:w="120" w:type="dxa"/>
            </w:tcMar>
          </w:tcPr>
          <w:p>
            <w:pPr>
              <w:pStyle w:val="TableText"/>
            </w:pPr>
            <w:r>
              <w:t>Evidence</w:t>
            </w:r>
          </w:p>
        </w:tc>
        <w:tc>
          <w:tcPr>
            <w:tcW w:type="dxa" w:w="3910"/>
            <w:tcMar>
              <w:top w:w="80" w:type="dxa"/>
              <w:bottom w:w="80" w:type="dxa"/>
              <w:start w:w="120" w:type="dxa"/>
              <w:end w:w="120" w:type="dxa"/>
            </w:tcMar>
          </w:tcPr>
          <w:p>
            <w:pPr>
              <w:pStyle w:val="TableText"/>
            </w:pPr>
            <w:r>
              <w:t>activity_first_at; activity_last_at; self_checkin_at</w:t>
            </w:r>
          </w:p>
        </w:tc>
        <w:tc>
          <w:tcPr>
            <w:tcW w:type="dxa" w:w="3760"/>
            <w:tcMar>
              <w:top w:w="80" w:type="dxa"/>
              <w:bottom w:w="80" w:type="dxa"/>
              <w:start w:w="120" w:type="dxa"/>
              <w:end w:w="120" w:type="dxa"/>
            </w:tcMar>
          </w:tcPr>
          <w:p>
            <w:pPr>
              <w:pStyle w:val="TableText"/>
            </w:pPr>
            <w:r>
              <w:t>Independent nullable fields; both can be present. Do not overwrite one with the other.</w:t>
            </w:r>
          </w:p>
        </w:tc>
      </w:tr>
      <w:tr>
        <w:trPr>
          <w:cantSplit/>
        </w:trPr>
        <w:tc>
          <w:tcPr>
            <w:tcW w:type="dxa" w:w="1690"/>
            <w:tcMar>
              <w:top w:w="80" w:type="dxa"/>
              <w:bottom w:w="80" w:type="dxa"/>
              <w:start w:w="120" w:type="dxa"/>
              <w:end w:w="120" w:type="dxa"/>
            </w:tcMar>
          </w:tcPr>
          <w:p>
            <w:pPr>
              <w:pStyle w:val="TableText"/>
            </w:pPr>
            <w:r>
              <w:t>Window outcome</w:t>
            </w:r>
          </w:p>
        </w:tc>
        <w:tc>
          <w:tcPr>
            <w:tcW w:type="dxa" w:w="3910"/>
            <w:tcMar>
              <w:top w:w="80" w:type="dxa"/>
              <w:bottom w:w="80" w:type="dxa"/>
              <w:start w:w="120" w:type="dxa"/>
              <w:end w:w="120" w:type="dxa"/>
            </w:tcMar>
          </w:tcPr>
          <w:p>
            <w:pPr>
              <w:pStyle w:val="TableText"/>
            </w:pPr>
            <w:r>
              <w:t>SELF_CHECKIN / ACTIVITY_OBSERVED / NO_EVIDENCE / OBSERVATION_INCOMPLETE / SUPPRESSED</w:t>
            </w:r>
          </w:p>
        </w:tc>
        <w:tc>
          <w:tcPr>
            <w:tcW w:type="dxa" w:w="3760"/>
            <w:tcMar>
              <w:top w:w="80" w:type="dxa"/>
              <w:bottom w:w="80" w:type="dxa"/>
              <w:start w:w="120" w:type="dxa"/>
              <w:end w:w="120" w:type="dxa"/>
            </w:tcMar>
          </w:tcPr>
          <w:p>
            <w:pPr>
              <w:pStyle w:val="TableText"/>
            </w:pPr>
            <w:r>
              <w:t>A display summary with evidence retained; SELF_CHECKIN does not clear health warnings.</w:t>
            </w:r>
          </w:p>
        </w:tc>
      </w:tr>
      <w:tr>
        <w:trPr>
          <w:cantSplit/>
        </w:trPr>
        <w:tc>
          <w:tcPr>
            <w:tcW w:type="dxa" w:w="1690"/>
            <w:tcMar>
              <w:top w:w="80" w:type="dxa"/>
              <w:bottom w:w="80" w:type="dxa"/>
              <w:start w:w="120" w:type="dxa"/>
              <w:end w:w="120" w:type="dxa"/>
            </w:tcMar>
          </w:tcPr>
          <w:p>
            <w:pPr>
              <w:pStyle w:val="TableText"/>
            </w:pPr>
            <w:r>
              <w:t>Incident workflow</w:t>
            </w:r>
          </w:p>
        </w:tc>
        <w:tc>
          <w:tcPr>
            <w:tcW w:type="dxa" w:w="3910"/>
            <w:tcMar>
              <w:top w:w="80" w:type="dxa"/>
              <w:bottom w:w="80" w:type="dxa"/>
              <w:start w:w="120" w:type="dxa"/>
              <w:end w:w="120" w:type="dxa"/>
            </w:tcMar>
          </w:tcPr>
          <w:p>
            <w:pPr>
              <w:pStyle w:val="TableText"/>
            </w:pPr>
            <w:r>
              <w:t>OPEN / CLAIMED / RESOLVED / CLOSED_UNRESOLVED</w:t>
            </w:r>
          </w:p>
        </w:tc>
        <w:tc>
          <w:tcPr>
            <w:tcW w:type="dxa" w:w="3760"/>
            <w:tcMar>
              <w:top w:w="80" w:type="dxa"/>
              <w:bottom w:w="80" w:type="dxa"/>
              <w:start w:w="120" w:type="dxa"/>
              <w:end w:w="120" w:type="dxa"/>
            </w:tcMar>
          </w:tcPr>
          <w:p>
            <w:pPr>
              <w:pStyle w:val="TableText"/>
            </w:pPr>
            <w:r>
              <w:t>Human claim is leased; explicit outcome closes. Do not auto-close on activity.</w:t>
            </w:r>
          </w:p>
        </w:tc>
      </w:tr>
      <w:tr>
        <w:trPr>
          <w:cantSplit/>
        </w:trPr>
        <w:tc>
          <w:tcPr>
            <w:tcW w:type="dxa" w:w="1690"/>
            <w:tcMar>
              <w:top w:w="80" w:type="dxa"/>
              <w:bottom w:w="80" w:type="dxa"/>
              <w:start w:w="120" w:type="dxa"/>
              <w:end w:w="120" w:type="dxa"/>
            </w:tcMar>
          </w:tcPr>
          <w:p>
            <w:pPr>
              <w:pStyle w:val="TableText"/>
            </w:pPr>
            <w:r>
              <w:t>Delivery attempt</w:t>
            </w:r>
          </w:p>
        </w:tc>
        <w:tc>
          <w:tcPr>
            <w:tcW w:type="dxa" w:w="3910"/>
            <w:tcMar>
              <w:top w:w="80" w:type="dxa"/>
              <w:bottom w:w="80" w:type="dxa"/>
              <w:start w:w="120" w:type="dxa"/>
              <w:end w:w="120" w:type="dxa"/>
            </w:tcMar>
          </w:tcPr>
          <w:p>
            <w:pPr>
              <w:pStyle w:val="TableText"/>
            </w:pPr>
            <w:r>
              <w:t>QUEUED / SUBMITTED / PROVIDER_ACCEPTED / RETRYABLE_FAILED / PERMANENT_FAILED</w:t>
            </w:r>
          </w:p>
        </w:tc>
        <w:tc>
          <w:tcPr>
            <w:tcW w:type="dxa" w:w="3760"/>
            <w:tcMar>
              <w:top w:w="80" w:type="dxa"/>
              <w:bottom w:w="80" w:type="dxa"/>
              <w:start w:w="120" w:type="dxa"/>
              <w:end w:w="120" w:type="dxa"/>
            </w:tcMar>
          </w:tcPr>
          <w:p>
            <w:pPr>
              <w:pStyle w:val="TableText"/>
            </w:pPr>
            <w:r>
              <w:t>Optional app receipt stored separately; only authenticated human action is acknowledgement.</w:t>
            </w:r>
          </w:p>
        </w:tc>
      </w:tr>
    </w:tbl>
    <w:p>
      <w:pPr>
        <w:pStyle w:val="TableSpacer"/>
      </w:pPr>
    </w:p>
    <w:p>
      <w:pPr>
        <w:pStyle w:val="Heading2"/>
        <w:pageBreakBefore/>
      </w:pPr>
      <w:r>
        <w:rPr>
          <w:color w:val="000000"/>
        </w:rPr>
        <w:t>Deterministic morning decision</w:t>
      </w:r>
    </w:p>
    <w:p>
      <w:pPr>
        <w:pStyle w:val="Code"/>
        <w:keepLines/>
      </w:pPr>
      <w:r>
        <w:t>on deadline/grace tick or qualifying event:</w:t>
        <w:br/>
        <w:t xml:space="preserve">  replay/validate window and frozen config</w:t>
        <w:br/>
        <w:t xml:space="preserve">  update activity and self-check-in independently</w:t>
        <w:br/>
        <w:t xml:space="preserve">  if privacy/no consent: suppress passive routine</w:t>
        <w:br/>
        <w:t xml:space="preserve">  elif window contains away/pause/visitor: outcome = SUPPRESSED</w:t>
        <w:br/>
        <w:t xml:space="preserve">  elif self-checkin exists: outcome = SELF_CHECKIN</w:t>
        <w:br/>
        <w:t xml:space="preserve">  elif trusted in-window activity exists: outcome = ACTIVITY_OBSERVED</w:t>
        <w:br/>
        <w:t xml:space="preserve">  elif timing/coverage/data integrity is insufficient:</w:t>
        <w:br/>
        <w:t xml:space="preserve">       outcome = OBSERVATION_INCOMPLETE</w:t>
        <w:br/>
        <w:t xml:space="preserve">  elif deadline reached and grace not started: persist GRACE timer</w:t>
        <w:br/>
        <w:t xml:space="preserve">  elif grace expired: persist NO_EVIDENCE + one incident/outbox intent</w:t>
      </w:r>
    </w:p>
    <w:p>
      <w:pPr>
        <w:pStyle w:val="SpecBody"/>
      </w:pPr>
      <w:r>
        <w:t>Self-check-in/activity outcomes can be displayed while coverage is degraded; the orthogonal health dimension remains visible. A contact request is processed by a separate reducer and cannot be cleared by the morning outcome.</w:t>
      </w:r>
    </w:p>
    <w:p>
      <w:pPr>
        <w:pStyle w:val="Heading2"/>
      </w:pPr>
      <w:r>
        <w:rPr>
          <w:color w:val="000000"/>
        </w:rPr>
        <w:t>Coverage eligibility and clock recovery</w:t>
      </w:r>
    </w:p>
    <w:p>
      <w:pPr>
        <w:pStyle w:val="SpecBody"/>
      </w:pPr>
      <w:r>
        <w:t>Proposed P0 eligibility is conservative: every configured motion sensor has valid installation and lease coverage for the whole active window plus grace, no known dropped-event interval, no relevant mode gap, and trusted time. Once a lease expires, conservatively mark the unknown interval from its last confirmed contact to recovery. “Eligible” means no known gap under this model, not proof that every movement was detectable. Undetected failures within a lease and PIR limitations remain residual risks.</w:t>
      </w:r>
    </w:p>
    <w:p>
      <w:pPr>
        <w:pStyle w:val="SpecBody"/>
      </w:pPr>
      <w:r>
        <w:t>A motion event from one configured node can establish activity even when another node is down. The converse is not true: no events from a partially covered home cannot establish an inactivity condition. Late evidence with trustworthy occurrence time may revise the window result and append a correction to an incident, but shall not erase the original notification/audit history.</w:t>
      </w:r>
    </w:p>
    <w:p>
      <w:pPr>
        <w:pStyle w:val="SpecBody"/>
      </w:pPr>
      <w:r>
        <w:t>Window identity = schedule UUID + local date + frozen config version, scoped to home and hub-authority epoch. A backend-generated 90-day horizon contains UTC start/deadline/grace boundaries and timezone database version. Hub rules use those boundaries offline. Expired horizons cannot continue trusted routine evaluation. India uses Asia/Kolkata; future DST zones use tested, explicit overlap/gap policy described in E06.</w:t>
      </w:r>
    </w:p>
    <w:p>
      <w:pPr>
        <w:pStyle w:val="Heading2"/>
        <w:pageBreakBefore/>
      </w:pPr>
      <w:r>
        <w:rPr>
          <w:color w:val="000000"/>
        </w:rPr>
        <w:t>Proposed storage sizing and overflow behavior</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00"/>
        <w:gridCol w:w="3420"/>
        <w:gridCol w:w="4240"/>
      </w:tblGrid>
      <w:tr>
        <w:trPr>
          <w:cantSplit/>
          <w:tblHeader/>
        </w:trPr>
        <w:tc>
          <w:tcPr>
            <w:tcW w:type="dxa" w:w="1700"/>
            <w:tcMar>
              <w:top w:w="80" w:type="dxa"/>
              <w:bottom w:w="80" w:type="dxa"/>
              <w:start w:w="120" w:type="dxa"/>
              <w:end w:w="120" w:type="dxa"/>
            </w:tcMar>
            <w:shd w:fill="E8EEF5"/>
          </w:tcPr>
          <w:p>
            <w:pPr>
              <w:pStyle w:val="TableText"/>
            </w:pPr>
            <w:r>
              <w:rPr>
                <w:b/>
              </w:rPr>
              <w:t>Store</w:t>
            </w:r>
          </w:p>
        </w:tc>
        <w:tc>
          <w:tcPr>
            <w:tcW w:type="dxa" w:w="3420"/>
            <w:tcMar>
              <w:top w:w="80" w:type="dxa"/>
              <w:bottom w:w="80" w:type="dxa"/>
              <w:start w:w="120" w:type="dxa"/>
              <w:end w:w="120" w:type="dxa"/>
            </w:tcMar>
            <w:shd w:fill="E8EEF5"/>
          </w:tcPr>
          <w:p>
            <w:pPr>
              <w:pStyle w:val="TableText"/>
            </w:pPr>
            <w:r>
              <w:rPr>
                <w:b/>
              </w:rPr>
              <w:t>Initial engineering budget</w:t>
            </w:r>
          </w:p>
        </w:tc>
        <w:tc>
          <w:tcPr>
            <w:tcW w:type="dxa" w:w="4240"/>
            <w:tcMar>
              <w:top w:w="80" w:type="dxa"/>
              <w:bottom w:w="80" w:type="dxa"/>
              <w:start w:w="120" w:type="dxa"/>
              <w:end w:w="120" w:type="dxa"/>
            </w:tcMar>
            <w:shd w:fill="E8EEF5"/>
          </w:tcPr>
          <w:p>
            <w:pPr>
              <w:pStyle w:val="TableText"/>
            </w:pPr>
            <w:r>
              <w:rPr>
                <w:b/>
              </w:rPr>
              <w:t>Policy / validation</w:t>
            </w:r>
          </w:p>
        </w:tc>
      </w:tr>
      <w:tr>
        <w:trPr>
          <w:cantSplit/>
        </w:trPr>
        <w:tc>
          <w:tcPr>
            <w:tcW w:type="dxa" w:w="1700"/>
            <w:tcMar>
              <w:top w:w="80" w:type="dxa"/>
              <w:bottom w:w="80" w:type="dxa"/>
              <w:start w:w="120" w:type="dxa"/>
              <w:end w:w="120" w:type="dxa"/>
            </w:tcMar>
          </w:tcPr>
          <w:p>
            <w:pPr>
              <w:pStyle w:val="TableText"/>
            </w:pPr>
            <w:r>
              <w:t>Node retained state</w:t>
            </w:r>
          </w:p>
        </w:tc>
        <w:tc>
          <w:tcPr>
            <w:tcW w:type="dxa" w:w="3420"/>
            <w:tcMar>
              <w:top w:w="80" w:type="dxa"/>
              <w:bottom w:w="80" w:type="dxa"/>
              <w:start w:w="120" w:type="dxa"/>
              <w:end w:w="120" w:type="dxa"/>
            </w:tcMar>
          </w:tcPr>
          <w:p>
            <w:pPr>
              <w:pStyle w:val="TableText"/>
            </w:pPr>
            <w:r>
              <w:t>8 serialized event slots ≤1 KB + bounded metadata</w:t>
            </w:r>
          </w:p>
        </w:tc>
        <w:tc>
          <w:tcPr>
            <w:tcW w:type="dxa" w:w="4240"/>
            <w:tcMar>
              <w:top w:w="80" w:type="dxa"/>
              <w:bottom w:w="80" w:type="dxa"/>
              <w:start w:w="120" w:type="dxa"/>
              <w:end w:w="120" w:type="dxa"/>
            </w:tcMar>
          </w:tcPr>
          <w:p>
            <w:pPr>
              <w:pStyle w:val="TableText"/>
            </w:pPr>
            <w:r>
              <w:t>Retain session/sequence across deep sleep. Measure actual RTC memory usage; no dynamic unbounded queue.</w:t>
            </w:r>
          </w:p>
        </w:tc>
      </w:tr>
      <w:tr>
        <w:trPr>
          <w:cantSplit/>
        </w:trPr>
        <w:tc>
          <w:tcPr>
            <w:tcW w:type="dxa" w:w="1700"/>
            <w:tcMar>
              <w:top w:w="80" w:type="dxa"/>
              <w:bottom w:w="80" w:type="dxa"/>
              <w:start w:w="120" w:type="dxa"/>
              <w:end w:w="120" w:type="dxa"/>
            </w:tcMar>
          </w:tcPr>
          <w:p>
            <w:pPr>
              <w:pStyle w:val="TableText"/>
            </w:pPr>
            <w:r>
              <w:t>Node flash ring</w:t>
            </w:r>
          </w:p>
        </w:tc>
        <w:tc>
          <w:tcPr>
            <w:tcW w:type="dxa" w:w="3420"/>
            <w:tcMar>
              <w:top w:w="80" w:type="dxa"/>
              <w:bottom w:w="80" w:type="dxa"/>
              <w:start w:w="120" w:type="dxa"/>
              <w:end w:w="120" w:type="dxa"/>
            </w:tcMar>
          </w:tcPr>
          <w:p>
            <w:pPr>
              <w:pStyle w:val="TableText"/>
            </w:pPr>
            <w:r>
              <w:t>Candidate 64 KB, subject to actual board capacity</w:t>
            </w:r>
          </w:p>
        </w:tc>
        <w:tc>
          <w:tcPr>
            <w:tcW w:type="dxa" w:w="4240"/>
            <w:tcMar>
              <w:top w:w="80" w:type="dxa"/>
              <w:bottom w:w="80" w:type="dxa"/>
              <w:start w:w="120" w:type="dxa"/>
              <w:end w:w="120" w:type="dxa"/>
            </w:tcMar>
          </w:tcPr>
          <w:p>
            <w:pPr>
              <w:pStyle w:val="TableText"/>
            </w:pPr>
            <w:r>
              <w:t>Business events only, with CRC/commit. Coalesce heartbeats; test wear and interrupted writes.</w:t>
            </w:r>
          </w:p>
        </w:tc>
      </w:tr>
      <w:tr>
        <w:trPr>
          <w:cantSplit/>
        </w:trPr>
        <w:tc>
          <w:tcPr>
            <w:tcW w:type="dxa" w:w="1700"/>
            <w:tcMar>
              <w:top w:w="80" w:type="dxa"/>
              <w:bottom w:w="80" w:type="dxa"/>
              <w:start w:w="120" w:type="dxa"/>
              <w:end w:w="120" w:type="dxa"/>
            </w:tcMar>
          </w:tcPr>
          <w:p>
            <w:pPr>
              <w:pStyle w:val="TableText"/>
            </w:pPr>
            <w:r>
              <w:t>Hub callback queues</w:t>
            </w:r>
          </w:p>
        </w:tc>
        <w:tc>
          <w:tcPr>
            <w:tcW w:type="dxa" w:w="3420"/>
            <w:tcMar>
              <w:top w:w="80" w:type="dxa"/>
              <w:bottom w:w="80" w:type="dxa"/>
              <w:start w:w="120" w:type="dxa"/>
              <w:end w:w="120" w:type="dxa"/>
            </w:tcMar>
          </w:tcPr>
          <w:p>
            <w:pPr>
              <w:pStyle w:val="TableText"/>
            </w:pPr>
            <w:r>
              <w:t>128 × 192-byte copied event slots ≈24 KB</w:t>
            </w:r>
          </w:p>
        </w:tc>
        <w:tc>
          <w:tcPr>
            <w:tcW w:type="dxa" w:w="4240"/>
            <w:tcMar>
              <w:top w:w="80" w:type="dxa"/>
              <w:bottom w:w="80" w:type="dxa"/>
              <w:start w:w="120" w:type="dxa"/>
              <w:end w:w="120" w:type="dxa"/>
            </w:tcMar>
          </w:tcPr>
          <w:p>
            <w:pPr>
              <w:pStyle w:val="TableText"/>
            </w:pPr>
            <w:r>
              <w:t>Admission control; reserve UI/incident capacity. Cap incoming wire packet and verify serialization overhead.</w:t>
            </w:r>
          </w:p>
        </w:tc>
      </w:tr>
      <w:tr>
        <w:trPr>
          <w:cantSplit/>
        </w:trPr>
        <w:tc>
          <w:tcPr>
            <w:tcW w:type="dxa" w:w="1700"/>
            <w:tcMar>
              <w:top w:w="80" w:type="dxa"/>
              <w:bottom w:w="80" w:type="dxa"/>
              <w:start w:w="120" w:type="dxa"/>
              <w:end w:w="120" w:type="dxa"/>
            </w:tcMar>
          </w:tcPr>
          <w:p>
            <w:pPr>
              <w:pStyle w:val="TableText"/>
            </w:pPr>
            <w:r>
              <w:t>Hub data ring</w:t>
            </w:r>
          </w:p>
        </w:tc>
        <w:tc>
          <w:tcPr>
            <w:tcW w:type="dxa" w:w="3420"/>
            <w:tcMar>
              <w:top w:w="80" w:type="dxa"/>
              <w:bottom w:w="80" w:type="dxa"/>
              <w:start w:w="120" w:type="dxa"/>
              <w:end w:w="120" w:type="dxa"/>
            </w:tcMar>
          </w:tcPr>
          <w:p>
            <w:pPr>
              <w:pStyle w:val="TableText"/>
            </w:pPr>
            <w:r>
              <w:t>Candidate 2 MB, with 25% operating reserve</w:t>
            </w:r>
          </w:p>
        </w:tc>
        <w:tc>
          <w:tcPr>
            <w:tcW w:type="dxa" w:w="4240"/>
            <w:tcMar>
              <w:top w:w="80" w:type="dxa"/>
              <w:bottom w:w="80" w:type="dxa"/>
              <w:start w:w="120" w:type="dxa"/>
              <w:end w:w="120" w:type="dxa"/>
            </w:tcMar>
          </w:tcPr>
          <w:p>
            <w:pPr>
              <w:pStyle w:val="TableText"/>
            </w:pPr>
            <w:r>
              <w:t>At 256 bytes/record, 75% holds 6,144 records. At 500 business events/day, raw event budget ≈12 days before extra metadata; prove ≥72 hours with actual records.</w:t>
            </w:r>
          </w:p>
        </w:tc>
      </w:tr>
      <w:tr>
        <w:trPr>
          <w:cantSplit/>
        </w:trPr>
        <w:tc>
          <w:tcPr>
            <w:tcW w:type="dxa" w:w="1700"/>
            <w:tcMar>
              <w:top w:w="80" w:type="dxa"/>
              <w:bottom w:w="80" w:type="dxa"/>
              <w:start w:w="120" w:type="dxa"/>
              <w:end w:w="120" w:type="dxa"/>
            </w:tcMar>
          </w:tcPr>
          <w:p>
            <w:pPr>
              <w:pStyle w:val="TableText"/>
            </w:pPr>
            <w:r>
              <w:t>Hub partitions</w:t>
            </w:r>
          </w:p>
        </w:tc>
        <w:tc>
          <w:tcPr>
            <w:tcW w:type="dxa" w:w="3420"/>
            <w:tcMar>
              <w:top w:w="80" w:type="dxa"/>
              <w:bottom w:w="80" w:type="dxa"/>
              <w:start w:w="120" w:type="dxa"/>
              <w:end w:w="120" w:type="dxa"/>
            </w:tcMar>
          </w:tcPr>
          <w:p>
            <w:pPr>
              <w:pStyle w:val="TableText"/>
            </w:pPr>
            <w:r>
              <w:t>Two OTA app slots + NVS + credentials + journal</w:t>
            </w:r>
          </w:p>
        </w:tc>
        <w:tc>
          <w:tcPr>
            <w:tcW w:type="dxa" w:w="4240"/>
            <w:tcMar>
              <w:top w:w="80" w:type="dxa"/>
              <w:bottom w:w="80" w:type="dxa"/>
              <w:start w:w="120" w:type="dxa"/>
              <w:end w:w="120" w:type="dxa"/>
            </w:tcMar>
          </w:tcPr>
          <w:p>
            <w:pPr>
              <w:pStyle w:val="TableText"/>
            </w:pPr>
            <w:r>
              <w:t>Compile/link map decides exact partition sizes. Do not allocate based only on the board’s printed N16R8 label.</w:t>
            </w:r>
          </w:p>
        </w:tc>
      </w:tr>
      <w:tr>
        <w:trPr>
          <w:cantSplit/>
        </w:trPr>
        <w:tc>
          <w:tcPr>
            <w:tcW w:type="dxa" w:w="1700"/>
            <w:tcMar>
              <w:top w:w="80" w:type="dxa"/>
              <w:bottom w:w="80" w:type="dxa"/>
              <w:start w:w="120" w:type="dxa"/>
              <w:end w:w="120" w:type="dxa"/>
            </w:tcMar>
          </w:tcPr>
          <w:p>
            <w:pPr>
              <w:pStyle w:val="TableText"/>
            </w:pPr>
            <w:r>
              <w:t>Backend events</w:t>
            </w:r>
          </w:p>
        </w:tc>
        <w:tc>
          <w:tcPr>
            <w:tcW w:type="dxa" w:w="3420"/>
            <w:tcMar>
              <w:top w:w="80" w:type="dxa"/>
              <w:bottom w:w="80" w:type="dxa"/>
              <w:start w:w="120" w:type="dxa"/>
              <w:end w:w="120" w:type="dxa"/>
            </w:tcMar>
          </w:tcPr>
          <w:p>
            <w:pPr>
              <w:pStyle w:val="TableText"/>
            </w:pPr>
            <w:r>
              <w:t>30-day raw activity default; window summaries 90 days</w:t>
            </w:r>
          </w:p>
        </w:tc>
        <w:tc>
          <w:tcPr>
            <w:tcW w:type="dxa" w:w="4240"/>
            <w:tcMar>
              <w:top w:w="80" w:type="dxa"/>
              <w:bottom w:w="80" w:type="dxa"/>
              <w:start w:w="120" w:type="dxa"/>
              <w:end w:w="120" w:type="dxa"/>
            </w:tcMar>
          </w:tcPr>
          <w:p>
            <w:pPr>
              <w:pStyle w:val="TableText"/>
            </w:pPr>
            <w:r>
              <w:t>Partition by month only when justified; minimize personal detail; see deletion policy.</w:t>
            </w:r>
          </w:p>
        </w:tc>
      </w:tr>
      <w:tr>
        <w:trPr>
          <w:cantSplit/>
        </w:trPr>
        <w:tc>
          <w:tcPr>
            <w:tcW w:type="dxa" w:w="1700"/>
            <w:tcMar>
              <w:top w:w="80" w:type="dxa"/>
              <w:bottom w:w="80" w:type="dxa"/>
              <w:start w:w="120" w:type="dxa"/>
              <w:end w:w="120" w:type="dxa"/>
            </w:tcMar>
          </w:tcPr>
          <w:p>
            <w:pPr>
              <w:pStyle w:val="TableText"/>
            </w:pPr>
            <w:r>
              <w:t>Incident/audit data</w:t>
            </w:r>
          </w:p>
        </w:tc>
        <w:tc>
          <w:tcPr>
            <w:tcW w:type="dxa" w:w="3420"/>
            <w:tcMar>
              <w:top w:w="80" w:type="dxa"/>
              <w:bottom w:w="80" w:type="dxa"/>
              <w:start w:w="120" w:type="dxa"/>
              <w:end w:w="120" w:type="dxa"/>
            </w:tcMar>
          </w:tcPr>
          <w:p>
            <w:pPr>
              <w:pStyle w:val="TableText"/>
            </w:pPr>
            <w:r>
              <w:t>90-day product history default; security metadata 180 days</w:t>
            </w:r>
          </w:p>
        </w:tc>
        <w:tc>
          <w:tcPr>
            <w:tcW w:type="dxa" w:w="4240"/>
            <w:tcMar>
              <w:top w:w="80" w:type="dxa"/>
              <w:bottom w:w="80" w:type="dxa"/>
              <w:start w:w="120" w:type="dxa"/>
              <w:end w:w="120" w:type="dxa"/>
            </w:tcMar>
          </w:tcPr>
          <w:p>
            <w:pPr>
              <w:pStyle w:val="TableText"/>
            </w:pPr>
            <w:r>
              <w:t>No permanent personal archive. Exact retention/obligations reviewed before launch.</w:t>
            </w:r>
          </w:p>
        </w:tc>
      </w:tr>
    </w:tbl>
    <w:p>
      <w:pPr>
        <w:pStyle w:val="TableSpacer"/>
      </w:pPr>
    </w:p>
    <w:p>
      <w:pPr>
        <w:pStyle w:val="SpecBody"/>
      </w:pPr>
      <w:r>
        <w:t>The hub’s 192-byte internal slot is a normalized record, not a promise that every possible 200-byte wire packet fits after copying. Validate/decode into the bounded internal type; reject unsupported payloads before enqueue or use a separately bounded raw buffer pool. Never memcpy an unchecked length. Under pressure, coalesce health samples and remove acknowledged/expired records first. If business records are lost, persist a gap marker where possible and invalidate absence eligibility.</w:t>
      </w:r>
    </w:p>
    <w:p>
      <w:pPr>
        <w:pStyle w:val="SpecBody"/>
      </w:pPr>
      <w:r>
        <w:t>Retain cloud-committed business records locally for at least 72 hours at the design workload even after retiring their outbox entries. After a backend restore, publish a new reconciliation epoch and request a bounded hub replay to recover available records. Missing older data is marked unknown; the 24-hour cloud backup RPO is not silently converted into complete history. Deduplication retention covers the maximum permitted replay period; reject ancient replays explicitly rather than creating new incidents.</w:t>
      </w:r>
    </w:p>
    <w:p>
      <w:bookmarkStart w:id="7" w:name="data"/>
      <w:pPr>
        <w:pStyle w:val="Heading1"/>
        <w:pageBreakBefore/>
      </w:pPr>
      <w:r>
        <w:rPr>
          <w:color w:val="000000"/>
        </w:rPr>
        <w:t>7. Data model, APIs and security design</w:t>
      </w:r>
      <w:bookmarkEnd w:id="7"/>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490"/>
        <w:gridCol w:w="3650"/>
        <w:gridCol w:w="3220"/>
      </w:tblGrid>
      <w:tr>
        <w:trPr>
          <w:cantSplit/>
          <w:tblHeader/>
        </w:trPr>
        <w:tc>
          <w:tcPr>
            <w:tcW w:type="dxa" w:w="2490"/>
            <w:tcMar>
              <w:top w:w="80" w:type="dxa"/>
              <w:bottom w:w="80" w:type="dxa"/>
              <w:start w:w="120" w:type="dxa"/>
              <w:end w:w="120" w:type="dxa"/>
            </w:tcMar>
            <w:shd w:fill="E8EEF5"/>
          </w:tcPr>
          <w:p>
            <w:pPr>
              <w:pStyle w:val="TableText"/>
            </w:pPr>
            <w:r>
              <w:rPr>
                <w:b/>
              </w:rPr>
              <w:t>Entity / key</w:t>
            </w:r>
          </w:p>
        </w:tc>
        <w:tc>
          <w:tcPr>
            <w:tcW w:type="dxa" w:w="3650"/>
            <w:tcMar>
              <w:top w:w="80" w:type="dxa"/>
              <w:bottom w:w="80" w:type="dxa"/>
              <w:start w:w="120" w:type="dxa"/>
              <w:end w:w="120" w:type="dxa"/>
            </w:tcMar>
            <w:shd w:fill="E8EEF5"/>
          </w:tcPr>
          <w:p>
            <w:pPr>
              <w:pStyle w:val="TableText"/>
            </w:pPr>
            <w:r>
              <w:rPr>
                <w:b/>
              </w:rPr>
              <w:t>Important fields</w:t>
            </w:r>
          </w:p>
        </w:tc>
        <w:tc>
          <w:tcPr>
            <w:tcW w:type="dxa" w:w="3220"/>
            <w:tcMar>
              <w:top w:w="80" w:type="dxa"/>
              <w:bottom w:w="80" w:type="dxa"/>
              <w:start w:w="120" w:type="dxa"/>
              <w:end w:w="120" w:type="dxa"/>
            </w:tcMar>
            <w:shd w:fill="E8EEF5"/>
          </w:tcPr>
          <w:p>
            <w:pPr>
              <w:pStyle w:val="TableText"/>
            </w:pPr>
            <w:r>
              <w:rPr>
                <w:b/>
              </w:rPr>
              <w:t>Invariant</w:t>
            </w:r>
          </w:p>
        </w:tc>
      </w:tr>
      <w:tr>
        <w:trPr>
          <w:cantSplit/>
        </w:trPr>
        <w:tc>
          <w:tcPr>
            <w:tcW w:type="dxa" w:w="2490"/>
            <w:tcMar>
              <w:top w:w="80" w:type="dxa"/>
              <w:bottom w:w="80" w:type="dxa"/>
              <w:start w:w="120" w:type="dxa"/>
              <w:end w:w="120" w:type="dxa"/>
            </w:tcMar>
          </w:tcPr>
          <w:p>
            <w:pPr>
              <w:pStyle w:val="TableText"/>
            </w:pPr>
            <w:r>
              <w:t>homes / home_id</w:t>
            </w:r>
          </w:p>
        </w:tc>
        <w:tc>
          <w:tcPr>
            <w:tcW w:type="dxa" w:w="3650"/>
            <w:tcMar>
              <w:top w:w="80" w:type="dxa"/>
              <w:bottom w:w="80" w:type="dxa"/>
              <w:start w:w="120" w:type="dxa"/>
              <w:end w:w="120" w:type="dxa"/>
            </w:tcMar>
          </w:tcPr>
          <w:p>
            <w:pPr>
              <w:pStyle w:val="TableText"/>
            </w:pPr>
            <w:r>
              <w:t>timezone, locale, owner, status, retention_policy</w:t>
            </w:r>
          </w:p>
        </w:tc>
        <w:tc>
          <w:tcPr>
            <w:tcW w:type="dxa" w:w="3220"/>
            <w:tcMar>
              <w:top w:w="80" w:type="dxa"/>
              <w:bottom w:w="80" w:type="dxa"/>
              <w:start w:w="120" w:type="dxa"/>
              <w:end w:w="120" w:type="dxa"/>
            </w:tcMar>
          </w:tcPr>
          <w:p>
            <w:pPr>
              <w:pStyle w:val="TableText"/>
            </w:pPr>
            <w:r>
              <w:t>All household data references one home.</w:t>
            </w:r>
          </w:p>
        </w:tc>
      </w:tr>
      <w:tr>
        <w:trPr>
          <w:cantSplit/>
        </w:trPr>
        <w:tc>
          <w:tcPr>
            <w:tcW w:type="dxa" w:w="2490"/>
            <w:tcMar>
              <w:top w:w="80" w:type="dxa"/>
              <w:bottom w:w="80" w:type="dxa"/>
              <w:start w:w="120" w:type="dxa"/>
              <w:end w:w="120" w:type="dxa"/>
            </w:tcMar>
          </w:tcPr>
          <w:p>
            <w:pPr>
              <w:pStyle w:val="TableText"/>
            </w:pPr>
            <w:r>
              <w:t>memberships / home_id,user_id</w:t>
            </w:r>
          </w:p>
        </w:tc>
        <w:tc>
          <w:tcPr>
            <w:tcW w:type="dxa" w:w="3650"/>
            <w:tcMar>
              <w:top w:w="80" w:type="dxa"/>
              <w:bottom w:w="80" w:type="dxa"/>
              <w:start w:w="120" w:type="dxa"/>
              <w:end w:w="120" w:type="dxa"/>
            </w:tcMar>
          </w:tcPr>
          <w:p>
            <w:pPr>
              <w:pStyle w:val="TableText"/>
            </w:pPr>
            <w:r>
              <w:t>role, accepted_at, revoked_at, expires_at</w:t>
            </w:r>
          </w:p>
        </w:tc>
        <w:tc>
          <w:tcPr>
            <w:tcW w:type="dxa" w:w="3220"/>
            <w:tcMar>
              <w:top w:w="80" w:type="dxa"/>
              <w:bottom w:w="80" w:type="dxa"/>
              <w:start w:w="120" w:type="dxa"/>
              <w:end w:w="120" w:type="dxa"/>
            </w:tcMar>
          </w:tcPr>
          <w:p>
            <w:pPr>
              <w:pStyle w:val="TableText"/>
            </w:pPr>
            <w:r>
              <w:t>Invitation is not active access; check membership on every request.</w:t>
            </w:r>
          </w:p>
        </w:tc>
      </w:tr>
      <w:tr>
        <w:trPr>
          <w:cantSplit/>
        </w:trPr>
        <w:tc>
          <w:tcPr>
            <w:tcW w:type="dxa" w:w="2490"/>
            <w:tcMar>
              <w:top w:w="80" w:type="dxa"/>
              <w:bottom w:w="80" w:type="dxa"/>
              <w:start w:w="120" w:type="dxa"/>
              <w:end w:w="120" w:type="dxa"/>
            </w:tcMar>
          </w:tcPr>
          <w:p>
            <w:pPr>
              <w:pStyle w:val="TableText"/>
            </w:pPr>
            <w:r>
              <w:t>consent_records / consent_id</w:t>
            </w:r>
          </w:p>
        </w:tc>
        <w:tc>
          <w:tcPr>
            <w:tcW w:type="dxa" w:w="3650"/>
            <w:tcMar>
              <w:top w:w="80" w:type="dxa"/>
              <w:bottom w:w="80" w:type="dxa"/>
              <w:start w:w="120" w:type="dxa"/>
              <w:end w:w="120" w:type="dxa"/>
            </w:tcMar>
          </w:tcPr>
          <w:p>
            <w:pPr>
              <w:pStyle w:val="TableText"/>
            </w:pPr>
            <w:r>
              <w:t>home, version, purpose, method, captured_at, withdrawn_at</w:t>
            </w:r>
          </w:p>
        </w:tc>
        <w:tc>
          <w:tcPr>
            <w:tcW w:type="dxa" w:w="3220"/>
            <w:tcMar>
              <w:top w:w="80" w:type="dxa"/>
              <w:bottom w:w="80" w:type="dxa"/>
              <w:start w:w="120" w:type="dxa"/>
              <w:end w:w="120" w:type="dxa"/>
            </w:tcMar>
          </w:tcPr>
          <w:p>
            <w:pPr>
              <w:pStyle w:val="TableText"/>
            </w:pPr>
            <w:r>
              <w:t>Append consent history; withdrawal takes effect independently of deletion.</w:t>
            </w:r>
          </w:p>
        </w:tc>
      </w:tr>
      <w:tr>
        <w:trPr>
          <w:cantSplit/>
        </w:trPr>
        <w:tc>
          <w:tcPr>
            <w:tcW w:type="dxa" w:w="2490"/>
            <w:tcMar>
              <w:top w:w="80" w:type="dxa"/>
              <w:bottom w:w="80" w:type="dxa"/>
              <w:start w:w="120" w:type="dxa"/>
              <w:end w:w="120" w:type="dxa"/>
            </w:tcMar>
          </w:tcPr>
          <w:p>
            <w:pPr>
              <w:pStyle w:val="TableText"/>
            </w:pPr>
            <w:r>
              <w:t>devices / device_id</w:t>
            </w:r>
          </w:p>
        </w:tc>
        <w:tc>
          <w:tcPr>
            <w:tcW w:type="dxa" w:w="3650"/>
            <w:tcMar>
              <w:top w:w="80" w:type="dxa"/>
              <w:bottom w:w="80" w:type="dxa"/>
              <w:start w:w="120" w:type="dxa"/>
              <w:end w:w="120" w:type="dxa"/>
            </w:tcMar>
          </w:tcPr>
          <w:p>
            <w:pPr>
              <w:pStyle w:val="TableText"/>
            </w:pPr>
            <w:r>
              <w:t>home, type, location, certificate, authority_epoch, firmware</w:t>
            </w:r>
          </w:p>
        </w:tc>
        <w:tc>
          <w:tcPr>
            <w:tcW w:type="dxa" w:w="3220"/>
            <w:tcMar>
              <w:top w:w="80" w:type="dxa"/>
              <w:bottom w:w="80" w:type="dxa"/>
              <w:start w:w="120" w:type="dxa"/>
              <w:end w:w="120" w:type="dxa"/>
            </w:tcMar>
          </w:tcPr>
          <w:p>
            <w:pPr>
              <w:pStyle w:val="TableText"/>
            </w:pPr>
            <w:r>
              <w:t>At most one active authoritative hub/home; replacement is fenced.</w:t>
            </w:r>
          </w:p>
        </w:tc>
      </w:tr>
      <w:tr>
        <w:trPr>
          <w:cantSplit/>
        </w:trPr>
        <w:tc>
          <w:tcPr>
            <w:tcW w:type="dxa" w:w="2490"/>
            <w:tcMar>
              <w:top w:w="80" w:type="dxa"/>
              <w:bottom w:w="80" w:type="dxa"/>
              <w:start w:w="120" w:type="dxa"/>
              <w:end w:w="120" w:type="dxa"/>
            </w:tcMar>
          </w:tcPr>
          <w:p>
            <w:pPr>
              <w:pStyle w:val="TableText"/>
            </w:pPr>
            <w:r>
              <w:t>config_versions / home,version</w:t>
            </w:r>
          </w:p>
        </w:tc>
        <w:tc>
          <w:tcPr>
            <w:tcW w:type="dxa" w:w="3650"/>
            <w:tcMar>
              <w:top w:w="80" w:type="dxa"/>
              <w:bottom w:w="80" w:type="dxa"/>
              <w:start w:w="120" w:type="dxa"/>
              <w:end w:w="120" w:type="dxa"/>
            </w:tcMar>
          </w:tcPr>
          <w:p>
            <w:pPr>
              <w:pStyle w:val="TableText"/>
            </w:pPr>
            <w:r>
              <w:t>schema, body_hash, desired/applied, effective_at</w:t>
            </w:r>
          </w:p>
        </w:tc>
        <w:tc>
          <w:tcPr>
            <w:tcW w:type="dxa" w:w="3220"/>
            <w:tcMar>
              <w:top w:w="80" w:type="dxa"/>
              <w:bottom w:w="80" w:type="dxa"/>
              <w:start w:w="120" w:type="dxa"/>
              <w:end w:w="120" w:type="dxa"/>
            </w:tcMar>
          </w:tcPr>
          <w:p>
            <w:pPr>
              <w:pStyle w:val="TableText"/>
            </w:pPr>
            <w:r>
              <w:t>Immutable versions; node application is tracked separately.</w:t>
            </w:r>
          </w:p>
        </w:tc>
      </w:tr>
      <w:tr>
        <w:trPr>
          <w:cantSplit/>
        </w:trPr>
        <w:tc>
          <w:tcPr>
            <w:tcW w:type="dxa" w:w="2490"/>
            <w:tcMar>
              <w:top w:w="80" w:type="dxa"/>
              <w:bottom w:w="80" w:type="dxa"/>
              <w:start w:w="120" w:type="dxa"/>
              <w:end w:w="120" w:type="dxa"/>
            </w:tcMar>
          </w:tcPr>
          <w:p>
            <w:pPr>
              <w:pStyle w:val="TableText"/>
            </w:pPr>
            <w:r>
              <w:t>events / home,event_id</w:t>
            </w:r>
          </w:p>
        </w:tc>
        <w:tc>
          <w:tcPr>
            <w:tcW w:type="dxa" w:w="3650"/>
            <w:tcMar>
              <w:top w:w="80" w:type="dxa"/>
              <w:bottom w:w="80" w:type="dxa"/>
              <w:start w:w="120" w:type="dxa"/>
              <w:end w:w="120" w:type="dxa"/>
            </w:tcMar>
          </w:tcPr>
          <w:p>
            <w:pPr>
              <w:pStyle w:val="TableText"/>
            </w:pPr>
            <w:r>
              <w:t>source/session/seq, kind, times, time_quality, payload</w:t>
            </w:r>
          </w:p>
        </w:tc>
        <w:tc>
          <w:tcPr>
            <w:tcW w:type="dxa" w:w="3220"/>
            <w:tcMar>
              <w:top w:w="80" w:type="dxa"/>
              <w:bottom w:w="80" w:type="dxa"/>
              <w:start w:w="120" w:type="dxa"/>
              <w:end w:w="120" w:type="dxa"/>
            </w:tcMar>
          </w:tcPr>
          <w:p>
            <w:pPr>
              <w:pStyle w:val="TableText"/>
            </w:pPr>
            <w:r>
              <w:t>Unique idempotency key; store home from verified identity.</w:t>
            </w:r>
          </w:p>
        </w:tc>
      </w:tr>
      <w:tr>
        <w:trPr>
          <w:cantSplit/>
        </w:trPr>
        <w:tc>
          <w:tcPr>
            <w:tcW w:type="dxa" w:w="2490"/>
            <w:tcMar>
              <w:top w:w="80" w:type="dxa"/>
              <w:bottom w:w="80" w:type="dxa"/>
              <w:start w:w="120" w:type="dxa"/>
              <w:end w:w="120" w:type="dxa"/>
            </w:tcMar>
          </w:tcPr>
          <w:p>
            <w:pPr>
              <w:pStyle w:val="TableText"/>
            </w:pPr>
            <w:r>
              <w:t>coverage_intervals / interval_id</w:t>
            </w:r>
          </w:p>
        </w:tc>
        <w:tc>
          <w:tcPr>
            <w:tcW w:type="dxa" w:w="3650"/>
            <w:tcMar>
              <w:top w:w="80" w:type="dxa"/>
              <w:bottom w:w="80" w:type="dxa"/>
              <w:start w:w="120" w:type="dxa"/>
              <w:end w:w="120" w:type="dxa"/>
            </w:tcMar>
          </w:tcPr>
          <w:p>
            <w:pPr>
              <w:pStyle w:val="TableText"/>
            </w:pPr>
            <w:r>
              <w:t>home, node, start, end, cause, config_version</w:t>
            </w:r>
          </w:p>
        </w:tc>
        <w:tc>
          <w:tcPr>
            <w:tcW w:type="dxa" w:w="3220"/>
            <w:tcMar>
              <w:top w:w="80" w:type="dxa"/>
              <w:bottom w:w="80" w:type="dxa"/>
              <w:start w:w="120" w:type="dxa"/>
              <w:end w:w="120" w:type="dxa"/>
            </w:tcMar>
          </w:tcPr>
          <w:p>
            <w:pPr>
              <w:pStyle w:val="TableText"/>
            </w:pPr>
            <w:r>
              <w:t>Historical gaps are not overwritten by current recovery.</w:t>
            </w:r>
          </w:p>
        </w:tc>
      </w:tr>
      <w:tr>
        <w:trPr>
          <w:cantSplit/>
        </w:trPr>
        <w:tc>
          <w:tcPr>
            <w:tcW w:type="dxa" w:w="2490"/>
            <w:tcMar>
              <w:top w:w="80" w:type="dxa"/>
              <w:bottom w:w="80" w:type="dxa"/>
              <w:start w:w="120" w:type="dxa"/>
              <w:end w:w="120" w:type="dxa"/>
            </w:tcMar>
          </w:tcPr>
          <w:p>
            <w:pPr>
              <w:pStyle w:val="TableText"/>
            </w:pPr>
            <w:r>
              <w:t>routine_windows / home,window_id</w:t>
            </w:r>
          </w:p>
        </w:tc>
        <w:tc>
          <w:tcPr>
            <w:tcW w:type="dxa" w:w="3650"/>
            <w:tcMar>
              <w:top w:w="80" w:type="dxa"/>
              <w:bottom w:w="80" w:type="dxa"/>
              <w:start w:w="120" w:type="dxa"/>
              <w:end w:w="120" w:type="dxa"/>
            </w:tcMar>
          </w:tcPr>
          <w:p>
            <w:pPr>
              <w:pStyle w:val="TableText"/>
            </w:pPr>
            <w:r>
              <w:t>boundaries, evidence, outcome, revision, coverage summary</w:t>
            </w:r>
          </w:p>
        </w:tc>
        <w:tc>
          <w:tcPr>
            <w:tcW w:type="dxa" w:w="3220"/>
            <w:tcMar>
              <w:top w:w="80" w:type="dxa"/>
              <w:bottom w:w="80" w:type="dxa"/>
              <w:start w:w="120" w:type="dxa"/>
              <w:end w:w="120" w:type="dxa"/>
            </w:tcMar>
          </w:tcPr>
          <w:p>
            <w:pPr>
              <w:pStyle w:val="TableText"/>
            </w:pPr>
            <w:r>
              <w:t>One frozen configuration per window; retain outcome revisions.</w:t>
            </w:r>
          </w:p>
        </w:tc>
      </w:tr>
      <w:tr>
        <w:trPr>
          <w:cantSplit/>
        </w:trPr>
        <w:tc>
          <w:tcPr>
            <w:tcW w:type="dxa" w:w="2490"/>
            <w:tcMar>
              <w:top w:w="80" w:type="dxa"/>
              <w:bottom w:w="80" w:type="dxa"/>
              <w:start w:w="120" w:type="dxa"/>
              <w:end w:w="120" w:type="dxa"/>
            </w:tcMar>
          </w:tcPr>
          <w:p>
            <w:pPr>
              <w:pStyle w:val="TableText"/>
            </w:pPr>
            <w:r>
              <w:t>incidents / incident_id</w:t>
            </w:r>
          </w:p>
        </w:tc>
        <w:tc>
          <w:tcPr>
            <w:tcW w:type="dxa" w:w="3650"/>
            <w:tcMar>
              <w:top w:w="80" w:type="dxa"/>
              <w:bottom w:w="80" w:type="dxa"/>
              <w:start w:w="120" w:type="dxa"/>
              <w:end w:w="120" w:type="dxa"/>
            </w:tcMar>
          </w:tcPr>
          <w:p>
            <w:pPr>
              <w:pStyle w:val="TableText"/>
            </w:pPr>
            <w:r>
              <w:t>home, type, source/window, state, version, claim_until</w:t>
            </w:r>
          </w:p>
        </w:tc>
        <w:tc>
          <w:tcPr>
            <w:tcW w:type="dxa" w:w="3220"/>
            <w:tcMar>
              <w:top w:w="80" w:type="dxa"/>
              <w:bottom w:w="80" w:type="dxa"/>
              <w:start w:w="120" w:type="dxa"/>
              <w:end w:w="120" w:type="dxa"/>
            </w:tcMar>
          </w:tcPr>
          <w:p>
            <w:pPr>
              <w:pStyle w:val="TableText"/>
            </w:pPr>
            <w:r>
              <w:t>Stable origin ID; optimistic locking for human actions.</w:t>
            </w:r>
          </w:p>
        </w:tc>
      </w:tr>
      <w:tr>
        <w:trPr>
          <w:cantSplit/>
        </w:trPr>
        <w:tc>
          <w:tcPr>
            <w:tcW w:type="dxa" w:w="2490"/>
            <w:tcMar>
              <w:top w:w="80" w:type="dxa"/>
              <w:bottom w:w="80" w:type="dxa"/>
              <w:start w:w="120" w:type="dxa"/>
              <w:end w:w="120" w:type="dxa"/>
            </w:tcMar>
          </w:tcPr>
          <w:p>
            <w:pPr>
              <w:pStyle w:val="TableText"/>
            </w:pPr>
            <w:r>
              <w:t>incident_actions / action_id</w:t>
            </w:r>
          </w:p>
        </w:tc>
        <w:tc>
          <w:tcPr>
            <w:tcW w:type="dxa" w:w="3650"/>
            <w:tcMar>
              <w:top w:w="80" w:type="dxa"/>
              <w:bottom w:w="80" w:type="dxa"/>
              <w:start w:w="120" w:type="dxa"/>
              <w:end w:w="120" w:type="dxa"/>
            </w:tcMar>
          </w:tcPr>
          <w:p>
            <w:pPr>
              <w:pStyle w:val="TableText"/>
            </w:pPr>
            <w:r>
              <w:t>incident, actor, action, idempotency_key, time</w:t>
            </w:r>
          </w:p>
        </w:tc>
        <w:tc>
          <w:tcPr>
            <w:tcW w:type="dxa" w:w="3220"/>
            <w:tcMar>
              <w:top w:w="80" w:type="dxa"/>
              <w:bottom w:w="80" w:type="dxa"/>
              <w:start w:w="120" w:type="dxa"/>
              <w:end w:w="120" w:type="dxa"/>
            </w:tcMar>
          </w:tcPr>
          <w:p>
            <w:pPr>
              <w:pStyle w:val="TableText"/>
            </w:pPr>
            <w:r>
              <w:t>Append human actions; no implicit success from dialer launch.</w:t>
            </w:r>
          </w:p>
        </w:tc>
      </w:tr>
      <w:tr>
        <w:trPr>
          <w:cantSplit/>
        </w:trPr>
        <w:tc>
          <w:tcPr>
            <w:tcW w:type="dxa" w:w="2490"/>
            <w:tcMar>
              <w:top w:w="80" w:type="dxa"/>
              <w:bottom w:w="80" w:type="dxa"/>
              <w:start w:w="120" w:type="dxa"/>
              <w:end w:w="120" w:type="dxa"/>
            </w:tcMar>
          </w:tcPr>
          <w:p>
            <w:pPr>
              <w:pStyle w:val="TableText"/>
            </w:pPr>
            <w:r>
              <w:t>notification_jobs / job_id</w:t>
            </w:r>
          </w:p>
        </w:tc>
        <w:tc>
          <w:tcPr>
            <w:tcW w:type="dxa" w:w="3650"/>
            <w:tcMar>
              <w:top w:w="80" w:type="dxa"/>
              <w:bottom w:w="80" w:type="dxa"/>
              <w:start w:w="120" w:type="dxa"/>
              <w:end w:w="120" w:type="dxa"/>
            </w:tcMar>
          </w:tcPr>
          <w:p>
            <w:pPr>
              <w:pStyle w:val="TableText"/>
            </w:pPr>
            <w:r>
              <w:t>incident, recipient, stage, channel, next_at, lease_until</w:t>
            </w:r>
          </w:p>
        </w:tc>
        <w:tc>
          <w:tcPr>
            <w:tcW w:type="dxa" w:w="3220"/>
            <w:tcMar>
              <w:top w:w="80" w:type="dxa"/>
              <w:bottom w:w="80" w:type="dxa"/>
              <w:start w:w="120" w:type="dxa"/>
              <w:end w:w="120" w:type="dxa"/>
            </w:tcMar>
          </w:tcPr>
          <w:p>
            <w:pPr>
              <w:pStyle w:val="TableText"/>
            </w:pPr>
            <w:r>
              <w:t>Unique incident/recipient/stage/channel intent.</w:t>
            </w:r>
          </w:p>
        </w:tc>
      </w:tr>
      <w:tr>
        <w:trPr>
          <w:cantSplit/>
        </w:trPr>
        <w:tc>
          <w:tcPr>
            <w:tcW w:type="dxa" w:w="2490"/>
            <w:tcMar>
              <w:top w:w="80" w:type="dxa"/>
              <w:bottom w:w="80" w:type="dxa"/>
              <w:start w:w="120" w:type="dxa"/>
              <w:end w:w="120" w:type="dxa"/>
            </w:tcMar>
          </w:tcPr>
          <w:p>
            <w:pPr>
              <w:pStyle w:val="TableText"/>
            </w:pPr>
            <w:r>
              <w:t>delivery_attempts / attempt_id</w:t>
            </w:r>
          </w:p>
        </w:tc>
        <w:tc>
          <w:tcPr>
            <w:tcW w:type="dxa" w:w="3650"/>
            <w:tcMar>
              <w:top w:w="80" w:type="dxa"/>
              <w:bottom w:w="80" w:type="dxa"/>
              <w:start w:w="120" w:type="dxa"/>
              <w:end w:w="120" w:type="dxa"/>
            </w:tcMar>
          </w:tcPr>
          <w:p>
            <w:pPr>
              <w:pStyle w:val="TableText"/>
            </w:pPr>
            <w:r>
              <w:t>job, provider_result, error, submitted_at, receipt_at</w:t>
            </w:r>
          </w:p>
        </w:tc>
        <w:tc>
          <w:tcPr>
            <w:tcW w:type="dxa" w:w="3220"/>
            <w:tcMar>
              <w:top w:w="80" w:type="dxa"/>
              <w:bottom w:w="80" w:type="dxa"/>
              <w:start w:w="120" w:type="dxa"/>
              <w:end w:w="120" w:type="dxa"/>
            </w:tcMar>
          </w:tcPr>
          <w:p>
            <w:pPr>
              <w:pStyle w:val="TableText"/>
            </w:pPr>
            <w:r>
              <w:t>Transport and human acknowledgement remain distinct.</w:t>
            </w:r>
          </w:p>
        </w:tc>
      </w:tr>
      <w:tr>
        <w:trPr>
          <w:cantSplit/>
        </w:trPr>
        <w:tc>
          <w:tcPr>
            <w:tcW w:type="dxa" w:w="2490"/>
            <w:tcMar>
              <w:top w:w="80" w:type="dxa"/>
              <w:bottom w:w="80" w:type="dxa"/>
              <w:start w:w="120" w:type="dxa"/>
              <w:end w:w="120" w:type="dxa"/>
            </w:tcMar>
          </w:tcPr>
          <w:p>
            <w:pPr>
              <w:pStyle w:val="TableText"/>
            </w:pPr>
            <w:r>
              <w:t>outbox / id</w:t>
            </w:r>
          </w:p>
        </w:tc>
        <w:tc>
          <w:tcPr>
            <w:tcW w:type="dxa" w:w="3650"/>
            <w:tcMar>
              <w:top w:w="80" w:type="dxa"/>
              <w:bottom w:w="80" w:type="dxa"/>
              <w:start w:w="120" w:type="dxa"/>
              <w:end w:w="120" w:type="dxa"/>
            </w:tcMar>
          </w:tcPr>
          <w:p>
            <w:pPr>
              <w:pStyle w:val="TableText"/>
            </w:pPr>
            <w:r>
              <w:t>aggregate, payload, publish_state, attempts</w:t>
            </w:r>
          </w:p>
        </w:tc>
        <w:tc>
          <w:tcPr>
            <w:tcW w:type="dxa" w:w="3220"/>
            <w:tcMar>
              <w:top w:w="80" w:type="dxa"/>
              <w:bottom w:w="80" w:type="dxa"/>
              <w:start w:w="120" w:type="dxa"/>
              <w:end w:w="120" w:type="dxa"/>
            </w:tcMar>
          </w:tcPr>
          <w:p>
            <w:pPr>
              <w:pStyle w:val="TableText"/>
            </w:pPr>
            <w:r>
              <w:t>Transactionally created alongside the business change.</w:t>
            </w:r>
          </w:p>
        </w:tc>
      </w:tr>
      <w:tr>
        <w:trPr>
          <w:cantSplit/>
        </w:trPr>
        <w:tc>
          <w:tcPr>
            <w:tcW w:type="dxa" w:w="2490"/>
            <w:tcMar>
              <w:top w:w="80" w:type="dxa"/>
              <w:bottom w:w="80" w:type="dxa"/>
              <w:start w:w="120" w:type="dxa"/>
              <w:end w:w="120" w:type="dxa"/>
            </w:tcMar>
          </w:tcPr>
          <w:p>
            <w:pPr>
              <w:pStyle w:val="TableText"/>
            </w:pPr>
            <w:r>
              <w:t>push_subscriptions / id</w:t>
            </w:r>
          </w:p>
        </w:tc>
        <w:tc>
          <w:tcPr>
            <w:tcW w:type="dxa" w:w="3650"/>
            <w:tcMar>
              <w:top w:w="80" w:type="dxa"/>
              <w:bottom w:w="80" w:type="dxa"/>
              <w:start w:w="120" w:type="dxa"/>
              <w:end w:w="120" w:type="dxa"/>
            </w:tcMar>
          </w:tcPr>
          <w:p>
            <w:pPr>
              <w:pStyle w:val="TableText"/>
            </w:pPr>
            <w:r>
              <w:t>user, endpoint, encrypted credentials, status, tested_at</w:t>
            </w:r>
          </w:p>
        </w:tc>
        <w:tc>
          <w:tcPr>
            <w:tcW w:type="dxa" w:w="3220"/>
            <w:tcMar>
              <w:top w:w="80" w:type="dxa"/>
              <w:bottom w:w="80" w:type="dxa"/>
              <w:start w:w="120" w:type="dxa"/>
              <w:end w:w="120" w:type="dxa"/>
            </w:tcMar>
          </w:tcPr>
          <w:p>
            <w:pPr>
              <w:pStyle w:val="TableText"/>
            </w:pPr>
            <w:r>
              <w:t>Revoke invalid endpoint and removed member routing.</w:t>
            </w:r>
          </w:p>
        </w:tc>
      </w:tr>
      <w:tr>
        <w:trPr>
          <w:cantSplit/>
        </w:trPr>
        <w:tc>
          <w:tcPr>
            <w:tcW w:type="dxa" w:w="2490"/>
            <w:tcMar>
              <w:top w:w="80" w:type="dxa"/>
              <w:bottom w:w="80" w:type="dxa"/>
              <w:start w:w="120" w:type="dxa"/>
              <w:end w:w="120" w:type="dxa"/>
            </w:tcMar>
          </w:tcPr>
          <w:p>
            <w:pPr>
              <w:pStyle w:val="TableText"/>
            </w:pPr>
            <w:r>
              <w:t>audit + deletion_tombstones</w:t>
            </w:r>
          </w:p>
        </w:tc>
        <w:tc>
          <w:tcPr>
            <w:tcW w:type="dxa" w:w="3650"/>
            <w:tcMar>
              <w:top w:w="80" w:type="dxa"/>
              <w:bottom w:w="80" w:type="dxa"/>
              <w:start w:w="120" w:type="dxa"/>
              <w:end w:w="120" w:type="dxa"/>
            </w:tcMar>
          </w:tcPr>
          <w:p>
            <w:pPr>
              <w:pStyle w:val="TableText"/>
            </w:pPr>
            <w:r>
              <w:t>actor, action, target, expiry; deleted home IDs</w:t>
            </w:r>
          </w:p>
        </w:tc>
        <w:tc>
          <w:tcPr>
            <w:tcW w:type="dxa" w:w="3220"/>
            <w:tcMar>
              <w:top w:w="80" w:type="dxa"/>
              <w:bottom w:w="80" w:type="dxa"/>
              <w:start w:w="120" w:type="dxa"/>
              <w:end w:w="120" w:type="dxa"/>
            </w:tcMar>
          </w:tcPr>
          <w:p>
            <w:pPr>
              <w:pStyle w:val="TableText"/>
            </w:pPr>
            <w:r>
              <w:t>No secrets; tombstones prevent resurrection on restore.</w:t>
            </w:r>
          </w:p>
        </w:tc>
      </w:tr>
    </w:tbl>
    <w:p>
      <w:pPr>
        <w:pStyle w:val="TableSpacer"/>
      </w:pPr>
    </w:p>
    <w:p>
      <w:pPr>
        <w:pStyle w:val="SpecBody"/>
      </w:pPr>
      <w:r>
        <w:t>Indexes: events(home_id, occurred_at DESC, event_id); incidents(home_id, state, created_at DESC); jobs(state, next_at); memberships(user_id, home_id). All reads require home filtering; use cursor pagination, not unbounded history responses. Backend jobs acquire row leases with locking; committed unique keys are the final duplicate defense. A message broker alone cannot provide the transactional guarantees above.</w:t>
      </w:r>
    </w:p>
    <w:p>
      <w:pPr>
        <w:pStyle w:val="Heading2"/>
        <w:pageBreakBefore/>
      </w:pPr>
      <w:r>
        <w:rPr>
          <w:color w:val="000000"/>
        </w:rPr>
        <w:t>REST, command and error surface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3250"/>
        <w:gridCol w:w="2260"/>
        <w:gridCol w:w="3850"/>
      </w:tblGrid>
      <w:tr>
        <w:trPr>
          <w:cantSplit/>
          <w:tblHeader/>
        </w:trPr>
        <w:tc>
          <w:tcPr>
            <w:tcW w:type="dxa" w:w="3250"/>
            <w:tcMar>
              <w:top w:w="80" w:type="dxa"/>
              <w:bottom w:w="80" w:type="dxa"/>
              <w:start w:w="120" w:type="dxa"/>
              <w:end w:w="120" w:type="dxa"/>
            </w:tcMar>
            <w:shd w:fill="E8EEF5"/>
          </w:tcPr>
          <w:p>
            <w:pPr>
              <w:pStyle w:val="TableText"/>
            </w:pPr>
            <w:r>
              <w:rPr>
                <w:b/>
              </w:rPr>
              <w:t>Endpoint / command</w:t>
            </w:r>
          </w:p>
        </w:tc>
        <w:tc>
          <w:tcPr>
            <w:tcW w:type="dxa" w:w="2260"/>
            <w:tcMar>
              <w:top w:w="80" w:type="dxa"/>
              <w:bottom w:w="80" w:type="dxa"/>
              <w:start w:w="120" w:type="dxa"/>
              <w:end w:w="120" w:type="dxa"/>
            </w:tcMar>
            <w:shd w:fill="E8EEF5"/>
          </w:tcPr>
          <w:p>
            <w:pPr>
              <w:pStyle w:val="TableText"/>
            </w:pPr>
            <w:r>
              <w:rPr>
                <w:b/>
              </w:rPr>
              <w:t>Purpose</w:t>
            </w:r>
          </w:p>
        </w:tc>
        <w:tc>
          <w:tcPr>
            <w:tcW w:type="dxa" w:w="3850"/>
            <w:tcMar>
              <w:top w:w="80" w:type="dxa"/>
              <w:bottom w:w="80" w:type="dxa"/>
              <w:start w:w="120" w:type="dxa"/>
              <w:end w:w="120" w:type="dxa"/>
            </w:tcMar>
            <w:shd w:fill="E8EEF5"/>
          </w:tcPr>
          <w:p>
            <w:pPr>
              <w:pStyle w:val="TableText"/>
            </w:pPr>
            <w:r>
              <w:rPr>
                <w:b/>
              </w:rPr>
              <w:t>Access and behavior</w:t>
            </w:r>
          </w:p>
        </w:tc>
      </w:tr>
      <w:tr>
        <w:trPr>
          <w:cantSplit/>
        </w:trPr>
        <w:tc>
          <w:tcPr>
            <w:tcW w:type="dxa" w:w="3250"/>
            <w:tcMar>
              <w:top w:w="80" w:type="dxa"/>
              <w:bottom w:w="80" w:type="dxa"/>
              <w:start w:w="120" w:type="dxa"/>
              <w:end w:w="120" w:type="dxa"/>
            </w:tcMar>
          </w:tcPr>
          <w:p>
            <w:pPr>
              <w:pStyle w:val="TableText"/>
            </w:pPr>
            <w:r>
              <w:t>POST /v1/homes</w:t>
            </w:r>
          </w:p>
        </w:tc>
        <w:tc>
          <w:tcPr>
            <w:tcW w:type="dxa" w:w="2260"/>
            <w:tcMar>
              <w:top w:w="80" w:type="dxa"/>
              <w:bottom w:w="80" w:type="dxa"/>
              <w:start w:w="120" w:type="dxa"/>
              <w:end w:w="120" w:type="dxa"/>
            </w:tcMar>
          </w:tcPr>
          <w:p>
            <w:pPr>
              <w:pStyle w:val="TableText"/>
            </w:pPr>
            <w:r>
              <w:t>Create home</w:t>
            </w:r>
          </w:p>
        </w:tc>
        <w:tc>
          <w:tcPr>
            <w:tcW w:type="dxa" w:w="3850"/>
            <w:tcMar>
              <w:top w:w="80" w:type="dxa"/>
              <w:bottom w:w="80" w:type="dxa"/>
              <w:start w:w="120" w:type="dxa"/>
              <w:end w:w="120" w:type="dxa"/>
            </w:tcMar>
          </w:tcPr>
          <w:p>
            <w:pPr>
              <w:pStyle w:val="TableText"/>
            </w:pPr>
            <w:r>
              <w:t>Authenticated owner; validate timezone and defaults.</w:t>
            </w:r>
          </w:p>
        </w:tc>
      </w:tr>
      <w:tr>
        <w:trPr>
          <w:cantSplit/>
        </w:trPr>
        <w:tc>
          <w:tcPr>
            <w:tcW w:type="dxa" w:w="3250"/>
            <w:tcMar>
              <w:top w:w="80" w:type="dxa"/>
              <w:bottom w:w="80" w:type="dxa"/>
              <w:start w:w="120" w:type="dxa"/>
              <w:end w:w="120" w:type="dxa"/>
            </w:tcMar>
          </w:tcPr>
          <w:p>
            <w:pPr>
              <w:pStyle w:val="TableText"/>
            </w:pPr>
            <w:r>
              <w:t>POST /v1/homes/{id}/invites</w:t>
            </w:r>
          </w:p>
        </w:tc>
        <w:tc>
          <w:tcPr>
            <w:tcW w:type="dxa" w:w="2260"/>
            <w:tcMar>
              <w:top w:w="80" w:type="dxa"/>
              <w:bottom w:w="80" w:type="dxa"/>
              <w:start w:w="120" w:type="dxa"/>
              <w:end w:w="120" w:type="dxa"/>
            </w:tcMar>
          </w:tcPr>
          <w:p>
            <w:pPr>
              <w:pStyle w:val="TableText"/>
            </w:pPr>
            <w:r>
              <w:t>Invite caregiver/installer</w:t>
            </w:r>
          </w:p>
        </w:tc>
        <w:tc>
          <w:tcPr>
            <w:tcW w:type="dxa" w:w="3850"/>
            <w:tcMar>
              <w:top w:w="80" w:type="dxa"/>
              <w:bottom w:w="80" w:type="dxa"/>
              <w:start w:w="120" w:type="dxa"/>
              <w:end w:w="120" w:type="dxa"/>
            </w:tcMar>
          </w:tcPr>
          <w:p>
            <w:pPr>
              <w:pStyle w:val="TableText"/>
            </w:pPr>
            <w:r>
              <w:t>Owner only; single-use and expiring.</w:t>
            </w:r>
          </w:p>
        </w:tc>
      </w:tr>
      <w:tr>
        <w:trPr>
          <w:cantSplit/>
        </w:trPr>
        <w:tc>
          <w:tcPr>
            <w:tcW w:type="dxa" w:w="3250"/>
            <w:tcMar>
              <w:top w:w="80" w:type="dxa"/>
              <w:bottom w:w="80" w:type="dxa"/>
              <w:start w:w="120" w:type="dxa"/>
              <w:end w:w="120" w:type="dxa"/>
            </w:tcMar>
          </w:tcPr>
          <w:p>
            <w:pPr>
              <w:pStyle w:val="TableText"/>
            </w:pPr>
            <w:r>
              <w:t>POST /v1/homes/{id}/consent</w:t>
            </w:r>
          </w:p>
        </w:tc>
        <w:tc>
          <w:tcPr>
            <w:tcW w:type="dxa" w:w="2260"/>
            <w:tcMar>
              <w:top w:w="80" w:type="dxa"/>
              <w:bottom w:w="80" w:type="dxa"/>
              <w:start w:w="120" w:type="dxa"/>
              <w:end w:w="120" w:type="dxa"/>
            </w:tcMar>
          </w:tcPr>
          <w:p>
            <w:pPr>
              <w:pStyle w:val="TableText"/>
            </w:pPr>
            <w:r>
              <w:t>Record/withdraw consent</w:t>
            </w:r>
          </w:p>
        </w:tc>
        <w:tc>
          <w:tcPr>
            <w:tcW w:type="dxa" w:w="3850"/>
            <w:tcMar>
              <w:top w:w="80" w:type="dxa"/>
              <w:bottom w:w="80" w:type="dxa"/>
              <w:start w:w="120" w:type="dxa"/>
              <w:end w:w="120" w:type="dxa"/>
            </w:tcMar>
          </w:tcPr>
          <w:p>
            <w:pPr>
              <w:pStyle w:val="TableText"/>
            </w:pPr>
            <w:r>
              <w:t>Authorized resident-assisted workflow; record provenance.</w:t>
            </w:r>
          </w:p>
        </w:tc>
      </w:tr>
      <w:tr>
        <w:trPr>
          <w:cantSplit/>
        </w:trPr>
        <w:tc>
          <w:tcPr>
            <w:tcW w:type="dxa" w:w="3250"/>
            <w:tcMar>
              <w:top w:w="80" w:type="dxa"/>
              <w:bottom w:w="80" w:type="dxa"/>
              <w:start w:w="120" w:type="dxa"/>
              <w:end w:w="120" w:type="dxa"/>
            </w:tcMar>
          </w:tcPr>
          <w:p>
            <w:pPr>
              <w:pStyle w:val="TableText"/>
            </w:pPr>
            <w:r>
              <w:t>POST /v1/homes/{id}/claim-kit</w:t>
            </w:r>
          </w:p>
        </w:tc>
        <w:tc>
          <w:tcPr>
            <w:tcW w:type="dxa" w:w="2260"/>
            <w:tcMar>
              <w:top w:w="80" w:type="dxa"/>
              <w:bottom w:w="80" w:type="dxa"/>
              <w:start w:w="120" w:type="dxa"/>
              <w:end w:w="120" w:type="dxa"/>
            </w:tcMar>
          </w:tcPr>
          <w:p>
            <w:pPr>
              <w:pStyle w:val="TableText"/>
            </w:pPr>
            <w:r>
              <w:t>Bind kit</w:t>
            </w:r>
          </w:p>
        </w:tc>
        <w:tc>
          <w:tcPr>
            <w:tcW w:type="dxa" w:w="3850"/>
            <w:tcMar>
              <w:top w:w="80" w:type="dxa"/>
              <w:bottom w:w="80" w:type="dxa"/>
              <w:start w:w="120" w:type="dxa"/>
              <w:end w:w="120" w:type="dxa"/>
            </w:tcMar>
          </w:tcPr>
          <w:p>
            <w:pPr>
              <w:pStyle w:val="TableText"/>
            </w:pPr>
            <w:r>
              <w:t>One-use token + device proof + owner; no serial-only takeover.</w:t>
            </w:r>
          </w:p>
        </w:tc>
      </w:tr>
      <w:tr>
        <w:trPr>
          <w:cantSplit/>
        </w:trPr>
        <w:tc>
          <w:tcPr>
            <w:tcW w:type="dxa" w:w="3250"/>
            <w:tcMar>
              <w:top w:w="80" w:type="dxa"/>
              <w:bottom w:w="80" w:type="dxa"/>
              <w:start w:w="120" w:type="dxa"/>
              <w:end w:w="120" w:type="dxa"/>
            </w:tcMar>
          </w:tcPr>
          <w:p>
            <w:pPr>
              <w:pStyle w:val="TableText"/>
            </w:pPr>
            <w:r>
              <w:t>PUT /v1/homes/{id}/config</w:t>
            </w:r>
          </w:p>
        </w:tc>
        <w:tc>
          <w:tcPr>
            <w:tcW w:type="dxa" w:w="2260"/>
            <w:tcMar>
              <w:top w:w="80" w:type="dxa"/>
              <w:bottom w:w="80" w:type="dxa"/>
              <w:start w:w="120" w:type="dxa"/>
              <w:end w:w="120" w:type="dxa"/>
            </w:tcMar>
          </w:tcPr>
          <w:p>
            <w:pPr>
              <w:pStyle w:val="TableText"/>
            </w:pPr>
            <w:r>
              <w:t>Desired routine/device policy</w:t>
            </w:r>
          </w:p>
        </w:tc>
        <w:tc>
          <w:tcPr>
            <w:tcW w:type="dxa" w:w="3850"/>
            <w:tcMar>
              <w:top w:w="80" w:type="dxa"/>
              <w:bottom w:w="80" w:type="dxa"/>
              <w:start w:w="120" w:type="dxa"/>
              <w:end w:w="120" w:type="dxa"/>
            </w:tcMar>
          </w:tcPr>
          <w:p>
            <w:pPr>
              <w:pStyle w:val="TableText"/>
            </w:pPr>
            <w:r>
              <w:t>If-Match + idempotency key; 409 conflict; applied status separate.</w:t>
            </w:r>
          </w:p>
        </w:tc>
      </w:tr>
      <w:tr>
        <w:trPr>
          <w:cantSplit/>
        </w:trPr>
        <w:tc>
          <w:tcPr>
            <w:tcW w:type="dxa" w:w="3250"/>
            <w:tcMar>
              <w:top w:w="80" w:type="dxa"/>
              <w:bottom w:w="80" w:type="dxa"/>
              <w:start w:w="120" w:type="dxa"/>
              <w:end w:w="120" w:type="dxa"/>
            </w:tcMar>
          </w:tcPr>
          <w:p>
            <w:pPr>
              <w:pStyle w:val="TableText"/>
            </w:pPr>
            <w:r>
              <w:t>POST /v1/homes/{id}/mode</w:t>
            </w:r>
          </w:p>
        </w:tc>
        <w:tc>
          <w:tcPr>
            <w:tcW w:type="dxa" w:w="2260"/>
            <w:tcMar>
              <w:top w:w="80" w:type="dxa"/>
              <w:bottom w:w="80" w:type="dxa"/>
              <w:start w:w="120" w:type="dxa"/>
              <w:end w:w="120" w:type="dxa"/>
            </w:tcMar>
          </w:tcPr>
          <w:p>
            <w:pPr>
              <w:pStyle w:val="TableText"/>
            </w:pPr>
            <w:r>
              <w:t>Request away/pause/visitor</w:t>
            </w:r>
          </w:p>
        </w:tc>
        <w:tc>
          <w:tcPr>
            <w:tcW w:type="dxa" w:w="3850"/>
            <w:tcMar>
              <w:top w:w="80" w:type="dxa"/>
              <w:bottom w:w="80" w:type="dxa"/>
              <w:start w:w="120" w:type="dxa"/>
              <w:end w:w="120" w:type="dxa"/>
            </w:tcMar>
          </w:tcPr>
          <w:p>
            <w:pPr>
              <w:pStyle w:val="TableText"/>
            </w:pPr>
            <w:r>
              <w:t>Explicit scope/expiry; hub applied acknowledgement; cannot override physical privacy.</w:t>
            </w:r>
          </w:p>
        </w:tc>
      </w:tr>
      <w:tr>
        <w:trPr>
          <w:cantSplit/>
        </w:trPr>
        <w:tc>
          <w:tcPr>
            <w:tcW w:type="dxa" w:w="3250"/>
            <w:tcMar>
              <w:top w:w="80" w:type="dxa"/>
              <w:bottom w:w="80" w:type="dxa"/>
              <w:start w:w="120" w:type="dxa"/>
              <w:end w:w="120" w:type="dxa"/>
            </w:tcMar>
          </w:tcPr>
          <w:p>
            <w:pPr>
              <w:pStyle w:val="TableText"/>
            </w:pPr>
            <w:r>
              <w:t>GET /v1/homes/{id}/snapshot</w:t>
            </w:r>
          </w:p>
        </w:tc>
        <w:tc>
          <w:tcPr>
            <w:tcW w:type="dxa" w:w="2260"/>
            <w:tcMar>
              <w:top w:w="80" w:type="dxa"/>
              <w:bottom w:w="80" w:type="dxa"/>
              <w:start w:w="120" w:type="dxa"/>
              <w:end w:w="120" w:type="dxa"/>
            </w:tcMar>
          </w:tcPr>
          <w:p>
            <w:pPr>
              <w:pStyle w:val="TableText"/>
            </w:pPr>
            <w:r>
              <w:t>Evidence/coverage/incidents</w:t>
            </w:r>
          </w:p>
        </w:tc>
        <w:tc>
          <w:tcPr>
            <w:tcW w:type="dxa" w:w="3850"/>
            <w:tcMar>
              <w:top w:w="80" w:type="dxa"/>
              <w:bottom w:w="80" w:type="dxa"/>
              <w:start w:w="120" w:type="dxa"/>
              <w:end w:w="120" w:type="dxa"/>
            </w:tcMar>
          </w:tcPr>
          <w:p>
            <w:pPr>
              <w:pStyle w:val="TableText"/>
            </w:pPr>
            <w:r>
              <w:t>Current membership; includes as_of, hub_last_seen and revision.</w:t>
            </w:r>
          </w:p>
        </w:tc>
      </w:tr>
      <w:tr>
        <w:trPr>
          <w:cantSplit/>
        </w:trPr>
        <w:tc>
          <w:tcPr>
            <w:tcW w:type="dxa" w:w="3250"/>
            <w:tcMar>
              <w:top w:w="80" w:type="dxa"/>
              <w:bottom w:w="80" w:type="dxa"/>
              <w:start w:w="120" w:type="dxa"/>
              <w:end w:w="120" w:type="dxa"/>
            </w:tcMar>
          </w:tcPr>
          <w:p>
            <w:pPr>
              <w:pStyle w:val="TableText"/>
            </w:pPr>
            <w:r>
              <w:t>GET /v1/homes/{id}/events</w:t>
            </w:r>
          </w:p>
        </w:tc>
        <w:tc>
          <w:tcPr>
            <w:tcW w:type="dxa" w:w="2260"/>
            <w:tcMar>
              <w:top w:w="80" w:type="dxa"/>
              <w:bottom w:w="80" w:type="dxa"/>
              <w:start w:w="120" w:type="dxa"/>
              <w:end w:w="120" w:type="dxa"/>
            </w:tcMar>
          </w:tcPr>
          <w:p>
            <w:pPr>
              <w:pStyle w:val="TableText"/>
            </w:pPr>
            <w:r>
              <w:t>Cursor-paginated timeline</w:t>
            </w:r>
          </w:p>
        </w:tc>
        <w:tc>
          <w:tcPr>
            <w:tcW w:type="dxa" w:w="3850"/>
            <w:tcMar>
              <w:top w:w="80" w:type="dxa"/>
              <w:bottom w:w="80" w:type="dxa"/>
              <w:start w:w="120" w:type="dxa"/>
              <w:end w:w="120" w:type="dxa"/>
            </w:tcMar>
          </w:tcPr>
          <w:p>
            <w:pPr>
              <w:pStyle w:val="TableText"/>
            </w:pPr>
            <w:r>
              <w:t>Caregiver/owner; installer excluded by default.</w:t>
            </w:r>
          </w:p>
        </w:tc>
      </w:tr>
      <w:tr>
        <w:trPr>
          <w:cantSplit/>
        </w:trPr>
        <w:tc>
          <w:tcPr>
            <w:tcW w:type="dxa" w:w="3250"/>
            <w:tcMar>
              <w:top w:w="80" w:type="dxa"/>
              <w:bottom w:w="80" w:type="dxa"/>
              <w:start w:w="120" w:type="dxa"/>
              <w:end w:w="120" w:type="dxa"/>
            </w:tcMar>
          </w:tcPr>
          <w:p>
            <w:pPr>
              <w:pStyle w:val="TableText"/>
            </w:pPr>
            <w:r>
              <w:t>GET /v1/homes/{id}/stream</w:t>
            </w:r>
          </w:p>
        </w:tc>
        <w:tc>
          <w:tcPr>
            <w:tcW w:type="dxa" w:w="2260"/>
            <w:tcMar>
              <w:top w:w="80" w:type="dxa"/>
              <w:bottom w:w="80" w:type="dxa"/>
              <w:start w:w="120" w:type="dxa"/>
              <w:end w:w="120" w:type="dxa"/>
            </w:tcMar>
          </w:tcPr>
          <w:p>
            <w:pPr>
              <w:pStyle w:val="TableText"/>
            </w:pPr>
            <w:r>
              <w:t>SSE change hints</w:t>
            </w:r>
          </w:p>
        </w:tc>
        <w:tc>
          <w:tcPr>
            <w:tcW w:type="dxa" w:w="3850"/>
            <w:tcMar>
              <w:top w:w="80" w:type="dxa"/>
              <w:bottom w:w="80" w:type="dxa"/>
              <w:start w:w="120" w:type="dxa"/>
              <w:end w:w="120" w:type="dxa"/>
            </w:tcMar>
          </w:tcPr>
          <w:p>
            <w:pPr>
              <w:pStyle w:val="TableText"/>
            </w:pPr>
            <w:r>
              <w:t>Authorized and periodically rechecked; disconnect on revocation.</w:t>
            </w:r>
          </w:p>
        </w:tc>
      </w:tr>
      <w:tr>
        <w:trPr>
          <w:cantSplit/>
        </w:trPr>
        <w:tc>
          <w:tcPr>
            <w:tcW w:type="dxa" w:w="3250"/>
            <w:tcMar>
              <w:top w:w="80" w:type="dxa"/>
              <w:bottom w:w="80" w:type="dxa"/>
              <w:start w:w="120" w:type="dxa"/>
              <w:end w:w="120" w:type="dxa"/>
            </w:tcMar>
          </w:tcPr>
          <w:p>
            <w:pPr>
              <w:pStyle w:val="TableText"/>
            </w:pPr>
            <w:r>
              <w:t>POST /v1/incidents/{id}/actions</w:t>
            </w:r>
          </w:p>
        </w:tc>
        <w:tc>
          <w:tcPr>
            <w:tcW w:type="dxa" w:w="2260"/>
            <w:tcMar>
              <w:top w:w="80" w:type="dxa"/>
              <w:bottom w:w="80" w:type="dxa"/>
              <w:start w:w="120" w:type="dxa"/>
              <w:end w:w="120" w:type="dxa"/>
            </w:tcMar>
          </w:tcPr>
          <w:p>
            <w:pPr>
              <w:pStyle w:val="TableText"/>
            </w:pPr>
            <w:r>
              <w:t>Claim/contacted/unreachable</w:t>
            </w:r>
          </w:p>
        </w:tc>
        <w:tc>
          <w:tcPr>
            <w:tcW w:type="dxa" w:w="3850"/>
            <w:tcMar>
              <w:top w:w="80" w:type="dxa"/>
              <w:bottom w:w="80" w:type="dxa"/>
              <w:start w:w="120" w:type="dxa"/>
              <w:end w:w="120" w:type="dxa"/>
            </w:tcMar>
          </w:tcPr>
          <w:p>
            <w:pPr>
              <w:pStyle w:val="TableText"/>
            </w:pPr>
            <w:r>
              <w:t>Membership + version + idempotency key; audit transaction.</w:t>
            </w:r>
          </w:p>
        </w:tc>
      </w:tr>
      <w:tr>
        <w:trPr>
          <w:cantSplit/>
        </w:trPr>
        <w:tc>
          <w:tcPr>
            <w:tcW w:type="dxa" w:w="3250"/>
            <w:tcMar>
              <w:top w:w="80" w:type="dxa"/>
              <w:bottom w:w="80" w:type="dxa"/>
              <w:start w:w="120" w:type="dxa"/>
              <w:end w:w="120" w:type="dxa"/>
            </w:tcMar>
          </w:tcPr>
          <w:p>
            <w:pPr>
              <w:pStyle w:val="TableText"/>
            </w:pPr>
            <w:r>
              <w:t>POST /v1/push-subscriptions</w:t>
            </w:r>
          </w:p>
        </w:tc>
        <w:tc>
          <w:tcPr>
            <w:tcW w:type="dxa" w:w="2260"/>
            <w:tcMar>
              <w:top w:w="80" w:type="dxa"/>
              <w:bottom w:w="80" w:type="dxa"/>
              <w:start w:w="120" w:type="dxa"/>
              <w:end w:w="120" w:type="dxa"/>
            </w:tcMar>
          </w:tcPr>
          <w:p>
            <w:pPr>
              <w:pStyle w:val="TableText"/>
            </w:pPr>
            <w:r>
              <w:t>Register/test push</w:t>
            </w:r>
          </w:p>
        </w:tc>
        <w:tc>
          <w:tcPr>
            <w:tcW w:type="dxa" w:w="3850"/>
            <w:tcMar>
              <w:top w:w="80" w:type="dxa"/>
              <w:bottom w:w="80" w:type="dxa"/>
              <w:start w:w="120" w:type="dxa"/>
              <w:end w:w="120" w:type="dxa"/>
            </w:tcMar>
          </w:tcPr>
          <w:p>
            <w:pPr>
              <w:pStyle w:val="TableText"/>
            </w:pPr>
            <w:r>
              <w:t>Authenticated own user; permission test and confirmation.</w:t>
            </w:r>
          </w:p>
        </w:tc>
      </w:tr>
      <w:tr>
        <w:trPr>
          <w:cantSplit/>
        </w:trPr>
        <w:tc>
          <w:tcPr>
            <w:tcW w:type="dxa" w:w="3250"/>
            <w:tcMar>
              <w:top w:w="80" w:type="dxa"/>
              <w:bottom w:w="80" w:type="dxa"/>
              <w:start w:w="120" w:type="dxa"/>
              <w:end w:w="120" w:type="dxa"/>
            </w:tcMar>
          </w:tcPr>
          <w:p>
            <w:pPr>
              <w:pStyle w:val="TableText"/>
            </w:pPr>
            <w:r>
              <w:t>POST /v1/homes/{id}/exports</w:t>
            </w:r>
          </w:p>
        </w:tc>
        <w:tc>
          <w:tcPr>
            <w:tcW w:type="dxa" w:w="2260"/>
            <w:tcMar>
              <w:top w:w="80" w:type="dxa"/>
              <w:bottom w:w="80" w:type="dxa"/>
              <w:start w:w="120" w:type="dxa"/>
              <w:end w:w="120" w:type="dxa"/>
            </w:tcMar>
          </w:tcPr>
          <w:p>
            <w:pPr>
              <w:pStyle w:val="TableText"/>
            </w:pPr>
            <w:r>
              <w:t>Time-limited diagnostic/export</w:t>
            </w:r>
          </w:p>
        </w:tc>
        <w:tc>
          <w:tcPr>
            <w:tcW w:type="dxa" w:w="3850"/>
            <w:tcMar>
              <w:top w:w="80" w:type="dxa"/>
              <w:bottom w:w="80" w:type="dxa"/>
              <w:start w:w="120" w:type="dxa"/>
              <w:end w:w="120" w:type="dxa"/>
            </w:tcMar>
          </w:tcPr>
          <w:p>
            <w:pPr>
              <w:pStyle w:val="TableText"/>
            </w:pPr>
            <w:r>
              <w:t>Explicit authorization; redaction and expiry.</w:t>
            </w:r>
          </w:p>
        </w:tc>
      </w:tr>
      <w:tr>
        <w:trPr>
          <w:cantSplit/>
        </w:trPr>
        <w:tc>
          <w:tcPr>
            <w:tcW w:type="dxa" w:w="3250"/>
            <w:tcMar>
              <w:top w:w="80" w:type="dxa"/>
              <w:bottom w:w="80" w:type="dxa"/>
              <w:start w:w="120" w:type="dxa"/>
              <w:end w:w="120" w:type="dxa"/>
            </w:tcMar>
          </w:tcPr>
          <w:p>
            <w:pPr>
              <w:pStyle w:val="TableText"/>
            </w:pPr>
            <w:r>
              <w:t>DELETE /v1/homes/{id}</w:t>
            </w:r>
          </w:p>
        </w:tc>
        <w:tc>
          <w:tcPr>
            <w:tcW w:type="dxa" w:w="2260"/>
            <w:tcMar>
              <w:top w:w="80" w:type="dxa"/>
              <w:bottom w:w="80" w:type="dxa"/>
              <w:start w:w="120" w:type="dxa"/>
              <w:end w:w="120" w:type="dxa"/>
            </w:tcMar>
          </w:tcPr>
          <w:p>
            <w:pPr>
              <w:pStyle w:val="TableText"/>
            </w:pPr>
            <w:r>
              <w:t>Decommission/delete request</w:t>
            </w:r>
          </w:p>
        </w:tc>
        <w:tc>
          <w:tcPr>
            <w:tcW w:type="dxa" w:w="3850"/>
            <w:tcMar>
              <w:top w:w="80" w:type="dxa"/>
              <w:bottom w:w="80" w:type="dxa"/>
              <w:start w:w="120" w:type="dxa"/>
              <w:end w:w="120" w:type="dxa"/>
            </w:tcMar>
          </w:tcPr>
          <w:p>
            <w:pPr>
              <w:pStyle w:val="TableText"/>
            </w:pPr>
            <w:r>
              <w:t>Owner flow with resident rights handling; disable routing and revoke devices.</w:t>
            </w:r>
          </w:p>
        </w:tc>
      </w:tr>
      <w:tr>
        <w:trPr>
          <w:cantSplit/>
        </w:trPr>
        <w:tc>
          <w:tcPr>
            <w:tcW w:type="dxa" w:w="3250"/>
            <w:tcMar>
              <w:top w:w="80" w:type="dxa"/>
              <w:bottom w:w="80" w:type="dxa"/>
              <w:start w:w="120" w:type="dxa"/>
              <w:end w:w="120" w:type="dxa"/>
            </w:tcMar>
          </w:tcPr>
          <w:p>
            <w:pPr>
              <w:pStyle w:val="TableText"/>
            </w:pPr>
            <w:r>
              <w:t>Device CONFIG_APPLY / TIME_ANCHOR / UPDATE_OFFER</w:t>
            </w:r>
          </w:p>
        </w:tc>
        <w:tc>
          <w:tcPr>
            <w:tcW w:type="dxa" w:w="2260"/>
            <w:tcMar>
              <w:top w:w="80" w:type="dxa"/>
              <w:bottom w:w="80" w:type="dxa"/>
              <w:start w:w="120" w:type="dxa"/>
              <w:end w:w="120" w:type="dxa"/>
            </w:tcMar>
          </w:tcPr>
          <w:p>
            <w:pPr>
              <w:pStyle w:val="TableText"/>
            </w:pPr>
            <w:r>
              <w:t>Versioned transport commands</w:t>
            </w:r>
          </w:p>
        </w:tc>
        <w:tc>
          <w:tcPr>
            <w:tcW w:type="dxa" w:w="3850"/>
            <w:tcMar>
              <w:top w:w="80" w:type="dxa"/>
              <w:bottom w:w="80" w:type="dxa"/>
              <w:start w:w="120" w:type="dxa"/>
              <w:end w:w="120" w:type="dxa"/>
            </w:tcMar>
          </w:tcPr>
          <w:p>
            <w:pPr>
              <w:pStyle w:val="TableText"/>
            </w:pPr>
            <w:r>
              <w:t>Target ID, command ID, schema, issue/expiry and result acknowledgement.</w:t>
            </w:r>
          </w:p>
        </w:tc>
      </w:tr>
    </w:tbl>
    <w:p>
      <w:pPr>
        <w:pStyle w:val="TableSpacer"/>
      </w:pPr>
    </w:p>
    <w:p>
      <w:pPr>
        <w:pStyle w:val="SpecBody"/>
      </w:pPr>
      <w:r>
        <w:t>Standard errors: 400 malformed, 401 expired/invalid authentication, 403 forbidden (or 404 when hiding existence), 409 version/state conflict, 422 valid JSON but invalid configuration, 429 rate limited, 503 service unavailable. Return a stable error_code, safe message, request_id and retry_after when relevant; do not leak another home’s identifiers or secrets.</w:t>
      </w:r>
    </w:p>
    <w:p>
      <w:pPr>
        <w:pStyle w:val="Code"/>
        <w:keepLines/>
      </w:pPr>
      <w:r>
        <w:t>POST /v1/incidents/abc/actions</w:t>
        <w:br/>
        <w:t>Idempotency-Key: 8f...   If-Match: "7"</w:t>
        <w:br/>
        <w:t>{"action":"CLAIM","client_action_id":"8f..."}</w:t>
        <w:br/>
        <w:t>→ {"incident_id":"abc","version":8,"state":"CLAIMED",</w:t>
        <w:br/>
        <w:t xml:space="preserve">   "claim_until":"2026-09-03T04:00:00Z","actor_id":"u123"}</w:t>
      </w:r>
    </w:p>
    <w:p>
      <w:pPr>
        <w:pStyle w:val="Heading2"/>
        <w:pageBreakBefore/>
      </w:pPr>
      <w:r>
        <w:rPr>
          <w:color w:val="000000"/>
        </w:rPr>
        <w:t>Security boundaries and privacy lifecycle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70"/>
        <w:gridCol w:w="3820"/>
        <w:gridCol w:w="3170"/>
      </w:tblGrid>
      <w:tr>
        <w:trPr>
          <w:cantSplit/>
          <w:tblHeader/>
        </w:trPr>
        <w:tc>
          <w:tcPr>
            <w:tcW w:type="dxa" w:w="2370"/>
            <w:tcMar>
              <w:top w:w="80" w:type="dxa"/>
              <w:bottom w:w="80" w:type="dxa"/>
              <w:start w:w="120" w:type="dxa"/>
              <w:end w:w="120" w:type="dxa"/>
            </w:tcMar>
            <w:shd w:fill="E8EEF5"/>
          </w:tcPr>
          <w:p>
            <w:pPr>
              <w:pStyle w:val="TableText"/>
            </w:pPr>
            <w:r>
              <w:rPr>
                <w:b/>
              </w:rPr>
              <w:t>Threat / boundary</w:t>
            </w:r>
          </w:p>
        </w:tc>
        <w:tc>
          <w:tcPr>
            <w:tcW w:type="dxa" w:w="3820"/>
            <w:tcMar>
              <w:top w:w="80" w:type="dxa"/>
              <w:bottom w:w="80" w:type="dxa"/>
              <w:start w:w="120" w:type="dxa"/>
              <w:end w:w="120" w:type="dxa"/>
            </w:tcMar>
            <w:shd w:fill="E8EEF5"/>
          </w:tcPr>
          <w:p>
            <w:pPr>
              <w:pStyle w:val="TableText"/>
            </w:pPr>
            <w:r>
              <w:rPr>
                <w:b/>
              </w:rPr>
              <w:t>P0 control</w:t>
            </w:r>
          </w:p>
        </w:tc>
        <w:tc>
          <w:tcPr>
            <w:tcW w:type="dxa" w:w="3170"/>
            <w:tcMar>
              <w:top w:w="80" w:type="dxa"/>
              <w:bottom w:w="80" w:type="dxa"/>
              <w:start w:w="120" w:type="dxa"/>
              <w:end w:w="120" w:type="dxa"/>
            </w:tcMar>
            <w:shd w:fill="E8EEF5"/>
          </w:tcPr>
          <w:p>
            <w:pPr>
              <w:pStyle w:val="TableText"/>
            </w:pPr>
            <w:r>
              <w:rPr>
                <w:b/>
              </w:rPr>
              <w:t>Proof required</w:t>
            </w:r>
          </w:p>
        </w:tc>
      </w:tr>
      <w:tr>
        <w:trPr>
          <w:cantSplit/>
        </w:trPr>
        <w:tc>
          <w:tcPr>
            <w:tcW w:type="dxa" w:w="2370"/>
            <w:tcMar>
              <w:top w:w="80" w:type="dxa"/>
              <w:bottom w:w="80" w:type="dxa"/>
              <w:start w:w="120" w:type="dxa"/>
              <w:end w:w="120" w:type="dxa"/>
            </w:tcMar>
          </w:tcPr>
          <w:p>
            <w:pPr>
              <w:pStyle w:val="TableText"/>
            </w:pPr>
            <w:r>
              <w:t>Unauthorized local peer</w:t>
            </w:r>
          </w:p>
        </w:tc>
        <w:tc>
          <w:tcPr>
            <w:tcW w:type="dxa" w:w="3820"/>
            <w:tcMar>
              <w:top w:w="80" w:type="dxa"/>
              <w:bottom w:w="80" w:type="dxa"/>
              <w:start w:w="120" w:type="dxa"/>
              <w:end w:w="120" w:type="dxa"/>
            </w:tcMar>
          </w:tcPr>
          <w:p>
            <w:pPr>
              <w:pStyle w:val="TableText"/>
            </w:pPr>
            <w:r>
              <w:t>Per-peer encrypted unicast; authenticated session; physical provisioning.</w:t>
            </w:r>
          </w:p>
        </w:tc>
        <w:tc>
          <w:tcPr>
            <w:tcW w:type="dxa" w:w="3170"/>
            <w:tcMar>
              <w:top w:w="80" w:type="dxa"/>
              <w:bottom w:w="80" w:type="dxa"/>
              <w:start w:w="120" w:type="dxa"/>
              <w:end w:w="120" w:type="dxa"/>
            </w:tcMar>
          </w:tcPr>
          <w:p>
            <w:pPr>
              <w:pStyle w:val="TableText"/>
            </w:pPr>
            <w:r>
              <w:t>Spoof MAC/ID/session; reject without contaminating evidence.</w:t>
            </w:r>
          </w:p>
        </w:tc>
      </w:tr>
      <w:tr>
        <w:trPr>
          <w:cantSplit/>
        </w:trPr>
        <w:tc>
          <w:tcPr>
            <w:tcW w:type="dxa" w:w="2370"/>
            <w:tcMar>
              <w:top w:w="80" w:type="dxa"/>
              <w:bottom w:w="80" w:type="dxa"/>
              <w:start w:w="120" w:type="dxa"/>
              <w:end w:w="120" w:type="dxa"/>
            </w:tcMar>
          </w:tcPr>
          <w:p>
            <w:pPr>
              <w:pStyle w:val="TableText"/>
            </w:pPr>
            <w:r>
              <w:t>Cross-home API or broker access</w:t>
            </w:r>
          </w:p>
        </w:tc>
        <w:tc>
          <w:tcPr>
            <w:tcW w:type="dxa" w:w="3820"/>
            <w:tcMar>
              <w:top w:w="80" w:type="dxa"/>
              <w:bottom w:w="80" w:type="dxa"/>
              <w:start w:w="120" w:type="dxa"/>
              <w:end w:w="120" w:type="dxa"/>
            </w:tcMar>
          </w:tcPr>
          <w:p>
            <w:pPr>
              <w:pStyle w:val="TableText"/>
            </w:pPr>
            <w:r>
              <w:t>Membership check + topic ACL + non-owner RLS role.</w:t>
            </w:r>
          </w:p>
        </w:tc>
        <w:tc>
          <w:tcPr>
            <w:tcW w:type="dxa" w:w="3170"/>
            <w:tcMar>
              <w:top w:w="80" w:type="dxa"/>
              <w:bottom w:w="80" w:type="dxa"/>
              <w:start w:w="120" w:type="dxa"/>
              <w:end w:w="120" w:type="dxa"/>
            </w:tcMar>
          </w:tcPr>
          <w:p>
            <w:pPr>
              <w:pStyle w:val="TableText"/>
            </w:pPr>
            <w:r>
              <w:t>Negative test matrix across API, SSE, exports and MQTT topics [S7].</w:t>
            </w:r>
          </w:p>
        </w:tc>
      </w:tr>
      <w:tr>
        <w:trPr>
          <w:cantSplit/>
        </w:trPr>
        <w:tc>
          <w:tcPr>
            <w:tcW w:type="dxa" w:w="2370"/>
            <w:tcMar>
              <w:top w:w="80" w:type="dxa"/>
              <w:bottom w:w="80" w:type="dxa"/>
              <w:start w:w="120" w:type="dxa"/>
              <w:end w:w="120" w:type="dxa"/>
            </w:tcMar>
          </w:tcPr>
          <w:p>
            <w:pPr>
              <w:pStyle w:val="TableText"/>
            </w:pPr>
            <w:r>
              <w:t>Malicious/stale command</w:t>
            </w:r>
          </w:p>
        </w:tc>
        <w:tc>
          <w:tcPr>
            <w:tcW w:type="dxa" w:w="3820"/>
            <w:tcMar>
              <w:top w:w="80" w:type="dxa"/>
              <w:bottom w:w="80" w:type="dxa"/>
              <w:start w:w="120" w:type="dxa"/>
              <w:end w:w="120" w:type="dxa"/>
            </w:tcMar>
          </w:tcPr>
          <w:p>
            <w:pPr>
              <w:pStyle w:val="TableText"/>
            </w:pPr>
            <w:r>
              <w:t>Certificate/TLS validation; target/version/expiry/idempotency checks.</w:t>
            </w:r>
          </w:p>
        </w:tc>
        <w:tc>
          <w:tcPr>
            <w:tcW w:type="dxa" w:w="3170"/>
            <w:tcMar>
              <w:top w:w="80" w:type="dxa"/>
              <w:bottom w:w="80" w:type="dxa"/>
              <w:start w:w="120" w:type="dxa"/>
              <w:end w:w="120" w:type="dxa"/>
            </w:tcMar>
          </w:tcPr>
          <w:p>
            <w:pPr>
              <w:pStyle w:val="TableText"/>
            </w:pPr>
            <w:r>
              <w:t>Replay, oversized payload and expired command tests.</w:t>
            </w:r>
          </w:p>
        </w:tc>
      </w:tr>
      <w:tr>
        <w:trPr>
          <w:cantSplit/>
        </w:trPr>
        <w:tc>
          <w:tcPr>
            <w:tcW w:type="dxa" w:w="2370"/>
            <w:tcMar>
              <w:top w:w="80" w:type="dxa"/>
              <w:bottom w:w="80" w:type="dxa"/>
              <w:start w:w="120" w:type="dxa"/>
              <w:end w:w="120" w:type="dxa"/>
            </w:tcMar>
          </w:tcPr>
          <w:p>
            <w:pPr>
              <w:pStyle w:val="TableText"/>
            </w:pPr>
            <w:r>
              <w:t>Stolen or repurposed kit</w:t>
            </w:r>
          </w:p>
        </w:tc>
        <w:tc>
          <w:tcPr>
            <w:tcW w:type="dxa" w:w="3820"/>
            <w:tcMar>
              <w:top w:w="80" w:type="dxa"/>
              <w:bottom w:w="80" w:type="dxa"/>
              <w:start w:w="120" w:type="dxa"/>
              <w:end w:w="120" w:type="dxa"/>
            </w:tcMar>
          </w:tcPr>
          <w:p>
            <w:pPr>
              <w:pStyle w:val="TableText"/>
            </w:pPr>
            <w:r>
              <w:t>Credential revocation; physical re-provision; authority epoch fence.</w:t>
            </w:r>
          </w:p>
        </w:tc>
        <w:tc>
          <w:tcPr>
            <w:tcW w:type="dxa" w:w="3170"/>
            <w:tcMar>
              <w:top w:w="80" w:type="dxa"/>
              <w:bottom w:w="80" w:type="dxa"/>
              <w:start w:w="120" w:type="dxa"/>
              <w:end w:w="120" w:type="dxa"/>
            </w:tcMar>
          </w:tcPr>
          <w:p>
            <w:pPr>
              <w:pStyle w:val="TableText"/>
            </w:pPr>
            <w:r>
              <w:t>Old device cannot ingest into the new household.</w:t>
            </w:r>
          </w:p>
        </w:tc>
      </w:tr>
      <w:tr>
        <w:trPr>
          <w:cantSplit/>
        </w:trPr>
        <w:tc>
          <w:tcPr>
            <w:tcW w:type="dxa" w:w="2370"/>
            <w:tcMar>
              <w:top w:w="80" w:type="dxa"/>
              <w:bottom w:w="80" w:type="dxa"/>
              <w:start w:w="120" w:type="dxa"/>
              <w:end w:w="120" w:type="dxa"/>
            </w:tcMar>
          </w:tcPr>
          <w:p>
            <w:pPr>
              <w:pStyle w:val="TableText"/>
            </w:pPr>
            <w:r>
              <w:t>Firmware tampering</w:t>
            </w:r>
          </w:p>
        </w:tc>
        <w:tc>
          <w:tcPr>
            <w:tcW w:type="dxa" w:w="3820"/>
            <w:tcMar>
              <w:top w:w="80" w:type="dxa"/>
              <w:bottom w:w="80" w:type="dxa"/>
              <w:start w:w="120" w:type="dxa"/>
              <w:end w:w="120" w:type="dxa"/>
            </w:tcMar>
          </w:tcPr>
          <w:p>
            <w:pPr>
              <w:pStyle w:val="TableText"/>
            </w:pPr>
            <w:r>
              <w:t>Signed image validation; planned secure boot/flash encryption.</w:t>
            </w:r>
          </w:p>
        </w:tc>
        <w:tc>
          <w:tcPr>
            <w:tcW w:type="dxa" w:w="3170"/>
            <w:tcMar>
              <w:top w:w="80" w:type="dxa"/>
              <w:bottom w:w="80" w:type="dxa"/>
              <w:start w:w="120" w:type="dxa"/>
              <w:end w:w="120" w:type="dxa"/>
            </w:tcMar>
          </w:tcPr>
          <w:p>
            <w:pPr>
              <w:pStyle w:val="TableText"/>
            </w:pPr>
            <w:r>
              <w:t>Tampered image rejected; recovery drill before irreversible settings [S2, S6].</w:t>
            </w:r>
          </w:p>
        </w:tc>
      </w:tr>
      <w:tr>
        <w:trPr>
          <w:cantSplit/>
        </w:trPr>
        <w:tc>
          <w:tcPr>
            <w:tcW w:type="dxa" w:w="2370"/>
            <w:tcMar>
              <w:top w:w="80" w:type="dxa"/>
              <w:bottom w:w="80" w:type="dxa"/>
              <w:start w:w="120" w:type="dxa"/>
              <w:end w:w="120" w:type="dxa"/>
            </w:tcMar>
          </w:tcPr>
          <w:p>
            <w:pPr>
              <w:pStyle w:val="TableText"/>
            </w:pPr>
            <w:r>
              <w:t>Private activity on a lock screen</w:t>
            </w:r>
          </w:p>
        </w:tc>
        <w:tc>
          <w:tcPr>
            <w:tcW w:type="dxa" w:w="3820"/>
            <w:tcMar>
              <w:top w:w="80" w:type="dxa"/>
              <w:bottom w:w="80" w:type="dxa"/>
              <w:start w:w="120" w:type="dxa"/>
              <w:end w:w="120" w:type="dxa"/>
            </w:tcMar>
          </w:tcPr>
          <w:p>
            <w:pPr>
              <w:pStyle w:val="TableText"/>
            </w:pPr>
            <w:r>
              <w:t>Generic notification body; authenticated in-app detail.</w:t>
            </w:r>
          </w:p>
        </w:tc>
        <w:tc>
          <w:tcPr>
            <w:tcW w:type="dxa" w:w="3170"/>
            <w:tcMar>
              <w:top w:w="80" w:type="dxa"/>
              <w:bottom w:w="80" w:type="dxa"/>
              <w:start w:w="120" w:type="dxa"/>
              <w:end w:w="120" w:type="dxa"/>
            </w:tcMar>
          </w:tcPr>
          <w:p>
            <w:pPr>
              <w:pStyle w:val="TableText"/>
            </w:pPr>
            <w:r>
              <w:t>Default push payload contains no movement/health narrative.</w:t>
            </w:r>
          </w:p>
        </w:tc>
      </w:tr>
      <w:tr>
        <w:trPr>
          <w:cantSplit/>
        </w:trPr>
        <w:tc>
          <w:tcPr>
            <w:tcW w:type="dxa" w:w="2370"/>
            <w:tcMar>
              <w:top w:w="80" w:type="dxa"/>
              <w:bottom w:w="80" w:type="dxa"/>
              <w:start w:w="120" w:type="dxa"/>
              <w:end w:w="120" w:type="dxa"/>
            </w:tcMar>
          </w:tcPr>
          <w:p>
            <w:pPr>
              <w:pStyle w:val="TableText"/>
            </w:pPr>
            <w:r>
              <w:t>Support overreach</w:t>
            </w:r>
          </w:p>
        </w:tc>
        <w:tc>
          <w:tcPr>
            <w:tcW w:type="dxa" w:w="3820"/>
            <w:tcMar>
              <w:top w:w="80" w:type="dxa"/>
              <w:bottom w:w="80" w:type="dxa"/>
              <w:start w:w="120" w:type="dxa"/>
              <w:end w:w="120" w:type="dxa"/>
            </w:tcMar>
          </w:tcPr>
          <w:p>
            <w:pPr>
              <w:pStyle w:val="TableText"/>
            </w:pPr>
            <w:r>
              <w:t>Time-limited support access; minimal diagnostics; audit.</w:t>
            </w:r>
          </w:p>
        </w:tc>
        <w:tc>
          <w:tcPr>
            <w:tcW w:type="dxa" w:w="3170"/>
            <w:tcMar>
              <w:top w:w="80" w:type="dxa"/>
              <w:bottom w:w="80" w:type="dxa"/>
              <w:start w:w="120" w:type="dxa"/>
              <w:end w:w="120" w:type="dxa"/>
            </w:tcMar>
          </w:tcPr>
          <w:p>
            <w:pPr>
              <w:pStyle w:val="TableText"/>
            </w:pPr>
            <w:r>
              <w:t>Expired support role and export links are rejected.</w:t>
            </w:r>
          </w:p>
        </w:tc>
      </w:tr>
      <w:tr>
        <w:trPr>
          <w:cantSplit/>
        </w:trPr>
        <w:tc>
          <w:tcPr>
            <w:tcW w:type="dxa" w:w="2370"/>
            <w:tcMar>
              <w:top w:w="80" w:type="dxa"/>
              <w:bottom w:w="80" w:type="dxa"/>
              <w:start w:w="120" w:type="dxa"/>
              <w:end w:w="120" w:type="dxa"/>
            </w:tcMar>
          </w:tcPr>
          <w:p>
            <w:pPr>
              <w:pStyle w:val="TableText"/>
            </w:pPr>
            <w:r>
              <w:t>Data resurrection / retention creep</w:t>
            </w:r>
          </w:p>
        </w:tc>
        <w:tc>
          <w:tcPr>
            <w:tcW w:type="dxa" w:w="3820"/>
            <w:tcMar>
              <w:top w:w="80" w:type="dxa"/>
              <w:bottom w:w="80" w:type="dxa"/>
              <w:start w:w="120" w:type="dxa"/>
              <w:end w:w="120" w:type="dxa"/>
            </w:tcMar>
          </w:tcPr>
          <w:p>
            <w:pPr>
              <w:pStyle w:val="TableText"/>
            </w:pPr>
            <w:r>
              <w:t>Expiry jobs, deletion ledger and restore procedure.</w:t>
            </w:r>
          </w:p>
        </w:tc>
        <w:tc>
          <w:tcPr>
            <w:tcW w:type="dxa" w:w="3170"/>
            <w:tcMar>
              <w:top w:w="80" w:type="dxa"/>
              <w:bottom w:w="80" w:type="dxa"/>
              <w:start w:w="120" w:type="dxa"/>
              <w:end w:w="120" w:type="dxa"/>
            </w:tcMar>
          </w:tcPr>
          <w:p>
            <w:pPr>
              <w:pStyle w:val="TableText"/>
            </w:pPr>
            <w:r>
              <w:t>Restore backup and reapply tombstones before enabling ingestion.</w:t>
            </w:r>
          </w:p>
        </w:tc>
      </w:tr>
    </w:tbl>
    <w:p>
      <w:pPr>
        <w:pStyle w:val="TableSpacer"/>
      </w:pPr>
    </w:p>
    <w:p>
      <w:pPr>
        <w:pStyle w:val="SpecBody"/>
      </w:pPr>
      <w:r>
        <w:t>Retention defaults are product proposals: raw activity 30 days, window/incident history 90 days, minimal security audit 180 days, diagnostic link 24 hours. On deletion, revoke access/ingestion/routing immediately, purge active personal records within 7 days and expire encrypted backups within 30 days. Keep only a minimally identifying deletion tombstone for the backup horizon. Review applicable legal retention/rights requirements for the actual launch; do not treat this table as legal advice.</w:t>
      </w:r>
    </w:p>
    <w:p>
      <w:pPr>
        <w:pStyle w:val="SpecBody"/>
      </w:pPr>
      <w:r>
        <w:t>PWA delivery constraints: WebKit documents Web Push for Home Screen web apps on iOS/iPadOS, with permission requested from a direct user interaction [S4]. Test actual target devices, browser installation, lock-screen/background behavior and disabled permissions. Neither a provider success response nor an OS notification guarantees a caregiver saw it. This is a release gate, not an assumption hidden in implementation.</w:t>
      </w:r>
    </w:p>
    <w:p>
      <w:pPr>
        <w:pStyle w:val="SpecBody"/>
      </w:pPr>
      <w:r>
        <w:t>App authentication design: OIDC authorization-code flow with PKCE; short-lived API access token in memory, not localStorage. A backend-mediated refresh session uses Secure/HttpOnly cookies, CSRF protection and origin checks. SSE uses an authenticated fetch stream, never a token in the URL. Background push can display a generic request without fetching private detail; opening the app reauthenticates as needed. Provider-specific refresh/logout behavior is verified during the identity integration spike.</w:t>
      </w:r>
    </w:p>
    <w:p>
      <w:bookmarkStart w:id="8" w:name="F01"/>
      <w:pPr>
        <w:pStyle w:val="Heading1"/>
        <w:pageBreakBefore/>
      </w:pPr>
      <w:r>
        <w:rPr>
          <w:color w:val="000000"/>
        </w:rPr>
        <w:t>8. F01 — Household profile and caregiver roles</w:t>
      </w:r>
      <w:bookmarkEnd w:id="8"/>
    </w:p>
    <w:p>
      <w:r>
        <w:rPr>
          <w:b/>
        </w:rPr>
        <w:t xml:space="preserve">Meaning. </w:t>
      </w:r>
      <w:r>
        <w:t>A household is the access boundary for every device, event and caregiver action. A resident is the person being observed; a caregiver is a person allowed to view or act on that household. These are different roles even when the same family member performs setup.</w:t>
      </w:r>
    </w:p>
    <w:p>
      <w:r>
        <w:rPr>
          <w:b/>
        </w:rPr>
        <w:t xml:space="preserve">Worked example. </w:t>
      </w:r>
      <w:r>
        <w:t>For example, Rahul creates home H1 for two consenting residents and assigns two different caregiver accounts. An account belonging only to H2 must not read H1, even if it knows an H1 event identifier.</w:t>
      </w:r>
    </w:p>
    <w:p>
      <w:r>
        <w:rPr>
          <w:b/>
        </w:rPr>
        <w:t xml:space="preserve">Execution and ownership. </w:t>
      </w:r>
      <w:r>
        <w:t>A01 validates the form and builds a command. B01 checks identity and permissions, B02 creates the household and consent records, and S01 defines the exchanged fields. The server result becomes the authority; a successful form submission alone does not mean the household was created.</w:t>
      </w:r>
    </w:p>
    <w:p>
      <w:r>
        <w:rPr>
          <w:b/>
        </w:rPr>
        <w:t xml:space="preserve">Reference implementation boundary. </w:t>
      </w:r>
      <w:r>
        <w:t>Python services and JavaScript form models exist. Production login, database transactions and complete resident-profile/consent evidence are not established by those tests. The local HTTP demo uses a development identity mechanism and must not be exposed as production authentication.</w:t>
      </w:r>
    </w:p>
    <w:p>
      <w:r>
        <w:rPr>
          <w:b/>
        </w:rPr>
        <w:t xml:space="preserve">Acceptance experiment. </w:t>
      </w:r>
      <w:r>
        <w:t>Create a valid household, repeat the same creation request, try a missing-consent draft, assign the same primary and backup, and attempt cross-house access. Check both returned errors and stored membership records.</w:t>
      </w:r>
    </w:p>
    <w:p>
      <w:r>
        <w:rPr>
          <w:b/>
        </w:rPr>
        <w:t xml:space="preserve">Participants and traceability. </w:t>
      </w:r>
      <w:r>
        <w:t>B01, B02, A01, S01. Source paths and test references are in the traceability register. See diagrams/sequences/png and diagrams/sequences/uml for the corresponding F01 flow.</w:t>
      </w:r>
    </w:p>
    <w:p>
      <w:pPr>
        <w:pStyle w:val="Micro"/>
      </w:pPr>
      <w:r>
        <w:t>MODULES  B01, B02, A01, S01  •  File responsibilities: Appendix A</w:t>
      </w:r>
    </w:p>
    <w:p>
      <w:pPr>
        <w:pStyle w:val="SpecBody"/>
      </w:pPr>
      <w:r>
        <w:rPr>
          <w:b/>
        </w:rPr>
        <w:t xml:space="preserve">Meaning and scope  </w:t>
      </w:r>
      <w:r>
        <w:t>Defines whose household is being observed, who has consented and which family members may receive information. The resident and the paying caregiver are different roles; purchase does not establish resident consent.</w:t>
      </w:r>
    </w:p>
    <w:p>
      <w:pPr>
        <w:pStyle w:val="SpecBody"/>
      </w:pPr>
      <w:r>
        <w:rPr>
          <w:rFonts w:ascii="Calibri" w:hAnsi="Calibri"/>
          <w:b/>
          <w:color w:val="1F4D78"/>
          <w:sz w:val="22"/>
        </w:rPr>
        <w:t xml:space="preserve">P0 requirement  </w:t>
      </w:r>
      <w:r>
        <w:rPr>
          <w:rFonts w:ascii="Calibri" w:hAnsi="Calibri"/>
          <w:sz w:val="22"/>
        </w:rPr>
        <w:t>Create one home with an IANA timezone, display name, preferred language, one or two consenting resident profiles and a primary caregiver. A consenting backup is required before unattended pilot use. Bench simulation may use test accounts. Store telephone contact only when necessary and explicitly supplied. Resident profiles configure consent and contact context; they do not authorize motion-based identity claims.</w:t>
      </w:r>
    </w:p>
    <w:p>
      <w:pPr>
        <w:pStyle w:val="SpecBody"/>
      </w:pPr>
      <w:r>
        <w:rPr>
          <w:rFonts w:ascii="Calibri" w:hAnsi="Calibri"/>
          <w:b/>
          <w:color w:val="1F4D78"/>
          <w:sz w:val="22"/>
        </w:rPr>
        <w:t xml:space="preserve">Corresponding hardware  </w:t>
      </w:r>
      <w:r>
        <w:rPr>
          <w:rFonts w:ascii="Calibri" w:hAnsi="Calibri"/>
          <w:sz w:val="22"/>
        </w:rPr>
        <w:t>No extra sensor hardware. The hub serial/QR is bound to exactly one active home; the phone is the caregiver interface. All passive PIR/reed observations are attributed to the household or named location, never to an individual. A user-initiated button event may identify the mapped button/device only when that mapping is explicit.</w:t>
      </w:r>
    </w:p>
    <w:p>
      <w:pPr>
        <w:pStyle w:val="SpecBody"/>
      </w:pPr>
      <w:r>
        <w:rPr>
          <w:b/>
        </w:rPr>
        <w:t xml:space="preserve">Detailed software design  </w:t>
      </w:r>
      <w:r>
        <w:t>B02 service.py validates settings in one transaction; B01 membership.py enforces OWNER, CAREGIVER and INSTALLER roles. Installation access expires after 24 hours by default and excludes historical activity. A01 Onboarding.tsx guides account, home and role setup. Invitations are single-use, expire after 48 hours, and require recipient acceptance. A home cannot be reassigned by merely knowing its serial number.</w:t>
      </w:r>
    </w:p>
    <w:p>
      <w:pPr>
        <w:pStyle w:val="SpecBody"/>
      </w:pPr>
      <w:r>
        <w:rPr>
          <w:b/>
        </w:rPr>
        <w:t xml:space="preserve">Communication flow  </w:t>
      </w:r>
      <w:r>
        <w:t>App → HTTPS POST /v1/homes; invitation → recipient acceptance; backend → versioned home snapshot. Hub receives only the local configuration it needs, not caregiver passwords or contact details.</w:t>
      </w:r>
    </w:p>
    <w:p>
      <w:pPr>
        <w:pStyle w:val="SpecBody"/>
      </w:pPr>
      <w:r>
        <w:rPr>
          <w:b/>
        </w:rPr>
        <w:t xml:space="preserve">Failure and edge handling  </w:t>
      </w:r>
      <w:r>
        <w:t>Reject an unsupported timezone, duplicate active hub binding or removal of the last owner. If a caregiver leaves, stop new routing immediately and warn when no valid response route remains. Do not fall back to a random household member.</w:t>
      </w:r>
    </w:p>
    <w:p>
      <w:pPr>
        <w:pStyle w:val="SpecBody"/>
      </w:pPr>
      <w:r>
        <w:rPr>
          <w:rFonts w:ascii="Calibri" w:hAnsi="Calibri"/>
          <w:b/>
          <w:color w:val="1F4D78"/>
          <w:sz w:val="22"/>
        </w:rPr>
        <w:t xml:space="preserve">Exit criteria / tests  </w:t>
      </w:r>
      <w:r>
        <w:rPr>
          <w:rFonts w:ascii="Calibri" w:hAnsi="Calibri"/>
          <w:sz w:val="22"/>
        </w:rPr>
        <w:t>F01-T1: create a home with two consenting residents and accept primary and backup invitations; only active memberships can read it. F01-T2: another home’s token gets 403/404 for every home resource. F01-T3: removing the primary marks routing incomplete without stopping local observation. F01-T4: motion from any node is rendered as household/location activity and never assigned to a named resident.</w:t>
      </w:r>
    </w:p>
    <w:p>
      <w:pPr>
        <w:pStyle w:val="SpecBody"/>
      </w:pPr>
      <w:r>
        <w:rPr>
          <w:b/>
        </w:rPr>
        <w:t xml:space="preserve">Further enhancement  </w:t>
      </w:r>
      <w:r>
        <w:t>Multiple resident profiles, delegated professional care teams and shared payer accounts; none may imply PIR-based identification.</w:t>
      </w:r>
    </w:p>
    <w:p>
      <w:bookmarkStart w:id="9" w:name="F02"/>
      <w:pPr>
        <w:pStyle w:val="Heading1"/>
        <w:pageBreakBefore/>
      </w:pPr>
      <w:r>
        <w:rPr>
          <w:color w:val="000000"/>
        </w:rPr>
        <w:t>8. F02 — Resident consent and privacy controls</w:t>
      </w:r>
      <w:bookmarkEnd w:id="9"/>
    </w:p>
    <w:p>
      <w:r>
        <w:rPr>
          <w:b/>
        </w:rPr>
        <w:t xml:space="preserve">Meaning. </w:t>
      </w:r>
      <w:r>
        <w:t>Consent explains what is collected, why, who receives it and how to stop it. Privacy mode must affect collection and processing, not merely hide a dashboard card. AI consent is separate from permission to observe motion.</w:t>
      </w:r>
    </w:p>
    <w:p>
      <w:r>
        <w:rPr>
          <w:b/>
        </w:rPr>
        <w:t xml:space="preserve">Worked example. </w:t>
      </w:r>
      <w:r>
        <w:t>A resident turns privacy on during a family visit. The caregiver should see observation paused. A later PIR event must not be interpreted as an ordinary monitored event. Turning privacy off does not reconstruct activity that was deliberately unobserved.</w:t>
      </w:r>
    </w:p>
    <w:p>
      <w:r>
        <w:rPr>
          <w:b/>
        </w:rPr>
        <w:t xml:space="preserve">Execution and ownership. </w:t>
      </w:r>
      <w:r>
        <w:t>B02 records the authoritative consent/mode change. H07 must apply its version at the hub and propagate an applicable collection policy to nodes. H06 provides local control. B08 records an audit event. Future H10/H11 additionally stop AI recording and playback on AI-consent withdrawal.</w:t>
      </w:r>
    </w:p>
    <w:p>
      <w:r>
        <w:rPr>
          <w:b/>
        </w:rPr>
        <w:t xml:space="preserve">Reference implementation boundary. </w:t>
      </w:r>
      <w:r>
        <w:t>The backend mode mutation and a hub passive-event policy are present in the host model. End-to-end node stop, deletion/retention enforcement, physical privacy control and live AI cancellation propagation remain integration work.</w:t>
      </w:r>
    </w:p>
    <w:p>
      <w:r>
        <w:rPr>
          <w:b/>
        </w:rPr>
        <w:t xml:space="preserve">Acceptance experiment. </w:t>
      </w:r>
      <w:r>
        <w:t>During an active routine, withdraw consent and send passive events before and after application acknowledgement. Confirm visible privacy state, no false absence incident and no resumption without a deliberate new state transition.</w:t>
      </w:r>
    </w:p>
    <w:p>
      <w:r>
        <w:rPr>
          <w:b/>
        </w:rPr>
        <w:t xml:space="preserve">Participants and traceability. </w:t>
      </w:r>
      <w:r>
        <w:t>B02, H06, H07, A01, B08. Source paths and test references are in the traceability register. See diagrams/sequences/png and diagrams/sequences/uml for the corresponding F02 flow.</w:t>
      </w:r>
    </w:p>
    <w:p>
      <w:pPr>
        <w:pStyle w:val="Micro"/>
      </w:pPr>
      <w:r>
        <w:t>MODULES  B02, H06, H07, A01, B08  •  File responsibilities: Appendix A</w:t>
      </w:r>
    </w:p>
    <w:p>
      <w:pPr>
        <w:pStyle w:val="SpecBody"/>
      </w:pPr>
      <w:r>
        <w:rPr>
          <w:b/>
        </w:rPr>
        <w:t xml:space="preserve">Meaning and scope  </w:t>
      </w:r>
      <w:r>
        <w:t>The resident can understand and stop observation without needing the buyer’s phone. Consent is an operational control, not only a checkbox in legal text.</w:t>
      </w:r>
    </w:p>
    <w:p>
      <w:pPr>
        <w:pStyle w:val="SpecBody"/>
      </w:pPr>
      <w:r>
        <w:rPr>
          <w:b/>
        </w:rPr>
        <w:t xml:space="preserve">P0 requirement  </w:t>
      </w:r>
      <w:r>
        <w:t>Explain collected signals, recipients, limitations, retention and withdrawal in the resident’s selected language. Record consent version, method, time and installer/witness where used. Provide a labeled physical privacy switch on the hub and a visible privacy indication. Remote users shall not override that switch.</w:t>
      </w:r>
    </w:p>
    <w:p>
      <w:pPr>
        <w:pStyle w:val="SpecBody"/>
      </w:pPr>
      <w:r>
        <w:rPr>
          <w:rFonts w:ascii="Calibri" w:hAnsi="Calibri"/>
          <w:b/>
          <w:color w:val="1F4D78"/>
          <w:sz w:val="22"/>
        </w:rPr>
        <w:t xml:space="preserve">Corresponding hardware  </w:t>
      </w:r>
      <w:r>
        <w:rPr>
          <w:rFonts w:ascii="Calibri" w:hAnsi="Calibri"/>
          <w:sz w:val="22"/>
        </w:rPr>
        <w:t>Add a latching privacy switch to the ESP32 DevKit V1 hub; OLED/LED plus an optional fixed prerecorded prompt confirms its state. No microphone or camera is connected in P0. The board-specific GPIO profile remains open until the exact DevKit supplier variant and schematic are verified.</w:t>
      </w:r>
    </w:p>
    <w:p>
      <w:pPr>
        <w:pStyle w:val="SpecBody"/>
      </w:pPr>
      <w:r>
        <w:rPr>
          <w:b/>
        </w:rPr>
        <w:t xml:space="preserve">Detailed software design  </w:t>
      </w:r>
      <w:r>
        <w:t>H06 privacy_switch.cpp raises a priority local event. H07 stops routine evaluation and discards new sensor activity from the product event path; health-only traffic continues. B02 consent.py maintains a separate consent ledger. Privacy dominates all mode commands. Resume requires switch active plus valid consent. Full withdrawal disables observation and remote sharing; account/data deletion is a separate explicit flow.</w:t>
      </w:r>
    </w:p>
    <w:p>
      <w:pPr>
        <w:pStyle w:val="SpecBody"/>
      </w:pPr>
      <w:r>
        <w:rPr>
          <w:b/>
        </w:rPr>
        <w:t xml:space="preserve">Communication flow  </w:t>
      </w:r>
      <w:r>
        <w:t>Local switch → hub mode journal → cloud mode event → app privacy badge. If offline, privacy applies locally immediately; the app retains a stale warning until reconnection. Pending personal notifications are cancelled on known withdrawal; already delivered notifications cannot be recalled.</w:t>
      </w:r>
    </w:p>
    <w:p>
      <w:pPr>
        <w:pStyle w:val="SpecBody"/>
      </w:pPr>
      <w:r>
        <w:rPr>
          <w:b/>
        </w:rPr>
        <w:t xml:space="preserve">Failure and edge handling  </w:t>
      </w:r>
      <w:r>
        <w:t>Sleeping nodes may temporarily buffer activity before receiving pause; disclose this limitation. The hub/cloud shall not retain it. Pause purges node pending activity. On resume, discard events overlapping privacy and uncertain-age backlog; never replay them into history. Use authenticated DISCARDED_POLICY acknowledgements, not a false durable-storage ACK. Read the physical switch before boot ingestion; unknown consent fails closed.</w:t>
      </w:r>
    </w:p>
    <w:p>
      <w:pPr>
        <w:pStyle w:val="SpecBody"/>
      </w:pPr>
      <w:r>
        <w:rPr>
          <w:b/>
        </w:rPr>
        <w:t xml:space="preserve">Exit criteria / tests  </w:t>
      </w:r>
      <w:r>
        <w:t>F02-T1: switch to privacy offline; within 1 second, stop hub activity storage and confirm locally. F02-T2: remote resume cannot override switch. F02-T3: withdrawal cancels queued sharing and follows the deletion workflow. F02-T4: delayed privacy-period activity never reaches the timeline/cloud after resume.</w:t>
      </w:r>
    </w:p>
    <w:p>
      <w:pPr>
        <w:pStyle w:val="SpecBody"/>
      </w:pPr>
      <w:r>
        <w:rPr>
          <w:b/>
        </w:rPr>
        <w:t xml:space="preserve">Further enhancement  </w:t>
      </w:r>
      <w:r>
        <w:t>Accessible multilingual consent playback and delegated-consent workflows only after appropriate ethical/legal review; covert monitoring remains excluded.</w:t>
      </w:r>
    </w:p>
    <w:p>
      <w:bookmarkStart w:id="10" w:name="F03"/>
      <w:pPr>
        <w:pStyle w:val="Heading1"/>
        <w:pageBreakBefore/>
      </w:pPr>
      <w:r>
        <w:rPr>
          <w:color w:val="000000"/>
        </w:rPr>
        <w:t>8. F03 — Kit provisioning and installation verification</w:t>
      </w:r>
      <w:bookmarkEnd w:id="10"/>
    </w:p>
    <w:p>
      <w:r>
        <w:rPr>
          <w:b/>
        </w:rPr>
        <w:t xml:space="preserve">Meaning. </w:t>
      </w:r>
      <w:r>
        <w:t>Provisioning binds the physical kit to the correct home and names the place each node observes. Installation verification proves that a connected device also detects the intended movement. A heartbeat alone cannot prove correct placement.</w:t>
      </w:r>
    </w:p>
    <w:p>
      <w:r>
        <w:rPr>
          <w:b/>
        </w:rPr>
        <w:t xml:space="preserve">Worked example. </w:t>
      </w:r>
      <w:r>
        <w:t>NODE-KT is paired to H1 but its PIR faces a hot window. Radio tests may pass while the sensor produces misleading evidence. The installation checklist must therefore include both communications and a real walk test.</w:t>
      </w:r>
    </w:p>
    <w:p>
      <w:r>
        <w:rPr>
          <w:b/>
        </w:rPr>
        <w:t xml:space="preserve">Execution and ownership. </w:t>
      </w:r>
      <w:r>
        <w:t>N04 and H07 validate configuration, B06 records device ownership and desired versions, S03 supplies credential/update policy seams, and T02 records physical checks. A01 presents any missing checks and prevents interpreting an unfinished installation as ready.</w:t>
      </w:r>
    </w:p>
    <w:p>
      <w:r>
        <w:rPr>
          <w:b/>
        </w:rPr>
        <w:t xml:space="preserve">Reference implementation boundary. </w:t>
      </w:r>
      <w:r>
        <w:t>Configuration validators and checklist scaffolds exist. A secure claim service, ESP-NOW pairing, factory keys, serial provisioning and verified physical evidence do not yet exist as an integrated system.</w:t>
      </w:r>
    </w:p>
    <w:p>
      <w:r>
        <w:rPr>
          <w:b/>
        </w:rPr>
        <w:t xml:space="preserve">Acceptance experiment. </w:t>
      </w:r>
      <w:r>
        <w:t>Reject duplicate node IDs and wrong-board configuration. Walk each intended path, disconnect one sensor, test every resident button and perform a real notification drill before enabling unattended alerts.</w:t>
      </w:r>
    </w:p>
    <w:p>
      <w:r>
        <w:rPr>
          <w:b/>
        </w:rPr>
        <w:t xml:space="preserve">Participants and traceability. </w:t>
      </w:r>
      <w:r>
        <w:t>N04, H07, B06, A01, S03, T02. Source paths and test references are in the traceability register. See diagrams/sequences/png and diagrams/sequences/uml for the corresponding F03 flow.</w:t>
      </w:r>
    </w:p>
    <w:p>
      <w:pPr>
        <w:pStyle w:val="Micro"/>
      </w:pPr>
      <w:r>
        <w:t>MODULES  N04, H07, B06, A01, S03, T02  •  File responsibilities: Appendix A</w:t>
      </w:r>
    </w:p>
    <w:p>
      <w:pPr>
        <w:pStyle w:val="SpecBody"/>
      </w:pPr>
      <w:r>
        <w:rPr>
          <w:b/>
        </w:rPr>
        <w:t xml:space="preserve">Meaning and scope  </w:t>
      </w:r>
      <w:r>
        <w:t>A kit is useful only if its identities, placement, radio path and caregiver notifications work in the actual home. P0 uses assisted installation, not a promise of fully self-service pairing.</w:t>
      </w:r>
    </w:p>
    <w:p>
      <w:pPr>
        <w:pStyle w:val="SpecBody"/>
      </w:pPr>
      <w:r>
        <w:rPr>
          <w:rFonts w:ascii="Calibri" w:hAnsi="Calibri"/>
          <w:b/>
          <w:color w:val="1F4D78"/>
          <w:sz w:val="22"/>
        </w:rPr>
        <w:t xml:space="preserve">P0 requirement  </w:t>
      </w:r>
      <w:r>
        <w:rPr>
          <w:rFonts w:ascii="Calibri" w:hAnsi="Calibri"/>
          <w:sz w:val="22"/>
        </w:rPr>
        <w:t>Pre-bond one hub and four labeled nodes using the USB service jig. Register unique credentials, firmware, board profile, capability profile and installed location. Capture a successful test for every enabled PIR/reed input, both hub buttons, privacy control and a real caregiver notification before monitoring becomes eligible. Provide a repeatable Test alert drill after installation; test events are clearly marked, never count as real incidents or response-SLA evidence, and cannot invoke future professional emergency routing.</w:t>
      </w:r>
    </w:p>
    <w:p>
      <w:pPr>
        <w:pStyle w:val="SpecBody"/>
      </w:pPr>
      <w:r>
        <w:rPr>
          <w:b/>
        </w:rPr>
        <w:t xml:space="preserve">Corresponding hardware  </w:t>
      </w:r>
      <w:r>
        <w:t>USB service access, enclosure labels and accessible service button/pads are required. Installer laptop provisions home Wi-Fi locally over USB during a physical, time-limited service session. Final GPIO numbers remain blocked on exact board schematics.</w:t>
      </w:r>
    </w:p>
    <w:p>
      <w:pPr>
        <w:pStyle w:val="SpecBody"/>
      </w:pPr>
      <w:r>
        <w:rPr>
          <w:rFonts w:ascii="Calibri" w:hAnsi="Calibri"/>
          <w:b/>
          <w:color w:val="1F4D78"/>
          <w:sz w:val="22"/>
        </w:rPr>
        <w:t xml:space="preserve">Detailed software design  </w:t>
      </w:r>
      <w:r>
        <w:rPr>
          <w:rFonts w:ascii="Calibri" w:hAnsi="Calibri"/>
          <w:sz w:val="22"/>
        </w:rPr>
        <w:t>T02 provision.py generates per-kit secrets and writes authorized device records without logging secrets. S03 credentials.cpp stores device credentials; H07 provision.cpp accepts provisioning only during a 120-second physical service window. B06 routes.py binds the authenticated home to a one-use claim token and device proof. A01 InstallTest.tsx can run PLACEMENT, DELIVERY and FULL_WORKFLOW drills. B04/B05 persist each drill with is_test=true and states CREATED, SENT, PROVIDER_ACCEPTED, HUMAN_ACKED, FAILED or EXPIRED. B08 stores drill evidence separately from production incident metrics.</w:t>
      </w:r>
    </w:p>
    <w:p>
      <w:pPr>
        <w:pStyle w:val="SpecBody"/>
      </w:pPr>
      <w:r>
        <w:rPr>
          <w:rFonts w:ascii="Calibri" w:hAnsi="Calibri"/>
          <w:b/>
          <w:color w:val="1F4D78"/>
          <w:sz w:val="22"/>
        </w:rPr>
        <w:t xml:space="preserve">Communication flow  </w:t>
      </w:r>
      <w:r>
        <w:rPr>
          <w:rFonts w:ascii="Calibri" w:hAnsi="Calibri"/>
          <w:sz w:val="22"/>
        </w:rPr>
        <w:t>USB jig → node/hub credentials; encrypted ESP-NOW → placement events; hub MQTT → backend; app HTTPS → installation results. A caregiver drill follows POST test intent → push provider → authenticated acknowledgement → visible pass/fail. The setup QR is a one-use claim aid, not an everlasting bearer credential.</w:t>
      </w:r>
    </w:p>
    <w:p>
      <w:pPr>
        <w:pStyle w:val="SpecBody"/>
      </w:pPr>
      <w:r>
        <w:rPr>
          <w:rFonts w:ascii="Calibri" w:hAnsi="Calibri"/>
          <w:b/>
          <w:color w:val="1F4D78"/>
          <w:sz w:val="22"/>
        </w:rPr>
        <w:t xml:space="preserve">Failure and edge handling  </w:t>
      </w:r>
      <w:r>
        <w:rPr>
          <w:rFonts w:ascii="Calibri" w:hAnsi="Calibri"/>
          <w:sz w:val="22"/>
        </w:rPr>
        <w:t>A failed room/input test blocks that source from routine eligibility. Mismatched credentials do not trigger open pairing. Device replacement requires owner authorization and physical service access, revokes the old binding and starts a new coverage interval. A changed location requires a repeat placement test. A failed drill remains failed; it cannot be converted into a production acknowledgement or silently retried as a real alert.</w:t>
      </w:r>
    </w:p>
    <w:p>
      <w:pPr>
        <w:pStyle w:val="SpecBody"/>
      </w:pPr>
      <w:r>
        <w:rPr>
          <w:rFonts w:ascii="Calibri" w:hAnsi="Calibri"/>
          <w:b/>
          <w:color w:val="1F4D78"/>
          <w:sz w:val="22"/>
        </w:rPr>
        <w:t xml:space="preserve">Exit criteria / tests  </w:t>
      </w:r>
      <w:r>
        <w:rPr>
          <w:rFonts w:ascii="Calibri" w:hAnsi="Calibri"/>
          <w:sz w:val="22"/>
        </w:rPr>
        <w:t>F03-T1: a second unclaimed hub cannot join by spoofing a MAC/serial. F03-T2: any enabled PIR/reed input or push test omitted leaves installation incomplete. F03-T3: replacement preserves historical identity and does not inherit healthy coverage before its first test. F03-T4: a repeatable Test alert reaches the selected real phone, is visibly labeled TEST, records human acknowledgement and never enters production escalation or summary counts.</w:t>
      </w:r>
    </w:p>
    <w:p>
      <w:pPr>
        <w:pStyle w:val="SpecBody"/>
      </w:pPr>
      <w:r>
        <w:rPr>
          <w:b/>
        </w:rPr>
        <w:t xml:space="preserve">Further enhancement  </w:t>
      </w:r>
      <w:r>
        <w:t>Secure BLE/SoftAP self-service setup and guided placement recommendations after the installer workflow is repeatable.</w:t>
      </w:r>
    </w:p>
    <w:p>
      <w:bookmarkStart w:id="11" w:name="F04"/>
      <w:pPr>
        <w:pStyle w:val="Heading1"/>
        <w:pageBreakBefore/>
      </w:pPr>
      <w:r>
        <w:rPr>
          <w:color w:val="000000"/>
        </w:rPr>
        <w:t>8. F04 — Configurable morning routine</w:t>
      </w:r>
      <w:bookmarkEnd w:id="11"/>
    </w:p>
    <w:p>
      <w:r>
        <w:rPr>
          <w:b/>
        </w:rPr>
        <w:t xml:space="preserve">Meaning. </w:t>
      </w:r>
      <w:r>
        <w:t>A morning routine is a configured interval and a rule for interpreting household evidence. It is not a prediction of when a particular parent must wake. The same daily schedule can be adjusted after a shadow trial.</w:t>
      </w:r>
    </w:p>
    <w:p>
      <w:r>
        <w:rPr>
          <w:b/>
        </w:rPr>
        <w:t xml:space="preserve">Worked example. </w:t>
      </w:r>
      <w:r>
        <w:t>For illustration, watch from 05:30 to 10:00 and finish the grace period at 10:10. These are editable trial values. A configuration saved on the phone at 09:00 is still pending until the hub reports the applied version.</w:t>
      </w:r>
    </w:p>
    <w:p>
      <w:r>
        <w:rPr>
          <w:b/>
        </w:rPr>
        <w:t xml:space="preserve">Execution and ownership. </w:t>
      </w:r>
      <w:r>
        <w:t>A03 builds the desired configuration, B06 validates and versions it, H07 applies a complete snapshot, H03 supplies time and H05 starts the window interpreted by S02. Production code must define whether a mid-window schedule change takes effect immediately or on the next window.</w:t>
      </w:r>
    </w:p>
    <w:p>
      <w:r>
        <w:rPr>
          <w:b/>
        </w:rPr>
        <w:t xml:space="preserve">Reference implementation boundary. </w:t>
      </w:r>
      <w:r>
        <w:t>Reference validators and a window reducer exist. The current C++ routine receives absolute epoch boundaries; a production scheduler must convert local dates and time zones and persist window transitions. Legacy capability flags do not all enforce behaviour.</w:t>
      </w:r>
    </w:p>
    <w:p>
      <w:r>
        <w:rPr>
          <w:b/>
        </w:rPr>
        <w:t xml:space="preserve">Acceptance experiment. </w:t>
      </w:r>
      <w:r>
        <w:t>Apply an increasing version, reject an older one, simulate a time-zone boundary and a mid-window update, and inspect desired versus applied state. Do not mark the schedule active just because the API accepted it.</w:t>
      </w:r>
    </w:p>
    <w:p>
      <w:r>
        <w:rPr>
          <w:b/>
        </w:rPr>
        <w:t xml:space="preserve">Participants and traceability. </w:t>
      </w:r>
      <w:r>
        <w:t>A03, B06, H07, H03, H05, S02. Source paths and test references are in the traceability register. See diagrams/sequences/png and diagrams/sequences/uml for the corresponding F04 flow.</w:t>
      </w:r>
    </w:p>
    <w:p>
      <w:pPr>
        <w:pStyle w:val="Micro"/>
      </w:pPr>
      <w:r>
        <w:t>MODULES  A03, B06, H07, H03, H05, S02  •  File responsibilities: Appendix A</w:t>
      </w:r>
    </w:p>
    <w:p>
      <w:pPr>
        <w:pStyle w:val="SpecBody"/>
      </w:pPr>
      <w:r>
        <w:rPr>
          <w:b/>
        </w:rPr>
        <w:t xml:space="preserve">Meaning and scope  </w:t>
      </w:r>
      <w:r>
        <w:t>A household agrees on a broad morning observation window rather than being forced into a precise sequence of rooms or tasks.</w:t>
      </w:r>
    </w:p>
    <w:p>
      <w:pPr>
        <w:pStyle w:val="SpecBody"/>
      </w:pPr>
      <w:r>
        <w:rPr>
          <w:rFonts w:ascii="Calibri" w:hAnsi="Calibri"/>
          <w:b/>
          <w:color w:val="1F4D78"/>
          <w:sz w:val="22"/>
        </w:rPr>
        <w:t xml:space="preserve">P0 requirement  </w:t>
      </w:r>
      <w:r>
        <w:rPr>
          <w:rFonts w:ascii="Calibri" w:hAnsi="Calibri"/>
          <w:sz w:val="22"/>
        </w:rPr>
        <w:t>Support one daily morning schedule, selected motion sources, a start, deadline and grace interval. Default example: 06:00–09:00, followed by 15 minutes’ grace. Permit a weekday/weekend variant; validate non-overlapping same-day windows and require at least two independently placed and tested motion sources for unattended use. These are editable defaults, not learned facts.</w:t>
      </w:r>
    </w:p>
    <w:p>
      <w:pPr>
        <w:pStyle w:val="SpecBody"/>
      </w:pPr>
      <w:r>
        <w:rPr>
          <w:rFonts w:ascii="Calibri" w:hAnsi="Calibri"/>
          <w:b/>
          <w:color w:val="1F4D78"/>
          <w:sz w:val="22"/>
        </w:rPr>
        <w:t xml:space="preserve">Corresponding hardware  </w:t>
      </w:r>
      <w:r>
        <w:rPr>
          <w:rFonts w:ascii="Calibri" w:hAnsi="Calibri"/>
          <w:sz w:val="22"/>
        </w:rPr>
        <w:t>Uses selected PIR inputs across the four C3 nodes and an optional hub-local PIR/prompt. A hub-local PIR, if used, must have its own logical source ID and placement test. Neither a reed switch nor a camera is required to decide morning activity. A backed clock source is optional; without one, reboot can temporarily invalidate time.</w:t>
      </w:r>
    </w:p>
    <w:p>
      <w:pPr>
        <w:pStyle w:val="SpecBody"/>
      </w:pPr>
      <w:r>
        <w:rPr>
          <w:b/>
        </w:rPr>
        <w:t xml:space="preserve">Detailed software design  </w:t>
      </w:r>
      <w:r>
        <w:t>A03 RoutineEditor.tsx sends desired configuration with If-Match. B06 config.py validates it, generates a versioned UTC window horizon from the home’s timezone and sends it to H07. H03 window_clock.cpp schedules monotonic timers against those boundaries. S02 rules.cpp evaluates the frozen window configuration. Mid-window edits take effect at the next window by default; show the effective time explicitly.</w:t>
      </w:r>
    </w:p>
    <w:p>
      <w:pPr>
        <w:pStyle w:val="SpecBody"/>
      </w:pPr>
      <w:r>
        <w:rPr>
          <w:b/>
        </w:rPr>
        <w:t xml:space="preserve">Communication flow  </w:t>
      </w:r>
      <w:r>
        <w:t>App HTTPS → desired config → MQTT command → hub durable apply acknowledgement → app applied version. Nodes only receive relevant sampling/heartbeat settings; they do not store household calendars.</w:t>
      </w:r>
    </w:p>
    <w:p>
      <w:pPr>
        <w:pStyle w:val="SpecBody"/>
      </w:pPr>
      <w:r>
        <w:rPr>
          <w:b/>
        </w:rPr>
        <w:t xml:space="preserve">Failure and edge handling  </w:t>
      </w:r>
      <w:r>
        <w:t>A stale app edit returns 409 rather than overwriting a newer change. Unapplied settings never display as active. A window starting before installation/valid time is marked incomplete, not retrospectively observed. If precomputed boundaries expire offline, suspend absence evaluation and report configuration/time coverage unavailable.</w:t>
      </w:r>
    </w:p>
    <w:p>
      <w:pPr>
        <w:pStyle w:val="SpecBody"/>
      </w:pPr>
      <w:r>
        <w:rPr>
          <w:b/>
        </w:rPr>
        <w:t xml:space="preserve">Exit criteria / tests  </w:t>
      </w:r>
      <w:r>
        <w:t>F04-T1: 06:00 qualifies and 05:59:59 does not. F04-T2: edit a live schedule; the current window ID and deadline remain unchanged. F04-T3: a clock jump or duplicate config cannot create a second window or duplicate incident.</w:t>
      </w:r>
    </w:p>
    <w:p>
      <w:pPr>
        <w:pStyle w:val="SpecBody"/>
      </w:pPr>
      <w:r>
        <w:rPr>
          <w:b/>
        </w:rPr>
        <w:t xml:space="preserve">Further enhancement  </w:t>
      </w:r>
      <w:r>
        <w:t>More routines, holidays and suggested schedule adjustments with resident approval; automatic schedule learning is outside P0.</w:t>
      </w:r>
    </w:p>
    <w:p>
      <w:bookmarkStart w:id="12" w:name="F05"/>
      <w:pPr>
        <w:pStyle w:val="Heading1"/>
        <w:pageBreakBefore/>
      </w:pPr>
      <w:r>
        <w:rPr>
          <w:color w:val="000000"/>
        </w:rPr>
        <w:t>8. F05 — Morning activity evidence</w:t>
      </w:r>
      <w:bookmarkEnd w:id="12"/>
    </w:p>
    <w:p>
      <w:r>
        <w:rPr>
          <w:b/>
        </w:rPr>
        <w:t xml:space="preserve">Meaning. </w:t>
      </w:r>
      <w:r>
        <w:t>Activity evidence is a qualified motion or permitted door event within the configured window. It shows that movement was observed somewhere eligible. It does not identify mother or father and does not establish that either person is well.</w:t>
      </w:r>
    </w:p>
    <w:p>
      <w:r>
        <w:rPr>
          <w:b/>
        </w:rPr>
        <w:t xml:space="preserve">Worked example. </w:t>
      </w:r>
      <w:r>
        <w:t>Mother enters the pooja area while father stays in Room 2. The household has activity evidence, but the system cannot conclude that father moved. Sitting still for fifteen minutes can produce no additional PIR edges.</w:t>
      </w:r>
    </w:p>
    <w:p>
      <w:r>
        <w:rPr>
          <w:b/>
        </w:rPr>
        <w:t xml:space="preserve">Execution and ownership. </w:t>
      </w:r>
      <w:r>
        <w:t>N01 qualifies the electrical input. N05/N02 retain and send an event. H01 admits it, H02 records it and H05 calls S02. The current reducer accepts a single qualifying activity or explicit OK within the window; it does not require two zones or measure a continuous session.</w:t>
      </w:r>
    </w:p>
    <w:p>
      <w:r>
        <w:rPr>
          <w:b/>
        </w:rPr>
        <w:t xml:space="preserve">Reference implementation boundary. </w:t>
      </w:r>
      <w:r>
        <w:t>Two-zone, kitchen-session and pooja-duration examples in the earlier deployment guide are historical hypotheses, not implemented algorithms. The host reducer also retains evidence IDs in a vector; bounded deduplication and historical coverage intervals remain open work.</w:t>
      </w:r>
    </w:p>
    <w:p>
      <w:r>
        <w:rPr>
          <w:b/>
        </w:rPr>
        <w:t xml:space="preserve">Acceptance experiment. </w:t>
      </w:r>
      <w:r>
        <w:t>Replay allowed/disallowed locations, test events, out-of-window events and duplicate event IDs. Check household wording and separate coverage. A new replay test must expose duplicate evidence IDs rather than assuming journal deduplication protects the reducer.</w:t>
      </w:r>
    </w:p>
    <w:p>
      <w:r>
        <w:rPr>
          <w:b/>
        </w:rPr>
        <w:t xml:space="preserve">Participants and traceability. </w:t>
      </w:r>
      <w:r>
        <w:t>N01, H01, H02, H05, S02, B07, A02. Source paths and test references are in the traceability register. See diagrams/sequences/png and diagrams/sequences/uml for the corresponding F05 flow.</w:t>
      </w:r>
    </w:p>
    <w:p>
      <w:pPr>
        <w:pStyle w:val="Micro"/>
      </w:pPr>
      <w:r>
        <w:t>MODULES  N01, H01, H02, H05, S02, B07, A02  •  File responsibilities: Appendix A</w:t>
      </w:r>
    </w:p>
    <w:p>
      <w:pPr>
        <w:pStyle w:val="SpecBody"/>
      </w:pPr>
      <w:r>
        <w:rPr>
          <w:b/>
        </w:rPr>
        <w:t xml:space="preserve">Meaning and scope  </w:t>
      </w:r>
      <w:r>
        <w:t>Reports that a configured sensor detected movement at a location and time. It does not prove who moved, that breakfast was eaten or that the resident is medically well.</w:t>
      </w:r>
    </w:p>
    <w:p>
      <w:pPr>
        <w:pStyle w:val="SpecBody"/>
      </w:pPr>
      <w:r>
        <w:rPr>
          <w:rFonts w:ascii="Calibri" w:hAnsi="Calibri"/>
          <w:b/>
          <w:color w:val="1F4D78"/>
          <w:sz w:val="22"/>
        </w:rPr>
        <w:t xml:space="preserve">P0 requirement  </w:t>
      </w:r>
      <w:r>
        <w:rPr>
          <w:rFonts w:ascii="Calibri" w:hAnsi="Calibri"/>
          <w:sz w:val="22"/>
        </w:rPr>
        <w:t>Accept qualifying movement from any configured and currently eligible P0 motion source within the window. Record the first and most recent observation, contributing source/location and time quality. Keep physical activity evidence separate from self-check-in and coverage. Suppress person-specific interpretation during all modes, including visitor mode.</w:t>
      </w:r>
    </w:p>
    <w:p>
      <w:pPr>
        <w:pStyle w:val="SpecBody"/>
      </w:pPr>
      <w:r>
        <w:rPr>
          <w:rFonts w:ascii="Calibri" w:hAnsi="Calibri"/>
          <w:b/>
          <w:color w:val="1F4D78"/>
          <w:sz w:val="22"/>
        </w:rPr>
        <w:t xml:space="preserve">Corresponding hardware  </w:t>
      </w:r>
      <w:r>
        <w:rPr>
          <w:rFonts w:ascii="Calibri" w:hAnsi="Calibri"/>
          <w:sz w:val="22"/>
        </w:rPr>
        <w:t>Up to four correctly oriented, low-power PIR modules with 3.3-V-compatible output may be connected to the four C3 nodes. P0 requires at least two tested independent zones. A node may also host the main-door reed switch when wire length, enclosure and placement tests pass. Avoid direct sun, heat sources and private-room viewpoints; validate PIR warm-up, hold behavior and actual room coverage before enclosure freeze.</w:t>
      </w:r>
    </w:p>
    <w:p>
      <w:pPr>
        <w:pStyle w:val="SpecBody"/>
      </w:pPr>
      <w:r>
        <w:rPr>
          <w:b/>
        </w:rPr>
        <w:t xml:space="preserve">Detailed software design  </w:t>
      </w:r>
      <w:r>
        <w:t>N01 pir.cpp debounces/qualifies sensor transitions using its board profile and reports activation, not an assumed occupancy count. H01 validates identity; H02 durably journals it. H05 calls the pure S02 reducer with event time and mode intervals. B07 projector.py builds evidence cards, while A02 Evidence.tsx renders “Movement observed in hallway, 07:18” and a separate freshness badge. No scalar wellness score is stored.</w:t>
      </w:r>
    </w:p>
    <w:p>
      <w:pPr>
        <w:pStyle w:val="SpecBody"/>
      </w:pPr>
      <w:r>
        <w:rPr>
          <w:b/>
        </w:rPr>
        <w:t xml:space="preserve">Communication flow  </w:t>
      </w:r>
      <w:r>
        <w:t>PIR GPIO → node event → encrypted ESP-NOW/application ACK → hub journal/rule reducer → MQTT → dashboard projection/SSE. Duplicate radio packets update neither evidence count nor alert count.</w:t>
      </w:r>
    </w:p>
    <w:p>
      <w:pPr>
        <w:pStyle w:val="SpecBody"/>
      </w:pPr>
      <w:r>
        <w:rPr>
          <w:b/>
        </w:rPr>
        <w:t xml:space="preserve">Failure and edge handling  </w:t>
      </w:r>
      <w:r>
        <w:t>An event of uncertain age may appear in history with “time uncertain” but cannot establish an in-window observation. Late trustworthy evidence amends history and incident context without silently deleting an already sent alert. Activity during a health fault remains visible but does not clear that fault.</w:t>
      </w:r>
    </w:p>
    <w:p>
      <w:pPr>
        <w:pStyle w:val="SpecBody"/>
      </w:pPr>
      <w:r>
        <w:rPr>
          <w:rFonts w:ascii="Calibri" w:hAnsi="Calibri"/>
          <w:b/>
          <w:color w:val="1F4D78"/>
          <w:sz w:val="22"/>
        </w:rPr>
        <w:t xml:space="preserve">Exit criteria / tests  </w:t>
      </w:r>
      <w:r>
        <w:rPr>
          <w:rFonts w:ascii="Calibri" w:hAnsi="Calibri"/>
          <w:sz w:val="22"/>
        </w:rPr>
        <w:t>F05-T1: one qualifying event from any eligible configured PIR records observed activity with source provenance. F05-T2: 100 duplicate packets produce one evidence record. F05-T3: visitor or multi-resident motion is labeled household activity; no “resident OK” or person identity message appears. F05-T4: disabling or losing one configured source changes coverage and cannot be hidden by activity from a different source.</w:t>
      </w:r>
    </w:p>
    <w:p>
      <w:pPr>
        <w:pStyle w:val="SpecBody"/>
      </w:pPr>
      <w:r>
        <w:rPr>
          <w:b/>
        </w:rPr>
        <w:t xml:space="preserve">Further enhancement  </w:t>
      </w:r>
      <w:r>
        <w:t>Optional local statistical routines and additional activity sources, tested against the transparent rule baseline; no identity claim without a validated identity method.</w:t>
      </w:r>
    </w:p>
    <w:p>
      <w:bookmarkStart w:id="13" w:name="F06"/>
      <w:pPr>
        <w:pStyle w:val="Heading1"/>
        <w:pageBreakBefore/>
      </w:pPr>
      <w:r>
        <w:rPr>
          <w:color w:val="000000"/>
        </w:rPr>
        <w:t>8. F06 — Explicit “I’m OK” check-in</w:t>
      </w:r>
      <w:bookmarkEnd w:id="13"/>
    </w:p>
    <w:p>
      <w:r>
        <w:rPr>
          <w:b/>
        </w:rPr>
        <w:t xml:space="preserve">Meaning. </w:t>
      </w:r>
      <w:r>
        <w:t>An explicit I am OK action is a resident statement recorded separately from passive motion. It should be possible without a phone and should give immediate, understandable local feedback.</w:t>
      </w:r>
    </w:p>
    <w:p>
      <w:r>
        <w:rPr>
          <w:b/>
        </w:rPr>
        <w:t xml:space="preserve">Worked example. </w:t>
      </w:r>
      <w:r>
        <w:t>A parent wakes late and presses OK. The display may say that the check-in was saved locally; if the internet is down it must not say the family has already received it.</w:t>
      </w:r>
    </w:p>
    <w:p>
      <w:r>
        <w:rPr>
          <w:b/>
        </w:rPr>
        <w:t xml:space="preserve">Execution and ownership. </w:t>
      </w:r>
      <w:r>
        <w:t>The future GPIO adapter debounces the button and asks H06 to build an OK event. That event passes through the journal before local saved feedback. H05/S02 interpret it for the window, and H08/B07/A02 later show the distinct self-check-in record.</w:t>
      </w:r>
    </w:p>
    <w:p>
      <w:r>
        <w:rPr>
          <w:b/>
        </w:rPr>
        <w:t xml:space="preserve">Reference implementation boundary. </w:t>
      </w:r>
      <w:r>
        <w:t>Event construction and rule handling exist. The current reducer ignores OK while in suppressed modes and outside its configured activity interval. The product-level requirement to retain manual actions independently still requires complete runtime wiring and a reviewed grace-period policy.</w:t>
      </w:r>
    </w:p>
    <w:p>
      <w:r>
        <w:rPr>
          <w:b/>
        </w:rPr>
        <w:t xml:space="preserve">Acceptance experiment. </w:t>
      </w:r>
      <w:r>
        <w:t>Test press, bounce, held button, WAN outage and reboot between save and send. Measure the 500 ms local confirmation target on hardware. Verify that a caregiver acknowledgement cannot masquerade as resident OK.</w:t>
      </w:r>
    </w:p>
    <w:p>
      <w:r>
        <w:rPr>
          <w:b/>
        </w:rPr>
        <w:t xml:space="preserve">Participants and traceability. </w:t>
      </w:r>
      <w:r>
        <w:t>H06, H02, H05, S02, B07, A02. Source paths and test references are in the traceability register. See diagrams/sequences/png and diagrams/sequences/uml for the corresponding F06 flow.</w:t>
      </w:r>
    </w:p>
    <w:p>
      <w:pPr>
        <w:pStyle w:val="Micro"/>
      </w:pPr>
      <w:r>
        <w:t>MODULES  H06, H02, H05, S02, B07, A02  •  File responsibilities: Appendix A</w:t>
      </w:r>
    </w:p>
    <w:p>
      <w:pPr>
        <w:pStyle w:val="SpecBody"/>
      </w:pPr>
      <w:r>
        <w:rPr>
          <w:b/>
        </w:rPr>
        <w:t xml:space="preserve">Meaning and scope  </w:t>
      </w:r>
      <w:r>
        <w:t>The resident intentionally reports a check-in. This is stronger evidence of interaction than PIR movement, but remains a self-report rather than a health assessment.</w:t>
      </w:r>
    </w:p>
    <w:p>
      <w:pPr>
        <w:pStyle w:val="SpecBody"/>
      </w:pPr>
      <w:r>
        <w:rPr>
          <w:b/>
        </w:rPr>
        <w:t xml:space="preserve">P0 requirement  </w:t>
      </w:r>
      <w:r>
        <w:t>Provide a distinct, large, labeled I’m OK button. Confirm a valid press locally within 500 ms and record a separate self-check-in timestamp. A morning check-in satisfies the configured check-in workflow even if motion sensing is degraded; the health warning remains.</w:t>
      </w:r>
    </w:p>
    <w:p>
      <w:pPr>
        <w:pStyle w:val="SpecBody"/>
      </w:pPr>
      <w:r>
        <w:rPr>
          <w:b/>
        </w:rPr>
        <w:t xml:space="preserve">Corresponding hardware  </w:t>
      </w:r>
      <w:r>
        <w:t>Dedicated normally-open momentary button with suitable input conditioning. Use the existing button for this function on the bench; add a separate Call family button for any resident pilot. OLED/LED and optional fixed audio provide redundant feedback.</w:t>
      </w:r>
    </w:p>
    <w:p>
      <w:pPr>
        <w:pStyle w:val="SpecBody"/>
      </w:pPr>
      <w:r>
        <w:rPr>
          <w:b/>
        </w:rPr>
        <w:t xml:space="preserve">Detailed software design  </w:t>
      </w:r>
      <w:r>
        <w:t>H06 buttons.cpp samples at a proposed 10 ms cadence and accepts a stable 50 ms press, with one event until release. Values must be tuned by usability tests. H02 journals CHECKIN_SELF before confirming “saved”; H05 updates self_checkin_at independently of activity_observed_at. If storage fails, use explicit failure feedback, never success. Repeated taps within 10 seconds may share one routine check-in but remain diagnostic input counts.</w:t>
      </w:r>
    </w:p>
    <w:p>
      <w:pPr>
        <w:pStyle w:val="SpecBody"/>
      </w:pPr>
      <w:r>
        <w:rPr>
          <w:b/>
        </w:rPr>
        <w:t xml:space="preserve">Communication flow  </w:t>
      </w:r>
      <w:r>
        <w:t>Local input → journal → routine reducer → cloud outbox → app. Offline feedback says “Check-in saved; internet unavailable”, not “Family notified”. During privacy, an intentional check-in may be sent as a one-off user action only if that behavior was consented and clearly explained.</w:t>
      </w:r>
    </w:p>
    <w:p>
      <w:pPr>
        <w:pStyle w:val="SpecBody"/>
      </w:pPr>
      <w:r>
        <w:rPr>
          <w:b/>
        </w:rPr>
        <w:t xml:space="preserve">Failure and edge handling  </w:t>
      </w:r>
      <w:r>
        <w:t>A button held during boot is ignored until release and displayed as stuck if persistent. Pressing I’m OK does not clear an outstanding Call family request; the caregiver workflow resolves that separately. Manual check-in with uncertain wall time is stored with receipt time and uncertainty.</w:t>
      </w:r>
    </w:p>
    <w:p>
      <w:pPr>
        <w:pStyle w:val="SpecBody"/>
      </w:pPr>
      <w:r>
        <w:rPr>
          <w:b/>
        </w:rPr>
        <w:t xml:space="preserve">Exit criteria / tests  </w:t>
      </w:r>
      <w:r>
        <w:t>F06-T1: button bounce and 100 rapid electrical edges yield one press event. F06-T2: offline press survives reboot and syncs once. F06-T3: self-check-in during sensor loss is shown alongside “coverage incomplete”.</w:t>
      </w:r>
    </w:p>
    <w:p>
      <w:pPr>
        <w:pStyle w:val="SpecBody"/>
      </w:pPr>
      <w:r>
        <w:rPr>
          <w:b/>
        </w:rPr>
        <w:t xml:space="preserve">Further enhancement  </w:t>
      </w:r>
      <w:r>
        <w:t>Accessible remote button or authenticated app check-in with distinct provenance; voice check-in requires a separately validated audio design.</w:t>
      </w:r>
    </w:p>
    <w:p>
      <w:bookmarkStart w:id="14" w:name="F07"/>
      <w:pPr>
        <w:pStyle w:val="Heading1"/>
        <w:pageBreakBefore/>
      </w:pPr>
      <w:r>
        <w:rPr>
          <w:color w:val="000000"/>
        </w:rPr>
        <w:t>8. F07 — “Call family” request</w:t>
      </w:r>
      <w:bookmarkEnd w:id="14"/>
    </w:p>
    <w:p>
      <w:r>
        <w:rPr>
          <w:b/>
        </w:rPr>
        <w:t xml:space="preserve">Meaning. </w:t>
      </w:r>
      <w:r>
        <w:t>Call family means the resident is requesting human contact. It is separate from missing routine evidence, carries higher routing importance and must not wait for the next morning deadline.</w:t>
      </w:r>
    </w:p>
    <w:p>
      <w:r>
        <w:rPr>
          <w:b/>
        </w:rPr>
        <w:t xml:space="preserve">Worked example. </w:t>
      </w:r>
      <w:r>
        <w:t>At 15:00, father presses Call family while the internet is unavailable. The local response should explain that the request is saved and remote contact is unavailable, rather than implying someone is on the way.</w:t>
      </w:r>
    </w:p>
    <w:p>
      <w:r>
        <w:rPr>
          <w:b/>
        </w:rPr>
        <w:t xml:space="preserve">Execution and ownership. </w:t>
      </w:r>
      <w:r>
        <w:t>H06 creates a CallFamily business event. H02/H08 retain and replay it. Backend composition invokes B03, creates a stable incident through B04 and schedules B05 jobs. A04 shows the request and allows an authorised caregiver to act.</w:t>
      </w:r>
    </w:p>
    <w:p>
      <w:r>
        <w:rPr>
          <w:b/>
        </w:rPr>
        <w:t xml:space="preserve">Reference implementation boundary. </w:t>
      </w:r>
      <w:r>
        <w:t>The backend composition handles CALL_FAMILY and schedules jobs. End-to-end button-to-backend mapping and real provider delivery are pending. This is not automatic emergency dispatch or a guaranteed emergency response service.</w:t>
      </w:r>
    </w:p>
    <w:p>
      <w:r>
        <w:rPr>
          <w:b/>
        </w:rPr>
        <w:t xml:space="preserve">Acceptance experiment. </w:t>
      </w:r>
      <w:r>
        <w:t>Send the same request twice and verify one incident and one job per recipient/stage. Exercise WAN loss, reboot, provider rejection and a caregiver acknowledgement that cancels pending backup routing.</w:t>
      </w:r>
    </w:p>
    <w:p>
      <w:r>
        <w:rPr>
          <w:b/>
        </w:rPr>
        <w:t xml:space="preserve">Participants and traceability. </w:t>
      </w:r>
      <w:r>
        <w:t>H06, H02, H05, B04, B05, A04. Source paths and test references are in the traceability register. See diagrams/sequences/png and diagrams/sequences/uml for the corresponding F07 flow.</w:t>
      </w:r>
    </w:p>
    <w:p>
      <w:pPr>
        <w:pStyle w:val="Micro"/>
      </w:pPr>
      <w:r>
        <w:t>MODULES  H06, H02, H05, B04, B05, A04  •  File responsibilities: Appendix A</w:t>
      </w:r>
    </w:p>
    <w:p>
      <w:pPr>
        <w:pStyle w:val="SpecBody"/>
      </w:pPr>
      <w:r>
        <w:rPr>
          <w:b/>
        </w:rPr>
        <w:t xml:space="preserve">Meaning and scope  </w:t>
      </w:r>
      <w:r>
        <w:t>Lets the resident ask a known family member to contact them. It sends a request; the prototype does not place a telephone call or dispatch emergency services.</w:t>
      </w:r>
    </w:p>
    <w:p>
      <w:pPr>
        <w:pStyle w:val="SpecBody"/>
      </w:pPr>
      <w:r>
        <w:rPr>
          <w:b/>
        </w:rPr>
        <w:t xml:space="preserve">P0 requirement  </w:t>
      </w:r>
      <w:r>
        <w:t>Use a separate labeled button. Start a high-priority incident independent of morning windows, away mode and motion. Provide immediate local feedback distinguishing saved, remote service accepted and caregiver acknowledged. Never label a button press as an emergency response guarantee.</w:t>
      </w:r>
    </w:p>
    <w:p>
      <w:pPr>
        <w:pStyle w:val="SpecBody"/>
      </w:pPr>
      <w:r>
        <w:rPr>
          <w:b/>
        </w:rPr>
        <w:t xml:space="preserve">Corresponding hardware  </w:t>
      </w:r>
      <w:r>
        <w:t>Second large momentary button, physically and visually differentiated from I’m OK. Provide an accessible printed alternative contact instruction. Speaker prompts are optional; visual feedback is mandatory and shall not rely on color alone.</w:t>
      </w:r>
    </w:p>
    <w:p>
      <w:pPr>
        <w:pStyle w:val="SpecBody"/>
      </w:pPr>
      <w:r>
        <w:rPr>
          <w:b/>
        </w:rPr>
        <w:t xml:space="preserve">Detailed software design  </w:t>
      </w:r>
      <w:r>
        <w:t>H06 produces CONTACT_REQUEST; H02 commits the event plus local incident/outbox before the cloud path. H05 uses an incident ID derived from this unique event, not the routine ID. B04 service.py opens the workflow and B05 routing.py attempts the primary route. Additional presses within 30 seconds append to the same open request; an unresolved request is never cleared by later PIR motion or I’m OK.</w:t>
      </w:r>
    </w:p>
    <w:p>
      <w:pPr>
        <w:pStyle w:val="SpecBody"/>
      </w:pPr>
      <w:r>
        <w:rPr>
          <w:b/>
        </w:rPr>
        <w:t xml:space="preserve">Communication flow  </w:t>
      </w:r>
      <w:r>
        <w:t>Button → local journal → MQTT incident → database commit ACK → Web Push → caregiver HTTPS acknowledgement → hub status update. Remote acceptance and human acknowledgement are different events. In privacy, an explicit request may be shared under the explained one-off action policy, never alongside passive activity.</w:t>
      </w:r>
    </w:p>
    <w:p>
      <w:pPr>
        <w:pStyle w:val="SpecBody"/>
      </w:pPr>
      <w:r>
        <w:rPr>
          <w:b/>
        </w:rPr>
        <w:t xml:space="preserve">Failure and edge handling  </w:t>
      </w:r>
      <w:r>
        <w:t>Offline: announce that remote contact is unavailable and retain the request. Reconnect: show original age prominently; requests older than 15 minutes produce a delayed-request notification, not a misleading fresh request. They remain unresolved until a human acts. Unsent storage failure produces distinct local failure feedback.</w:t>
      </w:r>
    </w:p>
    <w:p>
      <w:pPr>
        <w:pStyle w:val="SpecBody"/>
      </w:pPr>
      <w:r>
        <w:rPr>
          <w:b/>
        </w:rPr>
        <w:t xml:space="preserve">Exit criteria / tests  </w:t>
      </w:r>
      <w:r>
        <w:t>F07-T1: a request outside the morning window routes normally. F07-T2: press during internet loss; no “family notified” indication occurs. F07-T3: subsequent motion, check-in or summary does not resolve the request. F07-T4: replay creates only one incident.</w:t>
      </w:r>
    </w:p>
    <w:p>
      <w:pPr>
        <w:pStyle w:val="SpecBody"/>
      </w:pPr>
      <w:r>
        <w:rPr>
          <w:b/>
        </w:rPr>
        <w:t xml:space="preserve">Further enhancement  </w:t>
      </w:r>
      <w:r>
        <w:t>Optional metered SMS/voice or consented professional response integration, with explicit service hours and costs; not bundled into P0.</w:t>
      </w:r>
    </w:p>
    <w:p>
      <w:bookmarkStart w:id="15" w:name="F08"/>
      <w:pPr>
        <w:pStyle w:val="Heading1"/>
        <w:pageBreakBefore/>
      </w:pPr>
      <w:r>
        <w:rPr>
          <w:color w:val="000000"/>
        </w:rPr>
        <w:t>8. F08 — Missing morning activity workflow</w:t>
      </w:r>
      <w:bookmarkEnd w:id="15"/>
    </w:p>
    <w:p>
      <w:r>
        <w:rPr>
          <w:b/>
        </w:rPr>
        <w:t xml:space="preserve">Meaning. </w:t>
      </w:r>
      <w:r>
        <w:t>Missing activity is meaningful only when the system had a usable opportunity to observe it. An unknown sensor, an untrusted clock or an intentional pause must not become a resident-risk assertion.</w:t>
      </w:r>
    </w:p>
    <w:p>
      <w:r>
        <w:rPr>
          <w:b/>
        </w:rPr>
        <w:t xml:space="preserve">Worked example. </w:t>
      </w:r>
      <w:r>
        <w:t>At 10:10 there is no qualifying event. If required nodes are healthy and time is trusted, create one missing-morning intent. If NODE-KT is offline, show coverage unavailable instead. Neither outcome proves a medical emergency.</w:t>
      </w:r>
    </w:p>
    <w:p>
      <w:r>
        <w:rPr>
          <w:b/>
        </w:rPr>
        <w:t xml:space="preserve">Execution and ownership. </w:t>
      </w:r>
      <w:r>
        <w:t>H03 supplies trusted timing; H04 supplies coverage; H05 calls S02 at the grace deadline. The reducer checks enabled/due, time, mode, coverage, evidence and duplicate creation in that order. A stable window key is passed to the backend incident path.</w:t>
      </w:r>
    </w:p>
    <w:p>
      <w:r>
        <w:rPr>
          <w:b/>
        </w:rPr>
        <w:t xml:space="preserve">Reference implementation boundary. </w:t>
      </w:r>
      <w:r>
        <w:t>The host reducer returns an intent/reason. It does not implement the full local prompt then wait then notify orchestration, nor automatically publish a technical service incident. Current-state coverage cannot establish full-window coverage; that gap must close before reliable live absence alerts.</w:t>
      </w:r>
    </w:p>
    <w:p>
      <w:r>
        <w:rPr>
          <w:b/>
        </w:rPr>
        <w:t xml:space="preserve">Acceptance experiment. </w:t>
      </w:r>
      <w:r>
        <w:t>Run covered quiet, evidence present, node missing, clock invalid, privacy, away, visitor and repeated-deadline cases. Restart mid-window and confirm persisted eligibility and duplicate suppression before accepting the hardware implementation.</w:t>
      </w:r>
    </w:p>
    <w:p>
      <w:r>
        <w:rPr>
          <w:b/>
        </w:rPr>
        <w:t xml:space="preserve">Participants and traceability. </w:t>
      </w:r>
      <w:r>
        <w:t>H03, H04, H05, S02, B04, B05. Source paths and test references are in the traceability register. See diagrams/sequences/png and diagrams/sequences/uml for the corresponding F08 flow.</w:t>
      </w:r>
    </w:p>
    <w:p>
      <w:pPr>
        <w:pStyle w:val="Micro"/>
      </w:pPr>
      <w:r>
        <w:t>MODULES  H03, H04, H05, S02, B04, B05  •  File responsibilities: Appendix A</w:t>
      </w:r>
    </w:p>
    <w:p>
      <w:pPr>
        <w:pStyle w:val="SpecBody"/>
      </w:pPr>
      <w:r>
        <w:rPr>
          <w:b/>
        </w:rPr>
        <w:t xml:space="preserve">Meaning and scope  </w:t>
      </w:r>
      <w:r>
        <w:t>Asks a family member to check in when the agreed window passes without qualifying evidence and the observation path was sufficiently available. It is an explanation-based prompt, not a prediction of harm.</w:t>
      </w:r>
    </w:p>
    <w:p>
      <w:pPr>
        <w:pStyle w:val="SpecBody"/>
      </w:pPr>
      <w:r>
        <w:rPr>
          <w:b/>
        </w:rPr>
        <w:t xml:space="preserve">P0 requirement  </w:t>
      </w:r>
      <w:r>
        <w:t>At the deadline, distinguish missing evidence under eligible coverage from unknown observation. If active, time-trusted and eligible with no movement or self-check-in, optionally prompt locally, then allow the configured grace period. At grace expiry create at most one routine incident for the window.</w:t>
      </w:r>
    </w:p>
    <w:p>
      <w:pPr>
        <w:pStyle w:val="SpecBody"/>
      </w:pPr>
      <w:r>
        <w:rPr>
          <w:b/>
        </w:rPr>
        <w:t xml:space="preserve">Corresponding hardware  </w:t>
      </w:r>
      <w:r>
        <w:t>Uses tested PIR nodes and hub feedback. The hub must remain powered; no cloud algorithm can recover missing sensor observations from a powered-off hub.</w:t>
      </w:r>
    </w:p>
    <w:p>
      <w:pPr>
        <w:pStyle w:val="SpecBody"/>
      </w:pPr>
      <w:r>
        <w:rPr>
          <w:b/>
        </w:rPr>
        <w:t xml:space="preserve">Detailed software design  </w:t>
      </w:r>
      <w:r>
        <w:t>S02 rules.cpp is a pure reducer of window, evidence, mode and coverage intervals. H05 routine_service.cpp persists each transition and timer intent. At grace expiry, atomically append incident and outbox action under the stable window ID. Proposed conservative eligibility: every selected sensor has full valid lease coverage through window plus grace, no mode gap, no data-loss flag and trusted time. If not, emit observation-incomplete status instead of the inactivity incident.</w:t>
      </w:r>
    </w:p>
    <w:p>
      <w:pPr>
        <w:pStyle w:val="SpecBody"/>
      </w:pPr>
      <w:r>
        <w:rPr>
          <w:b/>
        </w:rPr>
        <w:t xml:space="preserve">Communication flow  </w:t>
      </w:r>
      <w:r>
        <w:t>Local timer → rule transition → optional audio/display → grace timer → journaled incident → backend routing. Backend never independently re-runs this absence rule; it may issue a separate HUB_UNREACHABLE service incident.</w:t>
      </w:r>
    </w:p>
    <w:p>
      <w:pPr>
        <w:pStyle w:val="SpecBody"/>
      </w:pPr>
      <w:r>
        <w:rPr>
          <w:b/>
        </w:rPr>
        <w:t xml:space="preserve">Failure and edge handling  </w:t>
      </w:r>
      <w:r>
        <w:t>A late in-window event updates the evidence and adds a visible correction to a sent incident. A new health gap during grace changes the outcome to unknown and stops the inactivity interpretation. A caregiver may still choose to call based on unknown coverage. Resume mid-window cannot retroactively satisfy coverage.</w:t>
      </w:r>
    </w:p>
    <w:p>
      <w:pPr>
        <w:pStyle w:val="SpecBody"/>
      </w:pPr>
      <w:r>
        <w:rPr>
          <w:b/>
        </w:rPr>
        <w:t xml:space="preserve">Exit criteria / tests  </w:t>
      </w:r>
      <w:r>
        <w:t>F08-T1: healthy empty window plus grace creates one incident. F08-T2: remove either selected node mid-window; no inactivity claim is generated. F08-T3: reboot at deadline and replay produce the same outcome and ID as uninterrupted execution.</w:t>
      </w:r>
    </w:p>
    <w:p>
      <w:pPr>
        <w:pStyle w:val="SpecBody"/>
      </w:pPr>
      <w:r>
        <w:rPr>
          <w:b/>
        </w:rPr>
        <w:t xml:space="preserve">Further enhancement  </w:t>
      </w:r>
      <w:r>
        <w:t>Resident-approved adaptive windows or graded coverage policies only after false/missed-alert evidence; do not relax coverage silently to make metrics look better.</w:t>
      </w:r>
    </w:p>
    <w:p>
      <w:bookmarkStart w:id="16" w:name="F09"/>
      <w:pPr>
        <w:pStyle w:val="Heading1"/>
        <w:pageBreakBefore/>
      </w:pPr>
      <w:r>
        <w:rPr>
          <w:color w:val="000000"/>
        </w:rPr>
        <w:t>8. F09 — Main-door event history and quiet-hour notice</w:t>
      </w:r>
      <w:bookmarkEnd w:id="16"/>
    </w:p>
    <w:p>
      <w:r>
        <w:rPr>
          <w:b/>
        </w:rPr>
        <w:t xml:space="preserve">Meaning. </w:t>
      </w:r>
      <w:r>
        <w:t>A reed contact reports that a door opened or closed. One contact or one PIR cannot determine who crossed the door or in which direction. A quiet-hour notice is an optional explanatory advisory, not an intrusion conclusion.</w:t>
      </w:r>
    </w:p>
    <w:p>
      <w:r>
        <w:rPr>
          <w:b/>
        </w:rPr>
        <w:t xml:space="preserve">Worked example. </w:t>
      </w:r>
      <w:r>
        <w:t>The main door opens at 22:00. A caregiver may see a door event if permitted, but the product must not say that a parent left home or that a stranger entered.</w:t>
      </w:r>
    </w:p>
    <w:p>
      <w:r>
        <w:rPr>
          <w:b/>
        </w:rPr>
        <w:t xml:space="preserve">Execution and ownership. </w:t>
      </w:r>
      <w:r>
        <w:t>N01 or the hub input adapter qualifies the edge. The event follows the shared retained transport. B07 exposes history. B05 can create a keyed advisory when an explicit quiet-hour policy matches; A02 labels the observed event.</w:t>
      </w:r>
    </w:p>
    <w:p>
      <w:r>
        <w:rPr>
          <w:b/>
        </w:rPr>
        <w:t xml:space="preserve">Reference implementation boundary. </w:t>
      </w:r>
      <w:r>
        <w:t>The notice helper accepts a caller-supplied within_quiet_hours boolean. Computing local-time policy, enforcing user opt-in and routing the complete door flow are not established by that helper.</w:t>
      </w:r>
    </w:p>
    <w:p>
      <w:r>
        <w:rPr>
          <w:b/>
        </w:rPr>
        <w:t xml:space="preserve">Acceptance experiment. </w:t>
      </w:r>
      <w:r>
        <w:t>Test bounce, initial open state, repeat delivery, quiet policy off, policy boundary and test-tagged data. Inspect the notice label for direction or identity claims.</w:t>
      </w:r>
    </w:p>
    <w:p>
      <w:r>
        <w:rPr>
          <w:b/>
        </w:rPr>
        <w:t xml:space="preserve">Participants and traceability. </w:t>
      </w:r>
      <w:r>
        <w:t>N01, H05, S02, B07, B05, A02. Source paths and test references are in the traceability register. See diagrams/sequences/png and diagrams/sequences/uml for the corresponding F09 flow.</w:t>
      </w:r>
    </w:p>
    <w:p>
      <w:pPr>
        <w:pStyle w:val="Micro"/>
      </w:pPr>
      <w:r>
        <w:t>MODULES  N01, H05, S02, B07, B05, A02  •  File responsibilities: Appendix A</w:t>
      </w:r>
    </w:p>
    <w:p>
      <w:pPr>
        <w:pStyle w:val="SpecBody"/>
      </w:pPr>
      <w:r>
        <w:rPr>
          <w:b/>
        </w:rPr>
        <w:t xml:space="preserve">Meaning and scope  </w:t>
      </w:r>
      <w:r>
        <w:t>Shows that the monitored door contact changed state. It cannot determine who used the door, direction of travel, or whether the resident is now away.</w:t>
      </w:r>
    </w:p>
    <w:p>
      <w:pPr>
        <w:pStyle w:val="SpecBody"/>
      </w:pPr>
      <w:r>
        <w:rPr>
          <w:b/>
        </w:rPr>
        <w:t xml:space="preserve">P0 requirement  </w:t>
      </w:r>
      <w:r>
        <w:t>Record open and close edges and current known state. Quiet-hour notices are opt-in, use configured local-time boundaries and explain the observed door event. Never auto-enable away mode. P0 does not implement an intrusion alarm or lock control.</w:t>
      </w:r>
    </w:p>
    <w:p>
      <w:pPr>
        <w:pStyle w:val="SpecBody"/>
      </w:pPr>
      <w:r>
        <w:rPr>
          <w:b/>
        </w:rPr>
        <w:t xml:space="preserve">Corresponding hardware  </w:t>
      </w:r>
      <w:r>
        <w:t>Reed contact and magnet on the main door, with a stable mounting gap, strain relief and 3.3-V-safe input bias. Bare two-wire reed contacts cannot inherently distinguish an open door from a broken wire; disclose this limitation.</w:t>
      </w:r>
    </w:p>
    <w:p>
      <w:pPr>
        <w:pStyle w:val="SpecBody"/>
      </w:pPr>
      <w:r>
        <w:rPr>
          <w:b/>
        </w:rPr>
        <w:t xml:space="preserve">Detailed software design  </w:t>
      </w:r>
      <w:r>
        <w:t>N01 reed.cpp uses a proposed 50 ms stable-state debounce and an explicit initial-state sample. H05 applies quiet-hour policy in S02. B07 retains transitions; A02 shows open, closed or unknown with timestamp. Quiet notices use an event-based incident key and a 15-minute repeat-suppression bucket; continued openings are counted and visible rather than sent as repeated pushes.</w:t>
      </w:r>
    </w:p>
    <w:p>
      <w:pPr>
        <w:pStyle w:val="SpecBody"/>
      </w:pPr>
      <w:r>
        <w:rPr>
          <w:b/>
        </w:rPr>
        <w:t xml:space="preserve">Communication flow  </w:t>
      </w:r>
      <w:r>
        <w:t>Door transition → encrypted node event → hub application ACK → history/optional incident → cloud. Heartbeats carry the current sampled contact state, allowing reconciliation after lost edges without inventing exact transition times.</w:t>
      </w:r>
    </w:p>
    <w:p>
      <w:pPr>
        <w:pStyle w:val="SpecBody"/>
      </w:pPr>
      <w:r>
        <w:rPr>
          <w:b/>
        </w:rPr>
        <w:t xml:space="preserve">Failure and edge handling  </w:t>
      </w:r>
      <w:r>
        <w:t>After a node outage, report “state observed open at reconnect; transition time unknown”. Startup state is not a new door-opening alarm. A quiet-hour boundary with untrusted time cannot trigger a time-specific notice; retain the raw event with uncertainty. A stuck reading triggers an installation re-test suggestion, not proof of sensor failure.</w:t>
      </w:r>
    </w:p>
    <w:p>
      <w:pPr>
        <w:pStyle w:val="SpecBody"/>
      </w:pPr>
      <w:r>
        <w:rPr>
          <w:b/>
        </w:rPr>
        <w:t xml:space="preserve">Exit criteria / tests  </w:t>
      </w:r>
      <w:r>
        <w:t>F09-T1: 100 intentional open/close cycles produce the expected debounced transitions. F09-T2: door activity never changes away mode. F09-T3: reconnect initial state does not create a false quiet-hour opening. F09-T4: broken-wire limitation appears in installation guidance.</w:t>
      </w:r>
    </w:p>
    <w:p>
      <w:pPr>
        <w:pStyle w:val="SpecBody"/>
      </w:pPr>
      <w:r>
        <w:rPr>
          <w:b/>
        </w:rPr>
        <w:t xml:space="preserve">Further enhancement  </w:t>
      </w:r>
      <w:r>
        <w:t>Supervised contact wiring, door-left-open prompts and multiple doors; security-grade claims require a separate design and validation.</w:t>
      </w:r>
    </w:p>
    <w:p>
      <w:bookmarkStart w:id="17" w:name="F10"/>
      <w:pPr>
        <w:pStyle w:val="Heading1"/>
        <w:pageBreakBefore/>
      </w:pPr>
      <w:r>
        <w:rPr>
          <w:color w:val="000000"/>
        </w:rPr>
        <w:t>8. F10 — Away, pause and visitor modes</w:t>
      </w:r>
      <w:bookmarkEnd w:id="17"/>
    </w:p>
    <w:p>
      <w:r>
        <w:rPr>
          <w:b/>
        </w:rPr>
        <w:t xml:space="preserve">Meaning. </w:t>
      </w:r>
      <w:r>
        <w:t>Modes explain why routine interpretation changes. AWAY means absence is expected; PAUSED means temporarily suspend routine handling; PRIVACY controls passive observation. VISITOR warns that observed movement may belong to someone else.</w:t>
      </w:r>
    </w:p>
    <w:p>
      <w:r>
        <w:rPr>
          <w:b/>
        </w:rPr>
        <w:t xml:space="preserve">Worked example. </w:t>
      </w:r>
      <w:r>
        <w:t>Both parents go out and set AWAY. The deadline should not generate a missing-morning incident. A visitor moving in the kitchen must not be presented as proof of either parent moving.</w:t>
      </w:r>
    </w:p>
    <w:p>
      <w:r>
        <w:rPr>
          <w:b/>
        </w:rPr>
        <w:t xml:space="preserve">Execution and ownership. </w:t>
      </w:r>
      <w:r>
        <w:t>A03 requests a change, B02 authorises it, H07 applies a version and H05/S02 use the effective mode. The target must retain actor, reason and effective time so support can reconstruct which mode governed a decision.</w:t>
      </w:r>
    </w:p>
    <w:p>
      <w:r>
        <w:rPr>
          <w:b/>
        </w:rPr>
        <w:t xml:space="preserve">Reference implementation boundary. </w:t>
      </w:r>
      <w:r>
        <w:t>The reducer suppresses absence unless mode is Home. Visitor can collect evidence but still suppresses deadline creation. Device propagation, audit detail and recovery of effective mode need integrated validation.</w:t>
      </w:r>
    </w:p>
    <w:p>
      <w:r>
        <w:rPr>
          <w:b/>
        </w:rPr>
        <w:t xml:space="preserve">Acceptance experiment. </w:t>
      </w:r>
      <w:r>
        <w:t>Change each mode before, during and after a window; repeat an old command and reboot. Confirm that collection policy, absence eligibility and displayed mode agree.</w:t>
      </w:r>
    </w:p>
    <w:p>
      <w:r>
        <w:rPr>
          <w:b/>
        </w:rPr>
        <w:t xml:space="preserve">Participants and traceability. </w:t>
      </w:r>
      <w:r>
        <w:t>A03, B02, H07, H06, H05, S02. Source paths and test references are in the traceability register. See diagrams/sequences/png and diagrams/sequences/uml for the corresponding F10 flow.</w:t>
      </w:r>
    </w:p>
    <w:p>
      <w:pPr>
        <w:pStyle w:val="Micro"/>
      </w:pPr>
      <w:r>
        <w:t>MODULES  A03, B02, H07, H06, H05, S02  •  File responsibilities: Appendix A</w:t>
      </w:r>
    </w:p>
    <w:p>
      <w:pPr>
        <w:pStyle w:val="SpecBody"/>
      </w:pPr>
      <w:r>
        <w:rPr>
          <w:b/>
        </w:rPr>
        <w:t xml:space="preserve">Meaning and scope  </w:t>
      </w:r>
      <w:r>
        <w:t>Makes known exceptions explicit so a trip, guest or privacy choice does not look like a missing routine. Local privacy and temporary routine suppression are distinct controls.</w:t>
      </w:r>
    </w:p>
    <w:p>
      <w:pPr>
        <w:pStyle w:val="SpecBody"/>
      </w:pPr>
      <w:r>
        <w:rPr>
          <w:b/>
        </w:rPr>
        <w:t xml:space="preserve">P0 requirement  </w:t>
      </w:r>
      <w:r>
        <w:t>Support ACTIVE, AWAY, PAUSED and VISITOR with reason, actor and effective time. AWAY/temporary PAUSED suppress routine absence, while VISITOR labels evidence household-level and suppresses resident-specific absence interpretation. The physical privacy switch stops hub/cloud passive activity storage and overrides all remote modes; F02 governs delayed node buffers.</w:t>
      </w:r>
    </w:p>
    <w:p>
      <w:pPr>
        <w:pStyle w:val="SpecBody"/>
      </w:pPr>
      <w:r>
        <w:rPr>
          <w:b/>
        </w:rPr>
        <w:t xml:space="preserve">Corresponding hardware  </w:t>
      </w:r>
      <w:r>
        <w:t>Hub privacy switch and clear mode display; no occupancy-identification hardware. Optional switch lockout is excluded because it could remove resident control.</w:t>
      </w:r>
    </w:p>
    <w:p>
      <w:pPr>
        <w:pStyle w:val="SpecBody"/>
      </w:pPr>
      <w:r>
        <w:rPr>
          <w:b/>
        </w:rPr>
        <w:t xml:space="preserve">Detailed software design  </w:t>
      </w:r>
      <w:r>
        <w:t>A03 Modes.tsx sends a versioned mode request to B02; H07 applies it and emits the actual effective time. H05 stores mode intervals, not just a current enum, so coverage across a morning window remains auditable. Away/visitor expiries are proposed by the user and prompt confirmation; they do not silently resume resident-specific monitoring. Temporary pause may auto-resume only when this was explicitly chosen, privacy is off and consent remains valid.</w:t>
      </w:r>
    </w:p>
    <w:p>
      <w:pPr>
        <w:pStyle w:val="SpecBody"/>
      </w:pPr>
      <w:r>
        <w:rPr>
          <w:b/>
        </w:rPr>
        <w:t xml:space="preserve">Communication flow  </w:t>
      </w:r>
      <w:r>
        <w:t>App → HTTPS request → backend desired state → hub command → applied state event → app. Physical privacy acts immediately locally. A remote request during disconnection remains “pending”, not “applied”.</w:t>
      </w:r>
    </w:p>
    <w:p>
      <w:pPr>
        <w:pStyle w:val="SpecBody"/>
      </w:pPr>
      <w:r>
        <w:rPr>
          <w:b/>
        </w:rPr>
        <w:t xml:space="preserve">Failure and edge handling  </w:t>
      </w:r>
      <w:r>
        <w:t>A reboot restores the last durable mode and rereads the switch. Unknown expiry time retains the conservative non-active state. Removing visitor mode part-way through a window cannot restore earlier coverage. Manual Call family remains available in all modes under its consented one-off policy.</w:t>
      </w:r>
    </w:p>
    <w:p>
      <w:pPr>
        <w:pStyle w:val="SpecBody"/>
      </w:pPr>
      <w:r>
        <w:rPr>
          <w:b/>
        </w:rPr>
        <w:t xml:space="preserve">Exit criteria / tests  </w:t>
      </w:r>
      <w:r>
        <w:t>F10-T1: motion during visitor mode is not attributed to the resident. F10-T2: offline remote pause stays pending, while the physical switch works immediately. F10-T3: privacy prevents scheduled or remote resume. F10-T4: modes survive reboot without a false absence alert.</w:t>
      </w:r>
    </w:p>
    <w:p>
      <w:pPr>
        <w:pStyle w:val="SpecBody"/>
      </w:pPr>
      <w:r>
        <w:rPr>
          <w:b/>
        </w:rPr>
        <w:t xml:space="preserve">Further enhancement  </w:t>
      </w:r>
      <w:r>
        <w:t>Holiday calendars, trusted local controls and bounded automatic return detection only if ambiguity is addressed; no PIR-only person tracking.</w:t>
      </w:r>
    </w:p>
    <w:p>
      <w:bookmarkStart w:id="18" w:name="F11"/>
      <w:pPr>
        <w:pStyle w:val="Heading1"/>
        <w:pageBreakBefore/>
      </w:pPr>
      <w:r>
        <w:rPr>
          <w:color w:val="000000"/>
        </w:rPr>
        <w:t>8. F11 — Caregiver home screen and evidence timeline</w:t>
      </w:r>
      <w:bookmarkEnd w:id="18"/>
    </w:p>
    <w:p>
      <w:r>
        <w:rPr>
          <w:b/>
        </w:rPr>
        <w:t xml:space="preserve">Meaning. </w:t>
      </w:r>
      <w:r>
        <w:t>The dashboard is an explanation of observations and service condition. Last movement, resident OK, sensor availability, hub connectivity and an open family request are separate facts.</w:t>
      </w:r>
    </w:p>
    <w:p>
      <w:r>
        <w:rPr>
          <w:b/>
        </w:rPr>
        <w:t xml:space="preserve">Worked example. </w:t>
      </w:r>
      <w:r>
        <w:t>A screen may legitimately show activity at 08:10 and hub offline since 08:30. Hiding either fact would mislead the caregiver. Never turn an old cached card into a green live-status indicator.</w:t>
      </w:r>
    </w:p>
    <w:p>
      <w:r>
        <w:rPr>
          <w:b/>
        </w:rPr>
        <w:t xml:space="preserve">Execution and ownership. </w:t>
      </w:r>
      <w:r>
        <w:t>B07 builds an authorised snapshot/timeline with B08 freshness information. A02 formats it; A05 handles fetch/cache state. The client should render pending and stale results explicitly and must not become an incident authority.</w:t>
      </w:r>
    </w:p>
    <w:p>
      <w:r>
        <w:rPr>
          <w:b/>
        </w:rPr>
        <w:t xml:space="preserve">Reference implementation boundary. </w:t>
      </w:r>
      <w:r>
        <w:t>View-model helpers and a browser demonstration exist. The complete secured caregiver application, accessible screens, live refresh and supported-phone testing remain pending.</w:t>
      </w:r>
    </w:p>
    <w:p>
      <w:r>
        <w:rPr>
          <w:b/>
        </w:rPr>
        <w:t xml:space="preserve">Acceptance experiment. </w:t>
      </w:r>
      <w:r>
        <w:t>Load fresh, stale, never-seen and disconnected snapshots; change phone time; try H2 credentials for H1; verify that labels remain understandable on a small mobile screen.</w:t>
      </w:r>
    </w:p>
    <w:p>
      <w:r>
        <w:rPr>
          <w:b/>
        </w:rPr>
        <w:t xml:space="preserve">Participants and traceability. </w:t>
      </w:r>
      <w:r>
        <w:t>B07, B08, A02, A05. Source paths and test references are in the traceability register. See diagrams/sequences/png and diagrams/sequences/uml for the corresponding F11 flow.</w:t>
      </w:r>
    </w:p>
    <w:p>
      <w:pPr>
        <w:pStyle w:val="Micro"/>
      </w:pPr>
      <w:r>
        <w:t>MODULES  B07, B08, A02, A05  •  File responsibilities: Appendix A</w:t>
      </w:r>
    </w:p>
    <w:p>
      <w:pPr>
        <w:pStyle w:val="SpecBody"/>
      </w:pPr>
      <w:r>
        <w:rPr>
          <w:b/>
        </w:rPr>
        <w:t xml:space="preserve">Meaning and scope  </w:t>
      </w:r>
      <w:r>
        <w:t>Gives the family an honest, quickly understood snapshot: what was observed, what was self-reported, whether the system is current and which requests still need action.</w:t>
      </w:r>
    </w:p>
    <w:p>
      <w:pPr>
        <w:pStyle w:val="SpecBody"/>
      </w:pPr>
      <w:r>
        <w:rPr>
          <w:b/>
        </w:rPr>
        <w:t xml:space="preserve">P0 requirement  </w:t>
      </w:r>
      <w:r>
        <w:t>Show four separate areas: last activity, last self-check-in, observation/system coverage and open incidents. Display home-local time, data age and the app’s last successful sync. Use text/icons as well as color. Never show a global “safe” or medical “all clear” badge.</w:t>
      </w:r>
    </w:p>
    <w:p>
      <w:pPr>
        <w:pStyle w:val="SpecBody"/>
      </w:pPr>
      <w:r>
        <w:rPr>
          <w:b/>
        </w:rPr>
        <w:t xml:space="preserve">Corresponding hardware  </w:t>
      </w:r>
      <w:r>
        <w:t>Android/iOS phone browser; installed PWA recommended for push. A larger caregiver display is optional and does not change the underlying permissions.</w:t>
      </w:r>
    </w:p>
    <w:p>
      <w:pPr>
        <w:pStyle w:val="SpecBody"/>
      </w:pPr>
      <w:r>
        <w:rPr>
          <w:b/>
        </w:rPr>
        <w:t xml:space="preserve">Detailed software design  </w:t>
      </w:r>
      <w:r>
        <w:t>B07 projector.py maintains a per-home snapshot from validated events and workflow changes. routes.py serves paginated history and a versioned snapshot; stream.py provides SSE invalidation while the app is open. A02 Home.tsx renders evidence provenance and action priority. A05 cache.ts stores only a minimal short-lived snapshot, not a permanent activity archive. Snapshot and stream revisions prevent an older response overwriting a newer one.</w:t>
      </w:r>
    </w:p>
    <w:p>
      <w:pPr>
        <w:pStyle w:val="SpecBody"/>
      </w:pPr>
      <w:r>
        <w:rPr>
          <w:b/>
        </w:rPr>
        <w:t xml:space="preserve">Communication flow  </w:t>
      </w:r>
      <w:r>
        <w:t>App HTTPS GET /v1/homes/{id}/snapshot + paginated timeline; SSE supplies change hints followed by a fetch. Push opens an incident by ID and the app fetches authorized detail; private activity text is not required on the lock screen.</w:t>
      </w:r>
    </w:p>
    <w:p>
      <w:pPr>
        <w:pStyle w:val="SpecBody"/>
      </w:pPr>
      <w:r>
        <w:rPr>
          <w:b/>
        </w:rPr>
        <w:t xml:space="preserve">Failure and edge handling  </w:t>
      </w:r>
      <w:r>
        <w:t>SSE loss falls back to 30-second foreground polling with backoff. Browser offline state immediately marks the view stale. Backend hub-lease age and phone-fetch age are shown independently; a fresh app fetch of a stale hub does not look current. Missing permissions route to a visible setup warning.</w:t>
      </w:r>
    </w:p>
    <w:p>
      <w:pPr>
        <w:pStyle w:val="SpecBody"/>
      </w:pPr>
      <w:r>
        <w:rPr>
          <w:b/>
        </w:rPr>
        <w:t xml:space="preserve">Exit criteria / tests  </w:t>
      </w:r>
      <w:r>
        <w:t>F11-T1: observed activity plus a later sensor outage renders both facts. F11-T2: disconnect the phone; cached data never displays as live. F11-T3: out-of-order snapshot/SSE responses cannot roll back incident status. F11-T4: private detail requires current home membership.</w:t>
      </w:r>
    </w:p>
    <w:p>
      <w:pPr>
        <w:pStyle w:val="SpecBody"/>
      </w:pPr>
      <w:r>
        <w:rPr>
          <w:b/>
        </w:rPr>
        <w:t xml:space="preserve">Further enhancement  </w:t>
      </w:r>
      <w:r>
        <w:t>Accessible native apps, multi-home professional dashboards and longer trend views after privacy and usability validation.</w:t>
      </w:r>
    </w:p>
    <w:p>
      <w:bookmarkStart w:id="19" w:name="F12"/>
      <w:pPr>
        <w:pStyle w:val="Heading1"/>
        <w:pageBreakBefore/>
      </w:pPr>
      <w:r>
        <w:rPr>
          <w:color w:val="000000"/>
        </w:rPr>
        <w:t>8. F12 — Caregiver acknowledgement and resolution</w:t>
      </w:r>
      <w:bookmarkEnd w:id="19"/>
    </w:p>
    <w:p>
      <w:r>
        <w:rPr>
          <w:b/>
        </w:rPr>
        <w:t xml:space="preserve">Meaning. </w:t>
      </w:r>
      <w:r>
        <w:t>Claim means one caregiver is taking responsibility for following up. Acknowledge means a human has seen and accepted the request. Resolve means the follow-up is deliberately closed. None is the same as provider delivery.</w:t>
      </w:r>
    </w:p>
    <w:p>
      <w:r>
        <w:rPr>
          <w:b/>
        </w:rPr>
        <w:t xml:space="preserve">Worked example. </w:t>
      </w:r>
      <w:r>
        <w:t>Rahul claims an incident for five minutes. A second caregiver tries to claim during that lease and sees a conflict. After the lease expires, the backup may take over. A resident OK remains a separate recorded action.</w:t>
      </w:r>
    </w:p>
    <w:p>
      <w:r>
        <w:rPr>
          <w:b/>
        </w:rPr>
        <w:t xml:space="preserve">Execution and ownership. </w:t>
      </w:r>
      <w:r>
        <w:t>A04 sends a command through A05. B01 authorises household access. B04 checks incident ownership and updates state/audit. B05 must be told about a human acknowledgement so pending escalation is stopped; B07 then exposes the new state.</w:t>
      </w:r>
    </w:p>
    <w:p>
      <w:r>
        <w:rPr>
          <w:b/>
        </w:rPr>
        <w:t xml:space="preserve">Reference implementation boundary. </w:t>
      </w:r>
      <w:r>
        <w:t>Claim/acknowledge/resolve methods exist. The present permission check uses read access for mutation and needs a stricter production action policy. Unable-to-reach/handoff and atomic database concurrency are not complete.</w:t>
      </w:r>
    </w:p>
    <w:p>
      <w:r>
        <w:rPr>
          <w:b/>
        </w:rPr>
        <w:t xml:space="preserve">Acceptance experiment. </w:t>
      </w:r>
      <w:r>
        <w:t>Race two claims, expire a lease, try cross-house access, repeat acknowledgement and resolve a closed incident. Verify authorised action permissions and notification cancellation in a transaction-level test.</w:t>
      </w:r>
    </w:p>
    <w:p>
      <w:r>
        <w:rPr>
          <w:b/>
        </w:rPr>
        <w:t xml:space="preserve">Participants and traceability. </w:t>
      </w:r>
      <w:r>
        <w:t>B04, B07, B05, A04, H08. Source paths and test references are in the traceability register. See diagrams/sequences/png and diagrams/sequences/uml for the corresponding F12 flow.</w:t>
      </w:r>
    </w:p>
    <w:p>
      <w:pPr>
        <w:pStyle w:val="Micro"/>
      </w:pPr>
      <w:r>
        <w:t>MODULES  B04, B07, B05, A04, H08  •  File responsibilities: Appendix A</w:t>
      </w:r>
    </w:p>
    <w:p>
      <w:pPr>
        <w:pStyle w:val="SpecBody"/>
      </w:pPr>
      <w:r>
        <w:rPr>
          <w:b/>
        </w:rPr>
        <w:t xml:space="preserve">Meaning and scope  </w:t>
      </w:r>
      <w:r>
        <w:t>Distinguishes “I have seen this”, “I will call” and “I have contacted them”. Delivery to a phone is not the same as a person accepting responsibility.</w:t>
      </w:r>
    </w:p>
    <w:p>
      <w:pPr>
        <w:pStyle w:val="SpecBody"/>
      </w:pPr>
      <w:r>
        <w:rPr>
          <w:rFonts w:ascii="Calibri" w:hAnsi="Calibri"/>
          <w:b/>
          <w:color w:val="1F4D78"/>
          <w:sz w:val="22"/>
        </w:rPr>
        <w:t xml:space="preserve">P0 requirement  </w:t>
      </w:r>
      <w:r>
        <w:rPr>
          <w:rFonts w:ascii="Calibri" w:hAnsi="Calibri"/>
          <w:sz w:val="22"/>
        </w:rPr>
        <w:t>Provide “I will call”, “Contacted”, “Unable to reach” and “Ask backup caregiver” actions with actor/time. Acknowledgement creates a temporary response ownership lease; it does not resolve the incident. Contacted requires an explicit outcome. Unable to reach advances to backup when available. Ask backup caregiver explicitly releases the primary claim and requests the consenting backup immediately; it does not mark the resident contacted.</w:t>
      </w:r>
    </w:p>
    <w:p>
      <w:pPr>
        <w:pStyle w:val="SpecBody"/>
      </w:pPr>
      <w:r>
        <w:rPr>
          <w:b/>
        </w:rPr>
        <w:t xml:space="preserve">Corresponding hardware  </w:t>
      </w:r>
      <w:r>
        <w:t>Caregiver phone; the hub may display caregiver acknowledgement, but shall not announce contact succeeded unless a corresponding human outcome exists.</w:t>
      </w:r>
    </w:p>
    <w:p>
      <w:pPr>
        <w:pStyle w:val="SpecBody"/>
      </w:pPr>
      <w:r>
        <w:rPr>
          <w:rFonts w:ascii="Calibri" w:hAnsi="Calibri"/>
          <w:b/>
          <w:color w:val="1F4D78"/>
          <w:sz w:val="22"/>
        </w:rPr>
        <w:t xml:space="preserve">Detailed software design  </w:t>
      </w:r>
      <w:r>
        <w:rPr>
          <w:rFonts w:ascii="Calibri" w:hAnsi="Calibri"/>
          <w:sz w:val="22"/>
        </w:rPr>
        <w:t>B04 state.py defines OPEN, CLAIMED, RESOLVED and CLOSED_UNRESOLVED plus audited action HANDOFF_TO_BACKUP. service.py uses optimistic version checks and a transaction to claim or hand off one incident; default claim lease is 10 minutes. A04 Actions.tsx sends an idempotency key. Handoff ends the current lease, records the actor/reason and creates the backup route in the same transaction/outbox boundary. A second caregiver may explicitly take over with audit, not silently overwrite. Expired claims return to routing eligibility without erasing prior actions.</w:t>
      </w:r>
    </w:p>
    <w:p>
      <w:pPr>
        <w:pStyle w:val="SpecBody"/>
      </w:pPr>
      <w:r>
        <w:rPr>
          <w:b/>
        </w:rPr>
        <w:t xml:space="preserve">Communication flow  </w:t>
      </w:r>
      <w:r>
        <w:t>Push/deep link → authenticated incident fetch → POST /v1/incidents/{id}/actions → committed audit/action → notification worker cancellation or next stage → hub/app state update. Phone dialer launch is merely a convenience and is not evidence a call connected.</w:t>
      </w:r>
    </w:p>
    <w:p>
      <w:pPr>
        <w:pStyle w:val="SpecBody"/>
      </w:pPr>
      <w:r>
        <w:rPr>
          <w:b/>
        </w:rPr>
        <w:t xml:space="preserve">Failure and edge handling  </w:t>
      </w:r>
      <w:r>
        <w:t>An offline app cannot truthfully submit an acknowledgement; show “not sent” and offer the normal phone contact. Competing actions get a refreshed state on 409. Already submitted duplicate actions return the same result. No activity event can resolve a manual contact request.</w:t>
      </w:r>
    </w:p>
    <w:p>
      <w:pPr>
        <w:pStyle w:val="SpecBody"/>
      </w:pPr>
      <w:r>
        <w:rPr>
          <w:rFonts w:ascii="Calibri" w:hAnsi="Calibri"/>
          <w:b/>
          <w:color w:val="1F4D78"/>
          <w:sz w:val="22"/>
        </w:rPr>
        <w:t xml:space="preserve">Exit criteria / tests  </w:t>
      </w:r>
      <w:r>
        <w:rPr>
          <w:rFonts w:ascii="Calibri" w:hAnsi="Calibri"/>
          <w:sz w:val="22"/>
        </w:rPr>
        <w:t>F12-T1: two simultaneous claims produce one owner and an explicit conflict. F12-T2: “I will call” stops the no-ack timer but starts a resolution lease. F12-T3: lease expiry or Unable to reach re-enters routing. F12-T4: duplicate POST creates one audit action. F12-T5: Ask backup caregiver atomically releases the primary claim, creates one backup job and leaves the incident unresolved.</w:t>
      </w:r>
    </w:p>
    <w:p>
      <w:pPr>
        <w:pStyle w:val="SpecBody"/>
      </w:pPr>
      <w:r>
        <w:rPr>
          <w:b/>
        </w:rPr>
        <w:t xml:space="preserve">Further enhancement  </w:t>
      </w:r>
      <w:r>
        <w:t>Team handover, structured care notes and external provider integration; avoid storing unnecessary medical narratives.</w:t>
      </w:r>
    </w:p>
    <w:p>
      <w:bookmarkStart w:id="20" w:name="F13"/>
      <w:pPr>
        <w:pStyle w:val="Heading1"/>
        <w:pageBreakBefore/>
      </w:pPr>
      <w:r>
        <w:rPr>
          <w:color w:val="000000"/>
        </w:rPr>
        <w:t>8. F13 — Backup caregiver routing and delivery visibility</w:t>
      </w:r>
      <w:bookmarkEnd w:id="20"/>
    </w:p>
    <w:p>
      <w:r>
        <w:rPr>
          <w:b/>
        </w:rPr>
        <w:t xml:space="preserve">Meaning. </w:t>
      </w:r>
      <w:r>
        <w:t>Routing is the plan for contacting primary and backup caregivers and reporting what actually happened. A push or SMS provider accepting a request is not evidence that a human read it.</w:t>
      </w:r>
    </w:p>
    <w:p>
      <w:r>
        <w:rPr>
          <w:b/>
        </w:rPr>
        <w:t xml:space="preserve">Worked example. </w:t>
      </w:r>
      <w:r>
        <w:t>The primary receives a job at 10:10. With no human acknowledgement, a backup job becomes due at 10:15 using the reference five-minute delay. If the primary acknowledges at 10:13, an unsent backup job should be cancelled.</w:t>
      </w:r>
    </w:p>
    <w:p>
      <w:r>
        <w:rPr>
          <w:b/>
        </w:rPr>
        <w:t xml:space="preserve">Execution and ownership. </w:t>
      </w:r>
      <w:r>
        <w:t>B05 creates one job per incident, recipient and stage. A worker obtains due jobs, calls a provider and records the outcome. B04 human actions update routing. A04/A05 display provider accepted, failed and human acknowledged separately.</w:t>
      </w:r>
    </w:p>
    <w:p>
      <w:r>
        <w:rPr>
          <w:b/>
        </w:rPr>
        <w:t xml:space="preserve">Reference implementation boundary. </w:t>
      </w:r>
      <w:r>
        <w:t>Scheduling and delivery-state helpers exist in memory. Real providers, durable worker claims, retry after FAILED, receipt callbacks, rate limits and route-exhaustion handling need implementation.</w:t>
      </w:r>
    </w:p>
    <w:p>
      <w:r>
        <w:rPr>
          <w:b/>
        </w:rPr>
        <w:t xml:space="preserve">Acceptance experiment. </w:t>
      </w:r>
      <w:r>
        <w:t>Use a fake provider that accepts, rejects and times out. Crash a worker after sending but before saving the result. Verify idempotency and clear uncertain-delivery status instead of claiming guaranteed exactly-once notification.</w:t>
      </w:r>
    </w:p>
    <w:p>
      <w:r>
        <w:rPr>
          <w:b/>
        </w:rPr>
        <w:t xml:space="preserve">Participants and traceability. </w:t>
      </w:r>
      <w:r>
        <w:t>B05, B04, B08, A04, A05. Source paths and test references are in the traceability register. See diagrams/sequences/png and diagrams/sequences/uml for the corresponding F13 flow.</w:t>
      </w:r>
    </w:p>
    <w:p>
      <w:pPr>
        <w:pStyle w:val="Micro"/>
      </w:pPr>
      <w:r>
        <w:t>MODULES  B05, B04, B08, A04, A05  •  File responsibilities: Appendix A</w:t>
      </w:r>
    </w:p>
    <w:p>
      <w:pPr>
        <w:pStyle w:val="SpecBody"/>
      </w:pPr>
      <w:r>
        <w:rPr>
          <w:b/>
        </w:rPr>
        <w:t xml:space="preserve">Meaning and scope  </w:t>
      </w:r>
      <w:r>
        <w:t>Provides a bounded second route when the first caregiver has not acted. It improves workflow coverage but cannot guarantee that anyone is reachable or will respond.</w:t>
      </w:r>
    </w:p>
    <w:p>
      <w:pPr>
        <w:pStyle w:val="SpecBody"/>
      </w:pPr>
      <w:r>
        <w:rPr>
          <w:rFonts w:ascii="Calibri" w:hAnsi="Calibri"/>
          <w:b/>
          <w:color w:val="1F4D78"/>
          <w:sz w:val="22"/>
        </w:rPr>
        <w:t xml:space="preserve">P0 requirement  </w:t>
      </w:r>
      <w:r>
        <w:rPr>
          <w:rFonts w:ascii="Calibri" w:hAnsi="Calibri"/>
          <w:sz w:val="22"/>
        </w:rPr>
        <w:t>Route a new request to the primary. If no human acknowledgement after a configurable default 5 minutes, route to the consenting backup. An authenticated manual handoff routes to backup immediately. Manual contact requests route immediately regardless of routine quiet hours. Record provider acceptance, terminal delivery errors, app receipt when available and human acknowledgement as different facts.</w:t>
      </w:r>
    </w:p>
    <w:p>
      <w:pPr>
        <w:pStyle w:val="SpecBody"/>
      </w:pPr>
      <w:r>
        <w:rPr>
          <w:b/>
        </w:rPr>
        <w:t xml:space="preserve">Corresponding hardware  </w:t>
      </w:r>
      <w:r>
        <w:t>Working internet at the hub and caregiver phone with supported installed PWA, permission and valid subscription. There is no cellular modem in P0. Router backup power is separate from hub backup power.</w:t>
      </w:r>
    </w:p>
    <w:p>
      <w:pPr>
        <w:pStyle w:val="SpecBody"/>
      </w:pPr>
      <w:r>
        <w:rPr>
          <w:rFonts w:ascii="Calibri" w:hAnsi="Calibri"/>
          <w:b/>
          <w:color w:val="1F4D78"/>
          <w:sz w:val="22"/>
        </w:rPr>
        <w:t xml:space="preserve">Detailed software design  </w:t>
      </w:r>
      <w:r>
        <w:rPr>
          <w:rFonts w:ascii="Calibri" w:hAnsi="Calibri"/>
          <w:sz w:val="22"/>
        </w:rPr>
        <w:t>B05 worker.py claims durable notification jobs with a short database lease. routing.py creates stage 1/2 jobs under a unique incident/recipient/stage/channel key. Use exponential retry with jitter for transient errors, proposed 10 s, 30 s, 2 min, 5 min; permanent invalid subscriptions are disabled. Backup timing runs from incident acceptance and is not blocked by primary-provider failure. HANDOFF_TO_BACKUP creates stage 2 immediately and cancels only obsolete stage-1 retries. After both routes, keep the incident visibly unresolved and report route exhaustion.</w:t>
      </w:r>
    </w:p>
    <w:p>
      <w:pPr>
        <w:pStyle w:val="SpecBody"/>
      </w:pPr>
      <w:r>
        <w:rPr>
          <w:b/>
        </w:rPr>
        <w:t xml:space="preserve">Communication flow  </w:t>
      </w:r>
      <w:r>
        <w:t>Backend Web Push adapter → platform push service → phone service worker. Provider acceptance is the highest general transport claim unless an app receipt is actually obtained; even an app receipt is not a human acknowledgement. HTTPS human actions control escalation.</w:t>
      </w:r>
    </w:p>
    <w:p>
      <w:pPr>
        <w:pStyle w:val="SpecBody"/>
      </w:pPr>
      <w:r>
        <w:rPr>
          <w:b/>
        </w:rPr>
        <w:t xml:space="preserve">Failure and edge handling  </w:t>
      </w:r>
      <w:r>
        <w:t>A blocked/expired subscription marks route unhealthy; it never silently falls back to SMS or an unconsented person. Two bounded stages avoid infinite alarm loops. Provider outage produces operational alerts and a clear delivery-failed state. Loss of backend power means routing is unavailable until recovery.</w:t>
      </w:r>
    </w:p>
    <w:p>
      <w:pPr>
        <w:pStyle w:val="SpecBody"/>
      </w:pPr>
      <w:r>
        <w:rPr>
          <w:rFonts w:ascii="Calibri" w:hAnsi="Calibri"/>
          <w:b/>
          <w:color w:val="1F4D78"/>
          <w:sz w:val="22"/>
        </w:rPr>
        <w:t xml:space="preserve">Exit criteria / tests  </w:t>
      </w:r>
      <w:r>
        <w:rPr>
          <w:rFonts w:ascii="Calibri" w:hAnsi="Calibri"/>
          <w:sz w:val="22"/>
        </w:rPr>
        <w:t>F13-T1: primary ignores a request; backup job is created by 5 minutes plus scheduler tolerance. F13-T2: primary acknowledges; pending no-ack backup is cancelled transactionally. F13-T3: permanent push failure is visible and backup still runs. F13-T4: duplicate workers create one stage-job intent; ambiguous provider outcomes retain explicit duplicate-delivery risk. F13-T5: manual handoff creates the backup route without waiting for the timer.</w:t>
      </w:r>
    </w:p>
    <w:p>
      <w:pPr>
        <w:pStyle w:val="SpecBody"/>
      </w:pPr>
      <w:r>
        <w:rPr>
          <w:b/>
        </w:rPr>
        <w:t xml:space="preserve">Further enhancement  </w:t>
      </w:r>
      <w:r>
        <w:t>Metered SMS/voice adapters, regional providers and professional response contracts; budget message charges and support before enabling.</w:t>
      </w:r>
    </w:p>
    <w:p>
      <w:bookmarkStart w:id="21" w:name="F14"/>
      <w:pPr>
        <w:pStyle w:val="Heading1"/>
        <w:pageBreakBefore/>
      </w:pPr>
      <w:r>
        <w:rPr>
          <w:color w:val="000000"/>
        </w:rPr>
        <w:t>8. F14 — Opt-in daily morning summary</w:t>
      </w:r>
      <w:bookmarkEnd w:id="21"/>
    </w:p>
    <w:p>
      <w:r>
        <w:rPr>
          <w:b/>
        </w:rPr>
        <w:t xml:space="preserve">Meaning. </w:t>
      </w:r>
      <w:r>
        <w:t>A daily summary is an optional recap after the window, not another urgent alert. It should include the evidence and its limits, the active mode and unresolved requests.</w:t>
      </w:r>
    </w:p>
    <w:p>
      <w:r>
        <w:rPr>
          <w:b/>
        </w:rPr>
        <w:t xml:space="preserve">Worked example. </w:t>
      </w:r>
      <w:r>
        <w:t>A caregiver opts in to one morning summary. A day with an offline kitchen node should say observation incomplete. An older event from yesterday must not cause today to be reported as active.</w:t>
      </w:r>
    </w:p>
    <w:p>
      <w:r>
        <w:rPr>
          <w:b/>
        </w:rPr>
        <w:t xml:space="preserve">Execution and ownership. </w:t>
      </w:r>
      <w:r>
        <w:t>B07 supplies date/window-scoped facts and B05 creates a keyed summary for the intended household/date/policy. A03 stores opt-in and A02 renders it. The production scheduler must check current consent and delivery preference.</w:t>
      </w:r>
    </w:p>
    <w:p>
      <w:r>
        <w:rPr>
          <w:b/>
        </w:rPr>
        <w:t xml:space="preserve">Reference implementation boundary. </w:t>
      </w:r>
      <w:r>
        <w:t>The current helper scans all retained home events instead of filtering the requested local date/window. It also relies on caller-supplied flags and does not itself enforce consent. It is a host scaffold, not a ready scheduled report.</w:t>
      </w:r>
    </w:p>
    <w:p>
      <w:r>
        <w:rPr>
          <w:b/>
        </w:rPr>
        <w:t xml:space="preserve">Acceptance experiment. </w:t>
      </w:r>
      <w:r>
        <w:t>Test no opt-in, no consent, events only from yesterday, partial coverage, repeated scheduling and policy change on the same date. Decide whether a policy revision should update or resend before implementing production routing.</w:t>
      </w:r>
    </w:p>
    <w:p>
      <w:r>
        <w:rPr>
          <w:b/>
        </w:rPr>
        <w:t xml:space="preserve">Participants and traceability. </w:t>
      </w:r>
      <w:r>
        <w:t>B05, B07, A03, A02. Source paths and test references are in the traceability register. See diagrams/sequences/png and diagrams/sequences/uml for the corresponding F14 flow.</w:t>
      </w:r>
    </w:p>
    <w:p>
      <w:pPr>
        <w:pStyle w:val="Micro"/>
      </w:pPr>
      <w:r>
        <w:t>MODULES  B05, B07, A03, A02  •  File responsibilities: Appendix A</w:t>
      </w:r>
    </w:p>
    <w:p>
      <w:pPr>
        <w:pStyle w:val="SpecBody"/>
      </w:pPr>
      <w:r>
        <w:rPr>
          <w:b/>
        </w:rPr>
        <w:t xml:space="preserve">Meaning and scope  </w:t>
      </w:r>
      <w:r>
        <w:t>Sends one low-noise recap of the completed morning window, separate from action-required incidents. Families should not need multiple reassuring messages every morning.</w:t>
      </w:r>
    </w:p>
    <w:p>
      <w:pPr>
        <w:pStyle w:val="SpecBody"/>
      </w:pPr>
      <w:r>
        <w:rPr>
          <w:b/>
        </w:rPr>
        <w:t xml:space="preserve">P0 requirement  </w:t>
      </w:r>
      <w:r>
        <w:t>Default summaries off; allow one per home-local day at a chosen time after grace. Include activity observation, explicit check-in, coverage limitation and unresolved requests without inferring wellbeing. If no trustworthy completed window is available, say so or show a delayed recap, never invent a normal day.</w:t>
      </w:r>
    </w:p>
    <w:p>
      <w:pPr>
        <w:pStyle w:val="SpecBody"/>
      </w:pPr>
      <w:r>
        <w:rPr>
          <w:b/>
        </w:rPr>
        <w:t xml:space="preserve">Corresponding hardware  </w:t>
      </w:r>
      <w:r>
        <w:t>No extra hardware. Requires backend connectivity for remote delivery; local observation works without the summary service.</w:t>
      </w:r>
    </w:p>
    <w:p>
      <w:pPr>
        <w:pStyle w:val="SpecBody"/>
      </w:pPr>
      <w:r>
        <w:rPr>
          <w:b/>
        </w:rPr>
        <w:t xml:space="preserve">Detailed software design  </w:t>
      </w:r>
      <w:r>
        <w:t>B05 summary.py builds a summary from B07’s finalized window projection, not raw notification text. A unique (home_id, local_date, summary_policy_version) intent prevents duplicates; changing policy must not permit a second same-day send. The delivery ledger enforces a separate one-summary-per-day cap. Summary content references window revision and generated_at; late evidence updates the timeline instead of sending another summary.</w:t>
      </w:r>
    </w:p>
    <w:p>
      <w:pPr>
        <w:pStyle w:val="SpecBody"/>
      </w:pPr>
      <w:r>
        <w:rPr>
          <w:b/>
        </w:rPr>
        <w:t xml:space="preserve">Communication flow  </w:t>
      </w:r>
      <w:r>
        <w:t>Hub completed-window event → backend read model → daily scheduler → Web Push summary link → app fetch. If the hub is unreachable at scheduled time, the summary states observation incomplete using known stale-data timestamps.</w:t>
      </w:r>
    </w:p>
    <w:p>
      <w:pPr>
        <w:pStyle w:val="SpecBody"/>
      </w:pPr>
      <w:r>
        <w:rPr>
          <w:b/>
        </w:rPr>
        <w:t xml:space="preserve">Failure and edge handling  </w:t>
      </w:r>
      <w:r>
        <w:t>An active incident is not closed by a normal-looking summary. Delayed sync does not reissue yesterday’s routine summary as today’s reassurance. Missing push permission appears as a delivery error and does not turn on another channel. Disabling summaries cancels unsent jobs.</w:t>
      </w:r>
    </w:p>
    <w:p>
      <w:pPr>
        <w:pStyle w:val="SpecBody"/>
      </w:pPr>
      <w:r>
        <w:rPr>
          <w:b/>
        </w:rPr>
        <w:t xml:space="preserve">Exit criteria / tests  </w:t>
      </w:r>
      <w:r>
        <w:t>F14-T1: default configuration sends no summary. F14-T2: scheduler restarts and duplicate windows still produce at most one summary intent/day. F14-T3: activity plus a coverage gap produces an explicit incomplete-coverage recap. F14-T4: no summary resolves an incident.</w:t>
      </w:r>
    </w:p>
    <w:p>
      <w:pPr>
        <w:pStyle w:val="SpecBody"/>
      </w:pPr>
      <w:r>
        <w:rPr>
          <w:b/>
        </w:rPr>
        <w:t xml:space="preserve">Further enhancement  </w:t>
      </w:r>
      <w:r>
        <w:t>Weekly reports, configurable language templates and family digest channels; retain low notification volume and explicit evidence provenance.</w:t>
      </w:r>
    </w:p>
    <w:p>
      <w:bookmarkStart w:id="22" w:name="E01"/>
      <w:pPr>
        <w:pStyle w:val="Heading1"/>
        <w:pageBreakBefore/>
      </w:pPr>
      <w:r>
        <w:rPr>
          <w:color w:val="000000"/>
        </w:rPr>
        <w:t>9. E01 — Node health, battery and observation coverage</w:t>
      </w:r>
      <w:bookmarkEnd w:id="22"/>
    </w:p>
    <w:p>
      <w:r>
        <w:rPr>
          <w:b/>
        </w:rPr>
        <w:t xml:space="preserve">Meaning. </w:t>
      </w:r>
      <w:r>
        <w:t>Health telemetry tells whether the device and observation path can be trusted. It must not be mixed with resident activity. A responsive MCU can still have a disconnected or poorly aimed sensor.</w:t>
      </w:r>
    </w:p>
    <w:p>
      <w:r>
        <w:rPr>
          <w:b/>
        </w:rPr>
        <w:t xml:space="preserve">Worked example. </w:t>
      </w:r>
      <w:r>
        <w:t>NODE-B1 sends heartbeats but its PIR wire is disconnected. The future fault/status model must be able to show sensor unavailable while radio connectivity remains good.</w:t>
      </w:r>
    </w:p>
    <w:p>
      <w:r>
        <w:rPr>
          <w:b/>
        </w:rPr>
        <w:t xml:space="preserve">Execution and ownership. </w:t>
      </w:r>
      <w:r>
        <w:t>N03 classifies calibrated voltage; N02 sends contact information; H04 tracks required sources and leases; B08/A02 report independent freshness and faults. A production record must include the broader version/reset/config fields from the SRD.</w:t>
      </w:r>
    </w:p>
    <w:p>
      <w:r>
        <w:rPr>
          <w:b/>
        </w:rPr>
        <w:t xml:space="preserve">Reference implementation boundary. </w:t>
      </w:r>
      <w:r>
        <w:t>The host default is a 60-second heartbeat configuration and a 190-second hub lease. Earlier 15/35-minute deployment values were different trial proposals. Do not mix them. Coverage currently checks contact/fault, not a complete battery and historical-interval policy.</w:t>
      </w:r>
    </w:p>
    <w:p>
      <w:r>
        <w:rPr>
          <w:b/>
        </w:rPr>
        <w:t xml:space="preserve">Acceptance experiment. </w:t>
      </w:r>
      <w:r>
        <w:t>Test never-seen, fresh, expired, explicit sensor fault and uncalibrated voltage. Measure battery impact and packet loss before freezing heartbeat intervals.</w:t>
      </w:r>
    </w:p>
    <w:p>
      <w:r>
        <w:rPr>
          <w:b/>
        </w:rPr>
        <w:t xml:space="preserve">Participants and traceability. </w:t>
      </w:r>
      <w:r>
        <w:t>N03, N02, H04, B08, A02. Source paths and test references are in the traceability register. See diagrams/sequences/png and diagrams/sequences/uml for the corresponding E01 flow.</w:t>
      </w:r>
    </w:p>
    <w:p>
      <w:pPr>
        <w:pStyle w:val="Micro"/>
      </w:pPr>
      <w:r>
        <w:t>MODULES  N03, N02, H04, B08, A02  •  File responsibilities: Appendix A</w:t>
      </w:r>
    </w:p>
    <w:p>
      <w:pPr>
        <w:pStyle w:val="SpecBody"/>
      </w:pPr>
      <w:r>
        <w:rPr>
          <w:b/>
        </w:rPr>
        <w:t xml:space="preserve">Meaning and scope  </w:t>
      </w:r>
      <w:r>
        <w:t>Reports whether the sensing path is recently reachable and whether there were gaps. A heartbeat confirms a running device/radio path, not that a PIR lens or reed mounting is correct.</w:t>
      </w:r>
    </w:p>
    <w:p>
      <w:pPr>
        <w:pStyle w:val="SpecBody"/>
      </w:pPr>
      <w:r>
        <w:rPr>
          <w:rFonts w:ascii="Calibri" w:hAnsi="Calibri"/>
          <w:b/>
          <w:color w:val="1F4D78"/>
          <w:sz w:val="22"/>
        </w:rPr>
        <w:t xml:space="preserve">P0 requirement  </w:t>
      </w:r>
      <w:r>
        <w:rPr>
          <w:rFonts w:ascii="Calibri" w:hAnsi="Calibri"/>
          <w:sz w:val="22"/>
        </w:rPr>
        <w:t>Track per-node heartbeat age, firmware, reset reason, battery voltage, sensor availability and applied config. Separately track hub power source when measurable, hub last seen and internet/cloud reachability. Start with a 60-second node heartbeat and a 190-second lease (three intervals plus 10 seconds tolerance). Show low battery, device offline, sensor unavailable, hub offline and internet unavailable separately from morning evidence. Treat thresholds as test defaults.</w:t>
      </w:r>
    </w:p>
    <w:p>
      <w:pPr>
        <w:pStyle w:val="SpecBody"/>
      </w:pPr>
      <w:r>
        <w:rPr>
          <w:b/>
        </w:rPr>
        <w:t xml:space="preserve">Corresponding hardware  </w:t>
      </w:r>
      <w:r>
        <w:t>Battery ADC divider with suitable range, calibration and low leakage; optional load switch on the divider. Charge-status pins only if the selected charger exposes verified signals. A periodic physical walk/door test remains necessary.</w:t>
      </w:r>
    </w:p>
    <w:p>
      <w:pPr>
        <w:pStyle w:val="SpecBody"/>
      </w:pPr>
      <w:r>
        <w:rPr>
          <w:b/>
        </w:rPr>
        <w:t xml:space="preserve">Detailed software design  </w:t>
      </w:r>
      <w:r>
        <w:t>N03 battery.cpp reports millivolts and sample/load context, not an uncalibrated percentage. H04 health.cpp maintains per-node leases and persists health transitions. coverage.cpp builds conservative intervals from installation, leases, known gaps and data-loss flags. Lease expiry invalidates coverage retrospectively from last confirmed contact for absence evaluation. A radio event refreshes reachability but does not automatically clear a known sensor fault.</w:t>
      </w:r>
    </w:p>
    <w:p>
      <w:pPr>
        <w:pStyle w:val="SpecBody"/>
      </w:pPr>
      <w:r>
        <w:rPr>
          <w:b/>
        </w:rPr>
        <w:t xml:space="preserve">Communication flow  </w:t>
      </w:r>
      <w:r>
        <w:t>Node heartbeat/status → hub health table → coalesced cloud status changes; hub heartbeat separately supports cloud reachability. Low-battery notification is deduplicated with hysteresis and a recovery threshold tied to measured cell behavior.</w:t>
      </w:r>
    </w:p>
    <w:p>
      <w:pPr>
        <w:pStyle w:val="SpecBody"/>
      </w:pPr>
      <w:r>
        <w:rPr>
          <w:b/>
        </w:rPr>
        <w:t xml:space="preserve">Failure and edge handling  </w:t>
      </w:r>
      <w:r>
        <w:t>Unknown battery chemistry/model produces “voltage only; threshold unvalidated”. Voltage sag, cold conditions and regulator cutoff can shorten runtime. Repeated boot loops generate one ongoing service incident. A node removed halfway through the morning creates incomplete coverage even if a late packet restores current health.</w:t>
      </w:r>
    </w:p>
    <w:p>
      <w:pPr>
        <w:pStyle w:val="SpecBody"/>
      </w:pPr>
      <w:r>
        <w:rPr>
          <w:rFonts w:ascii="Calibri" w:hAnsi="Calibri"/>
          <w:b/>
          <w:color w:val="1F4D78"/>
          <w:sz w:val="22"/>
        </w:rPr>
        <w:t xml:space="preserve">Exit criteria / tests  </w:t>
      </w:r>
      <w:r>
        <w:rPr>
          <w:rFonts w:ascii="Calibri" w:hAnsi="Calibri"/>
          <w:sz w:val="22"/>
        </w:rPr>
        <w:t>E01-T1: remove a node battery; lease expires by 190 seconds plus 2-second evaluation tolerance. E01-T2: restore power; current status recovers while the historical gap remains. E01-T3: calibrated readings are within the chosen hardware tolerance, proposed ±100 mV. E01-T4: loss of hub/cloud connectivity renders Home status unavailable without rewriting activity as missing. E01-T5: the dashboard names the affected device/source and last-seen time.</w:t>
      </w:r>
    </w:p>
    <w:p>
      <w:pPr>
        <w:pStyle w:val="SpecBody"/>
      </w:pPr>
      <w:r>
        <w:rPr>
          <w:b/>
        </w:rPr>
        <w:t xml:space="preserve">Further enhancement  </w:t>
      </w:r>
      <w:r>
        <w:t>Fuel gauge, supervised sensor wiring, drift detection and measured lifetime forecasting; no battery-life claim based only on chip sleep current.</w:t>
      </w:r>
    </w:p>
    <w:p>
      <w:bookmarkStart w:id="23" w:name="E02"/>
      <w:pPr>
        <w:pStyle w:val="Heading1"/>
        <w:pageBreakBefore/>
      </w:pPr>
      <w:r>
        <w:rPr>
          <w:color w:val="000000"/>
        </w:rPr>
        <w:t>9. E02 — Reliable event transport and duplicate handling</w:t>
      </w:r>
      <w:bookmarkEnd w:id="23"/>
    </w:p>
    <w:p>
      <w:r>
        <w:rPr>
          <w:b/>
        </w:rPr>
        <w:t xml:space="preserve">Meaning. </w:t>
      </w:r>
      <w:r>
        <w:t>Reliable transport means retries do not create new business events and a sender does not delete evidence merely because a radio packet was received. Application acknowledgement and transport success are different layers.</w:t>
      </w:r>
    </w:p>
    <w:p>
      <w:r>
        <w:rPr>
          <w:b/>
        </w:rPr>
        <w:t xml:space="preserve">Worked example. </w:t>
      </w:r>
      <w:r>
        <w:t>The hub stores an event but its ACK is lost. The node retries the same source/session/sequence. The hub recognises the event and returns the appropriate acknowledgement without creating a second backend incident.</w:t>
      </w:r>
    </w:p>
    <w:p>
      <w:r>
        <w:rPr>
          <w:b/>
        </w:rPr>
        <w:t xml:space="preserve">Execution and ownership. </w:t>
      </w:r>
      <w:r>
        <w:t>N05 retains before N02 transmission. H01 queues the event; H02 commits before a DURABLE acknowledgement. H08 retains it for the backend application commit. S01 carries identity and version throughout the path.</w:t>
      </w:r>
    </w:p>
    <w:p>
      <w:r>
        <w:rPr>
          <w:b/>
        </w:rPr>
        <w:t xml:space="preserve">Reference implementation boundary. </w:t>
      </w:r>
      <w:r>
        <w:t>In-memory retention and ACK semantics exist; encrypted radio, authenticated sessions across reboot and real durable flash do not. HubRuntime currently reapplies duplicates to the reducer, so effect-level deduplication is an explicit gap.</w:t>
      </w:r>
    </w:p>
    <w:p>
      <w:r>
        <w:rPr>
          <w:b/>
        </w:rPr>
        <w:t xml:space="preserve">Acceptance experiment. </w:t>
      </w:r>
      <w:r>
        <w:t>Inject lost packet, lost ACK, duplicate packet, reordered packet, peer mismatch and receiver-full conditions. Examine both event counts and side effects such as evidence IDs and notification jobs.</w:t>
      </w:r>
    </w:p>
    <w:p>
      <w:r>
        <w:rPr>
          <w:b/>
        </w:rPr>
        <w:t xml:space="preserve">Participants and traceability. </w:t>
      </w:r>
      <w:r>
        <w:t>N02, N05, H01, H02, H08, B03, S01. Source paths and test references are in the traceability register. See diagrams/sequences/png and diagrams/sequences/uml for the corresponding E02 flow.</w:t>
      </w:r>
    </w:p>
    <w:p>
      <w:pPr>
        <w:pStyle w:val="Micro"/>
      </w:pPr>
      <w:r>
        <w:t>MODULES  N02, N05, H01, H02, H08, B03, S01  •  File responsibilities: Appendix A</w:t>
      </w:r>
    </w:p>
    <w:p>
      <w:pPr>
        <w:pStyle w:val="SpecBody"/>
      </w:pPr>
      <w:r>
        <w:rPr>
          <w:b/>
        </w:rPr>
        <w:t xml:space="preserve">Meaning and scope  </w:t>
      </w:r>
      <w:r>
        <w:t>Makes retries safe and distinguishes radio receipt from durable application receipt. The design accepts at-least-once delivery and implements idempotent processing; it does not claim exactly-once networking.</w:t>
      </w:r>
    </w:p>
    <w:p>
      <w:pPr>
        <w:pStyle w:val="SpecBody"/>
      </w:pPr>
      <w:r>
        <w:rPr>
          <w:b/>
        </w:rPr>
        <w:t xml:space="preserve">P0 requirement  </w:t>
      </w:r>
      <w:r>
        <w:t>Use unique source/session/sequence IDs, encrypted unicast, bounded retry and explicit application ACK classes. Persist business events before sending a durable ACK. Deduplicate radio events, cloud events, incidents and commands independently. Heartbeat ACK may be volatile and shall be labeled as such.</w:t>
      </w:r>
    </w:p>
    <w:p>
      <w:pPr>
        <w:pStyle w:val="SpecBody"/>
      </w:pPr>
      <w:r>
        <w:rPr>
          <w:rFonts w:ascii="Calibri" w:hAnsi="Calibri"/>
          <w:b/>
          <w:color w:val="1F4D78"/>
          <w:sz w:val="22"/>
        </w:rPr>
        <w:t xml:space="preserve">Corresponding hardware  </w:t>
      </w:r>
      <w:r>
        <w:rPr>
          <w:rFonts w:ascii="Calibri" w:hAnsi="Calibri"/>
          <w:sz w:val="22"/>
        </w:rPr>
        <w:t>Four ESP32-C3 nodes and the ESP32 DevKit V1 hub share the active 2.4-GHz channel. No additional gateway radio is required for the four-node P0. The exact ESP32-WROOM-32/DevKit radio and supply behavior must be measured with the purchased board. Chip-supported peers are not an unlimited household expansion path [S1].</w:t>
      </w:r>
    </w:p>
    <w:p>
      <w:pPr>
        <w:pStyle w:val="SpecBody"/>
      </w:pPr>
      <w:r>
        <w:rPr>
          <w:b/>
        </w:rPr>
        <w:t xml:space="preserve">Detailed software design  </w:t>
      </w:r>
      <w:r>
        <w:t>N02 node_radio.cpp transmits compact CBOR capped at 200 bytes; S01 node.cddl defines the schema. Initial retries: 0.2 s, 0.6 s, 1.8 s with jitter, then queue and retry at scheduled wake. H01 only copies callback data into bounded queues. H02 validates and journals business events before DURABLE ACK, keyed by node/session/sequence. H08 keeps cloud outbox entries until B03 confirms database commit, not merely MQTT PUBACK.</w:t>
      </w:r>
    </w:p>
    <w:p>
      <w:pPr>
        <w:pStyle w:val="SpecBody"/>
      </w:pPr>
      <w:r>
        <w:rPr>
          <w:b/>
        </w:rPr>
        <w:t xml:space="preserve">Communication flow  </w:t>
      </w:r>
      <w:r>
        <w:t>Radio MAC callback → application ACK: DURABLE retires persisted business events, RECEIVED is for volatile health, and DISCARDED_POLICY retires privacy-rejected events without storage. Hub MQTT QoS 1 → backend transaction → commit ACK. Configuration commands include command ID and applied version; retries reuse the ID [S1, S5].</w:t>
      </w:r>
    </w:p>
    <w:p>
      <w:pPr>
        <w:pStyle w:val="SpecBody"/>
      </w:pPr>
      <w:r>
        <w:rPr>
          <w:b/>
        </w:rPr>
        <w:t xml:space="preserve">Failure and edge handling  </w:t>
      </w:r>
      <w:r>
        <w:t>Unknown sessions cannot reset replay protection without authenticated boot registration. Channel search is bounded and backoffs are battery-budgeted. Queue overflow emits a gap marker and degrades coverage; never silently discard unacknowledged contact requests. Sequence/session details are specified in the protocol chapter.</w:t>
      </w:r>
    </w:p>
    <w:p>
      <w:pPr>
        <w:pStyle w:val="SpecBody"/>
      </w:pPr>
      <w:r>
        <w:rPr>
          <w:b/>
        </w:rPr>
        <w:t xml:space="preserve">Exit criteria / tests  </w:t>
      </w:r>
      <w:r>
        <w:t>E02-T1: inject 30% packet loss and duplicates; DURABLE-acknowledged business events are stored once. E02-T2: crash hub before durable commit; node does not retire the event. E02-T3: kill backend after commit before ACK; replay adds no second row or notification intent.</w:t>
      </w:r>
    </w:p>
    <w:p>
      <w:pPr>
        <w:pStyle w:val="SpecBody"/>
      </w:pPr>
      <w:r>
        <w:rPr>
          <w:b/>
        </w:rPr>
        <w:t xml:space="preserve">Further enhancement  </w:t>
      </w:r>
      <w:r>
        <w:t>Alternative Thread/BLE transports behind the same event contract; transport-specific delivery evidence remains explicit.</w:t>
      </w:r>
    </w:p>
    <w:p>
      <w:bookmarkStart w:id="24" w:name="E03"/>
      <w:pPr>
        <w:pStyle w:val="Heading1"/>
        <w:pageBreakBefore/>
      </w:pPr>
      <w:r>
        <w:rPr>
          <w:color w:val="000000"/>
        </w:rPr>
        <w:t>9. E03 — Local operation during internet failure</w:t>
      </w:r>
      <w:bookmarkEnd w:id="24"/>
    </w:p>
    <w:p>
      <w:r>
        <w:rPr>
          <w:b/>
        </w:rPr>
        <w:t xml:space="preserve">Meaning. </w:t>
      </w:r>
      <w:r>
        <w:t>Offline operation means the home can continue supported local work when the wide-area internet is unavailable. It does not mean a remote caregiver can receive a new alert without any working outbound connection.</w:t>
      </w:r>
    </w:p>
    <w:p>
      <w:r>
        <w:rPr>
          <w:b/>
        </w:rPr>
        <w:t xml:space="preserve">Worked example. </w:t>
      </w:r>
      <w:r>
        <w:t>The internet cable fails while the router and hub still have power. Local sensor events can continue in the target design; remote notifications are queued. If the router itself loses power, radio/channel recovery needs separate testing.</w:t>
      </w:r>
    </w:p>
    <w:p>
      <w:r>
        <w:rPr>
          <w:b/>
        </w:rPr>
        <w:t xml:space="preserve">Execution and ownership. </w:t>
      </w:r>
      <w:r>
        <w:t>H02 retains records, H03/H04 gate valid local decisions, H05/H06 handle routine and resident actions, and H08 replays after reconnection. Replayed events retain original occurrence time as well as new reception time.</w:t>
      </w:r>
    </w:p>
    <w:p>
      <w:r>
        <w:rPr>
          <w:b/>
        </w:rPr>
        <w:t xml:space="preserve">Reference implementation boundary. </w:t>
      </w:r>
      <w:r>
        <w:t>Host components can simulate disconnection and replay. Real flash, ESP-NOW/Wi-Fi coexistence, channel changes and local UI integration remain open. The home router needs its own power backup for remote access during mains loss.</w:t>
      </w:r>
    </w:p>
    <w:p>
      <w:r>
        <w:rPr>
          <w:b/>
        </w:rPr>
        <w:t xml:space="preserve">Acceptance experiment. </w:t>
      </w:r>
      <w:r>
        <w:t>Separate WAN cut, router off, hub reboot and node off. Check the correct status for each, and verify replay without erasing the observation gap.</w:t>
      </w:r>
    </w:p>
    <w:p>
      <w:r>
        <w:rPr>
          <w:b/>
        </w:rPr>
        <w:t xml:space="preserve">Participants and traceability. </w:t>
      </w:r>
      <w:r>
        <w:t>H03, H04, H05, H06, H02, H08. Source paths and test references are in the traceability register. See diagrams/sequences/png and diagrams/sequences/uml for the corresponding E03 flow.</w:t>
      </w:r>
    </w:p>
    <w:p>
      <w:pPr>
        <w:pStyle w:val="Micro"/>
      </w:pPr>
      <w:r>
        <w:t>MODULES  H03, H04, H05, H06, H02, H08  •  File responsibilities: Appendix A</w:t>
      </w:r>
    </w:p>
    <w:p>
      <w:pPr>
        <w:pStyle w:val="SpecBody"/>
      </w:pPr>
      <w:r>
        <w:rPr>
          <w:b/>
        </w:rPr>
        <w:t xml:space="preserve">Meaning and scope  </w:t>
      </w:r>
      <w:r>
        <w:t>Morning rules, buttons and local feedback do not require a cloud round trip. Remote notification still requires a functioning end-to-end network path.</w:t>
      </w:r>
    </w:p>
    <w:p>
      <w:pPr>
        <w:pStyle w:val="SpecBody"/>
      </w:pPr>
      <w:r>
        <w:rPr>
          <w:rFonts w:ascii="Calibri" w:hAnsi="Calibri"/>
          <w:b/>
          <w:color w:val="1F4D78"/>
          <w:sz w:val="22"/>
        </w:rPr>
        <w:t xml:space="preserve">P0 requirement  </w:t>
      </w:r>
      <w:r>
        <w:rPr>
          <w:rFonts w:ascii="Calibri" w:hAnsi="Calibri"/>
          <w:sz w:val="22"/>
        </w:rPr>
        <w:t>Continue local sensing, configured routines and user actions while the hub is powered and time/configuration remain valid. Preserve pending business events for at least the designed 72-hour offline budget. Display remote connectivity unavailable without obscuring local function. On reconnect, upload queued records idempotently with original event times and visible delayed/backfilled status; never rewrite delayed activity as live activity.</w:t>
      </w:r>
    </w:p>
    <w:p>
      <w:pPr>
        <w:pStyle w:val="SpecBody"/>
      </w:pPr>
      <w:r>
        <w:rPr>
          <w:b/>
        </w:rPr>
        <w:t xml:space="preserve">Corresponding hardware  </w:t>
      </w:r>
      <w:r>
        <w:t>Powered hub; battery backup is proposed for power cuts. The home router/ONT also needs power for remote service. There is no P0 mobile-data fallback. Optional RTC improves reboot continuity but must be separately validated.</w:t>
      </w:r>
    </w:p>
    <w:p>
      <w:pPr>
        <w:pStyle w:val="SpecBody"/>
      </w:pPr>
      <w:r>
        <w:rPr>
          <w:b/>
        </w:rPr>
        <w:t xml:space="preserve">Detailed software design  </w:t>
      </w:r>
      <w:r>
        <w:t>H05 owns rule execution, with no HTTP/MQTT calls inside S02. H02 outbox.cpp persists cloud-bound events and incident updates. H08 sync.cpp reconnects with exponential backoff and jitter, prioritizes recent contact requests and service state, then replays history. Original occurred_at and uncertainty are immutable; received_at is appended separately. H06 uses “saved locally” vs “remote service accepted” indications.</w:t>
      </w:r>
    </w:p>
    <w:p>
      <w:pPr>
        <w:pStyle w:val="SpecBody"/>
      </w:pPr>
      <w:r>
        <w:rPr>
          <w:b/>
        </w:rPr>
        <w:t xml:space="preserve">Communication flow  </w:t>
      </w:r>
      <w:r>
        <w:t>Nodes continue ESP-NOW → hub during WAN loss. MQTT reconnect resumes application-level reconciliation by event ID; app sees the backend’s independent hub-unreachable status. A retained MQTT online flag alone is insufficient to mark the home current.</w:t>
      </w:r>
    </w:p>
    <w:p>
      <w:pPr>
        <w:pStyle w:val="SpecBody"/>
      </w:pPr>
      <w:r>
        <w:rPr>
          <w:b/>
        </w:rPr>
        <w:t xml:space="preserve">Failure and edge handling  </w:t>
      </w:r>
      <w:r>
        <w:t>Power loss stops the hub unless backup works. After a reboot without trusted wall time, local manual actions work but absence inference is suspended. If storage approaches capacity, compact dispensable health samples first, reserve incident capacity and emit data-loss status if business history must be curtailed.</w:t>
      </w:r>
    </w:p>
    <w:p>
      <w:pPr>
        <w:pStyle w:val="SpecBody"/>
      </w:pPr>
      <w:r>
        <w:rPr>
          <w:rFonts w:ascii="Calibri" w:hAnsi="Calibri"/>
          <w:b/>
          <w:color w:val="1F4D78"/>
          <w:sz w:val="22"/>
        </w:rPr>
        <w:t xml:space="preserve">Exit criteria / tests  </w:t>
      </w:r>
      <w:r>
        <w:rPr>
          <w:rFonts w:ascii="Calibri" w:hAnsi="Calibri"/>
          <w:sz w:val="22"/>
        </w:rPr>
        <w:t>E03-T1: isolate WAN for 72 hours at the design workload; local rules and persistence stay functional and sync is duplicate-free. E03-T2: expired time horizon suspends absence claims. E03-T3: reconnect retains original event ages, labels delayed contact requests and marks backfilled timeline entries. E03-T4: no queued upload changes an already communicated coverage gap into a false continuous-coverage claim.</w:t>
      </w:r>
    </w:p>
    <w:p>
      <w:pPr>
        <w:pStyle w:val="SpecBody"/>
      </w:pPr>
      <w:r>
        <w:rPr>
          <w:b/>
        </w:rPr>
        <w:t xml:space="preserve">Further enhancement  </w:t>
      </w:r>
      <w:r>
        <w:t>Router UPS bundle, independently powered cellular fallback and longer local storage only after cost, maintenance and coverage tests.</w:t>
      </w:r>
    </w:p>
    <w:p>
      <w:bookmarkStart w:id="25" w:name="E04"/>
      <w:pPr>
        <w:pStyle w:val="Heading1"/>
        <w:pageBreakBefore/>
      </w:pPr>
      <w:r>
        <w:rPr>
          <w:color w:val="000000"/>
        </w:rPr>
        <w:t>9. E04 — Hub/cloud/app connectivity and freshness</w:t>
      </w:r>
      <w:bookmarkEnd w:id="25"/>
    </w:p>
    <w:p>
      <w:r>
        <w:rPr>
          <w:b/>
        </w:rPr>
        <w:t xml:space="preserve">Meaning. </w:t>
      </w:r>
      <w:r>
        <w:t>Freshness is about when a fact was last observed at a specific boundary. Node-to-hub, hub-to-server, server-to-provider and phone-to-server each need their own status.</w:t>
      </w:r>
    </w:p>
    <w:p>
      <w:r>
        <w:rPr>
          <w:b/>
        </w:rPr>
        <w:t xml:space="preserve">Worked example. </w:t>
      </w:r>
      <w:r>
        <w:t>The phone is offline but the hub and server are communicating. A cached dashboard should say its view is stale, rather than label the household sensor network offline.</w:t>
      </w:r>
    </w:p>
    <w:p>
      <w:r>
        <w:rPr>
          <w:b/>
        </w:rPr>
        <w:t xml:space="preserve">Execution and ownership. </w:t>
      </w:r>
      <w:r>
        <w:t>H08 tracks its link, B08 evaluates server-receipt leases, B07 includes timestamps and A05 marks cached views. Provider state is supplied by B05 independently.</w:t>
      </w:r>
    </w:p>
    <w:p>
      <w:r>
        <w:rPr>
          <w:b/>
        </w:rPr>
        <w:t xml:space="preserve">Reference implementation boundary. </w:t>
      </w:r>
      <w:r>
        <w:t>Independent host representations exist. Production heartbeats, authenticated timestamps, streaming refresh and durable stale-state recovery require integration.</w:t>
      </w:r>
    </w:p>
    <w:p>
      <w:r>
        <w:rPr>
          <w:b/>
        </w:rPr>
        <w:t xml:space="preserve">Acceptance experiment. </w:t>
      </w:r>
      <w:r>
        <w:t>Break one boundary at a time and verify that the other statuses remain correct. Confirm that broker retained online state is not used as the sole liveness proof.</w:t>
      </w:r>
    </w:p>
    <w:p>
      <w:r>
        <w:rPr>
          <w:b/>
        </w:rPr>
        <w:t xml:space="preserve">Participants and traceability. </w:t>
      </w:r>
      <w:r>
        <w:t>H08, B08, B07, A05, A02. Source paths and test references are in the traceability register. See diagrams/sequences/png and diagrams/sequences/uml for the corresponding E04 flow.</w:t>
      </w:r>
    </w:p>
    <w:p>
      <w:pPr>
        <w:pStyle w:val="Micro"/>
      </w:pPr>
      <w:r>
        <w:t>MODULES  H08, B08, B07, A05, A02  •  File responsibilities: Appendix A</w:t>
      </w:r>
    </w:p>
    <w:p>
      <w:pPr>
        <w:pStyle w:val="SpecBody"/>
      </w:pPr>
      <w:r>
        <w:rPr>
          <w:b/>
        </w:rPr>
        <w:t xml:space="preserve">Meaning and scope  </w:t>
      </w:r>
      <w:r>
        <w:t>Explains which link is unavailable. “Hub unreachable” does not distinguish a power cut, broken router, internet failure or hub fault without additional evidence.</w:t>
      </w:r>
    </w:p>
    <w:p>
      <w:pPr>
        <w:pStyle w:val="SpecBody"/>
      </w:pPr>
      <w:r>
        <w:rPr>
          <w:b/>
        </w:rPr>
        <w:t xml:space="preserve">P0 requirement  </w:t>
      </w:r>
      <w:r>
        <w:t>Track node↔hub, hub↔backend, notification route and phone↔backend separately. Emit a service incident after a proposed 190-second hub heartbeat lease expires, with a small scheduler tolerance. Display last confirmed hub time and app fetch time. Never convert cloud reachability into a sensor-health claim.</w:t>
      </w:r>
    </w:p>
    <w:p>
      <w:pPr>
        <w:pStyle w:val="SpecBody"/>
      </w:pPr>
      <w:r>
        <w:rPr>
          <w:b/>
        </w:rPr>
        <w:t xml:space="preserve">Corresponding hardware  </w:t>
      </w:r>
      <w:r>
        <w:t>Existing Wi-Fi and internet connection. Supply-presence GPIO can distinguish USB removal locally only if the chosen power circuit exposes a safe monitored signal; this information cannot be transmitted while all links are down.</w:t>
      </w:r>
    </w:p>
    <w:p>
      <w:pPr>
        <w:pStyle w:val="SpecBody"/>
      </w:pPr>
      <w:r>
        <w:rPr>
          <w:b/>
        </w:rPr>
        <w:t xml:space="preserve">Detailed software design  </w:t>
      </w:r>
      <w:r>
        <w:t>H08 publishes a heartbeat every 60 seconds and connection state on change. B08 health.py evaluates a server-receipt lease, assisted by broker Last Will but not dependent on it. B07 projects link-specific status. A05 api.ts distinguishes offline, timeout, authentication failure and service error. A02 Health.tsx explains likely causes without asserting an unobserved cause.</w:t>
      </w:r>
    </w:p>
    <w:p>
      <w:pPr>
        <w:pStyle w:val="SpecBody"/>
      </w:pPr>
      <w:r>
        <w:rPr>
          <w:b/>
        </w:rPr>
        <w:t xml:space="preserve">Communication flow  </w:t>
      </w:r>
      <w:r>
        <w:t>MQTT heartbeat/Last Will → lease worker → service incident/read model → caregiver push/SSE. App foreground polling refreshes status; background push is advisory and may be delayed by the platform.</w:t>
      </w:r>
    </w:p>
    <w:p>
      <w:pPr>
        <w:pStyle w:val="SpecBody"/>
      </w:pPr>
      <w:r>
        <w:rPr>
          <w:b/>
        </w:rPr>
        <w:t xml:space="preserve">Failure and edge handling  </w:t>
      </w:r>
      <w:r>
        <w:t>Backend/broker outage makes the fleet’s own monitoring unavailable; external uptime checks must alert the operator through an independent route. On reconnect, close the current reachability fault only after authenticated traffic, preserve its historical interval and do not erase unanswered routine/contact incidents.</w:t>
      </w:r>
    </w:p>
    <w:p>
      <w:pPr>
        <w:pStyle w:val="SpecBody"/>
      </w:pPr>
      <w:r>
        <w:rPr>
          <w:b/>
        </w:rPr>
        <w:t xml:space="preserve">Exit criteria / tests  </w:t>
      </w:r>
      <w:r>
        <w:t>E04-T1: unplug router, hub and phone separately; each UI state reflects only known links. E04-T2: stale online retained status cannot override an expired lease. E04-T3: a fresh phone fetch of old hub data still shows “hub unreachable”.</w:t>
      </w:r>
    </w:p>
    <w:p>
      <w:pPr>
        <w:pStyle w:val="SpecBody"/>
      </w:pPr>
      <w:r>
        <w:rPr>
          <w:b/>
        </w:rPr>
        <w:t xml:space="preserve">Further enhancement  </w:t>
      </w:r>
      <w:r>
        <w:t>Cellular signal metrics, router power telemetry and improved outage cause classification based on actual sensors, not heuristics presented as fact.</w:t>
      </w:r>
    </w:p>
    <w:p>
      <w:bookmarkStart w:id="26" w:name="E05"/>
      <w:pPr>
        <w:pStyle w:val="Heading1"/>
        <w:pageBreakBefore/>
      </w:pPr>
      <w:r>
        <w:rPr>
          <w:color w:val="000000"/>
        </w:rPr>
        <w:t>9. E05 — Persistence, recovery and bounded storage</w:t>
      </w:r>
      <w:bookmarkEnd w:id="26"/>
    </w:p>
    <w:p>
      <w:r>
        <w:rPr>
          <w:b/>
        </w:rPr>
        <w:t xml:space="preserve">Meaning. </w:t>
      </w:r>
      <w:r>
        <w:t>Persistence must survive the failure it claims to tolerate. A C++ deque or Python dictionary is useful for testing order and identity, but loses all content when the process stops.</w:t>
      </w:r>
    </w:p>
    <w:p>
      <w:r>
        <w:rPr>
          <w:b/>
        </w:rPr>
        <w:t xml:space="preserve">Worked example. </w:t>
      </w:r>
      <w:r>
        <w:t>Power fails after flash data bytes are written but before a commit marker. Recovery must ignore the incomplete tail, preserve earlier records and avoid acknowledging an event that was never durably committed.</w:t>
      </w:r>
    </w:p>
    <w:p>
      <w:r>
        <w:rPr>
          <w:b/>
        </w:rPr>
        <w:t xml:space="preserve">Execution and ownership. </w:t>
      </w:r>
      <w:r>
        <w:t>Target N05/H02 use a bounded journal with checksums and commit markers. The backend needs unique keys and transactions covering event/incident/outbox effects. Compaction may reclaim only data no longer needed by replay or the active window.</w:t>
      </w:r>
    </w:p>
    <w:p>
      <w:r>
        <w:rPr>
          <w:b/>
        </w:rPr>
        <w:t xml:space="preserve">Reference implementation boundary. </w:t>
      </w:r>
      <w:r>
        <w:t>Reference stores are in memory. HubJournal marks cloud acknowledgements but does not reclaim records; NodeRuntime can leave a stored item stranded if radio enqueue fails. A refill/recovery pump, flash adapter and bounded evidence collection are pending.</w:t>
      </w:r>
    </w:p>
    <w:p>
      <w:r>
        <w:rPr>
          <w:b/>
        </w:rPr>
        <w:t xml:space="preserve">Acceptance experiment. </w:t>
      </w:r>
      <w:r>
        <w:t>Test full capacity, interruption at each commit step, reboot before ACK, compaction and offline retention exhaustion. Require an explicit gap/fault outcome when evidence cannot be retained.</w:t>
      </w:r>
    </w:p>
    <w:p>
      <w:r>
        <w:rPr>
          <w:b/>
        </w:rPr>
        <w:t xml:space="preserve">Participants and traceability. </w:t>
      </w:r>
      <w:r>
        <w:t>N05, H02, B03, B04, B05, B08. Source paths and test references are in the traceability register. See diagrams/sequences/png and diagrams/sequences/uml for the corresponding E05 flow.</w:t>
      </w:r>
    </w:p>
    <w:p>
      <w:pPr>
        <w:pStyle w:val="Micro"/>
      </w:pPr>
      <w:r>
        <w:t>MODULES  N05, H02, B03, B04, B05, B08  •  File responsibilities: Appendix A</w:t>
      </w:r>
    </w:p>
    <w:p>
      <w:pPr>
        <w:pStyle w:val="SpecBody"/>
      </w:pPr>
      <w:r>
        <w:rPr>
          <w:b/>
        </w:rPr>
        <w:t xml:space="preserve">Meaning and scope  </w:t>
      </w:r>
      <w:r>
        <w:t>Prevents a reboot from forgetting an incident, treating an old event as new or silently losing the reason behind an alert.</w:t>
      </w:r>
    </w:p>
    <w:p>
      <w:pPr>
        <w:pStyle w:val="SpecBody"/>
      </w:pPr>
      <w:r>
        <w:rPr>
          <w:b/>
        </w:rPr>
        <w:t xml:space="preserve">P0 requirement  </w:t>
      </w:r>
      <w:r>
        <w:t>Durably store configuration, consent/mode version, business events, active window state and unsent incident intents. Use bounded storage with explicit overflow policy. Recover from an interrupted write without treating corrupted data as valid. Preserve idempotency state for at least the maximum replay period.</w:t>
      </w:r>
    </w:p>
    <w:p>
      <w:pPr>
        <w:pStyle w:val="SpecBody"/>
      </w:pPr>
      <w:r>
        <w:rPr>
          <w:rFonts w:ascii="Calibri" w:hAnsi="Calibri"/>
          <w:b/>
          <w:color w:val="1F4D78"/>
          <w:sz w:val="22"/>
        </w:rPr>
        <w:t xml:space="preserve">Corresponding hardware  </w:t>
      </w:r>
      <w:r>
        <w:rPr>
          <w:rFonts w:ascii="Calibri" w:hAnsi="Calibri"/>
          <w:sz w:val="22"/>
        </w:rPr>
        <w:t>Verify the purchased ESP32 DevKit V1 module, onboard flash and partition layout against the compiled hub image and journal budget. ESP32 DevKit/SuperMini flash size, USB bridge, LEDs, regulator and leakage vary by supplier; a listing title is not sufficient evidence.</w:t>
      </w:r>
    </w:p>
    <w:p>
      <w:pPr>
        <w:pStyle w:val="SpecBody"/>
      </w:pPr>
      <w:r>
        <w:rPr>
          <w:b/>
        </w:rPr>
        <w:t xml:space="preserve">Detailed software design  </w:t>
      </w:r>
      <w:r>
        <w:t>H02 journal.cpp uses a dedicated append-only flash ring with record length, version, CRC and commit marker, backed by ESP-IDF partition APIs and crash tests. recovery.cpp scans committed records, reconstructs state and applies periodic checkpoints. NVS holds small configuration/credential metadata, not the high-volume event log [S3]. N05 journals business events; periodic heartbeats remain volatile to reduce wear. Backend events plus outbox intents commit in one PostgreSQL transaction.</w:t>
      </w:r>
    </w:p>
    <w:p>
      <w:pPr>
        <w:pStyle w:val="SpecBody"/>
      </w:pPr>
      <w:r>
        <w:rPr>
          <w:b/>
        </w:rPr>
        <w:t xml:space="preserve">Communication flow  </w:t>
      </w:r>
      <w:r>
        <w:t>A durable local commit precedes radio business ACK. A durable backend commit precedes cloud application ACK. Notification jobs are not committed independently of their incident. Recovery replays through the same reducers as live processing.</w:t>
      </w:r>
    </w:p>
    <w:p>
      <w:pPr>
        <w:pStyle w:val="SpecBody"/>
      </w:pPr>
      <w:r>
        <w:rPr>
          <w:b/>
        </w:rPr>
        <w:t xml:space="preserve">Failure and edge handling  </w:t>
      </w:r>
      <w:r>
        <w:t>At high-water mark, compact acknowledged records and coalesce health samples. Preserve reserved contact/incident slots; if even those cannot be committed, show failure and raise a storage fault rather than success. Full power loss may lose only events not yet durably acknowledged; any uncertain interval is marked incomplete.</w:t>
      </w:r>
    </w:p>
    <w:p>
      <w:pPr>
        <w:pStyle w:val="SpecBody"/>
      </w:pPr>
      <w:r>
        <w:rPr>
          <w:b/>
        </w:rPr>
        <w:t xml:space="preserve">Exit criteria / tests  </w:t>
      </w:r>
      <w:r>
        <w:t>E05-T1: interrupt writes at each record boundary/commit stage; recovery accepts no partial record. E05-T2: 100 scripted power cycles preserve acknowledged events and prevent duplicate incidents. E05-T3: full-disk/flash tests expose data loss and retain actionable fault status.</w:t>
      </w:r>
    </w:p>
    <w:p>
      <w:pPr>
        <w:pStyle w:val="SpecBody"/>
      </w:pPr>
      <w:r>
        <w:rPr>
          <w:b/>
        </w:rPr>
        <w:t xml:space="preserve">Further enhancement  </w:t>
      </w:r>
      <w:r>
        <w:t>External flash, stronger tamper evidence and tuned wear-leveling after measured event rates and endurance analysis.</w:t>
      </w:r>
    </w:p>
    <w:p>
      <w:bookmarkStart w:id="27" w:name="E06"/>
      <w:pPr>
        <w:pStyle w:val="Heading1"/>
        <w:pageBreakBefore/>
      </w:pPr>
      <w:r>
        <w:rPr>
          <w:color w:val="000000"/>
        </w:rPr>
        <w:t>9. E06 — Trusted time and routine boundary handling</w:t>
      </w:r>
      <w:bookmarkEnd w:id="27"/>
    </w:p>
    <w:p>
      <w:r>
        <w:rPr>
          <w:b/>
        </w:rPr>
        <w:t xml:space="preserve">Meaning. </w:t>
      </w:r>
      <w:r>
        <w:t>Monotonic time measures elapsed duration; wall time identifies a local morning. Clock uncertainty expresses how much the timestamp could be wrong. Use the appropriate clock for each decision.</w:t>
      </w:r>
    </w:p>
    <w:p>
      <w:r>
        <w:rPr>
          <w:b/>
        </w:rPr>
        <w:t xml:space="preserve">Worked example. </w:t>
      </w:r>
      <w:r>
        <w:t>A restarted hub has no trusted wall-clock anchor. It can respond to a button but must not infer that the 10:10 absence deadline has safely passed. A model timeout still uses monotonic elapsed milliseconds.</w:t>
      </w:r>
    </w:p>
    <w:p>
      <w:r>
        <w:rPr>
          <w:b/>
        </w:rPr>
        <w:t xml:space="preserve">Execution and ownership. </w:t>
      </w:r>
      <w:r>
        <w:t>H03 estimates a wall-time interval from an anchor and drift assumptions. S02 tests event/window overlap and receives a trusted-clock gate at deadline. H07 owns the configured time zone; the scheduler must construct each local window.</w:t>
      </w:r>
    </w:p>
    <w:p>
      <w:r>
        <w:rPr>
          <w:b/>
        </w:rPr>
        <w:t xml:space="preserve">Reference implementation boundary. </w:t>
      </w:r>
      <w:r>
        <w:t>Host estimates exist, including a 72-hour anchor expiry. Production authenticated time acquisition, reboot checkpoints, timezone conversion and overflow/range validation are pending.</w:t>
      </w:r>
    </w:p>
    <w:p>
      <w:r>
        <w:rPr>
          <w:b/>
        </w:rPr>
        <w:t xml:space="preserve">Acceptance experiment. </w:t>
      </w:r>
      <w:r>
        <w:t>Test missing anchor, stale anchor, clock rollback, uncertainty straddling a boundary and daylight-saving dates for non-India homes. Keep absolute timestamps and elapsed timer tests separate.</w:t>
      </w:r>
    </w:p>
    <w:p>
      <w:r>
        <w:rPr>
          <w:b/>
        </w:rPr>
        <w:t xml:space="preserve">Participants and traceability. </w:t>
      </w:r>
      <w:r>
        <w:t>H03, H07, H05, S01, S02. Source paths and test references are in the traceability register. See diagrams/sequences/png and diagrams/sequences/uml for the corresponding E06 flow.</w:t>
      </w:r>
    </w:p>
    <w:p>
      <w:pPr>
        <w:pStyle w:val="Micro"/>
      </w:pPr>
      <w:r>
        <w:t>MODULES  H03, H07, H05, S01, S02  •  File responsibilities: Appendix A</w:t>
      </w:r>
    </w:p>
    <w:p>
      <w:pPr>
        <w:pStyle w:val="SpecBody"/>
      </w:pPr>
      <w:r>
        <w:rPr>
          <w:b/>
        </w:rPr>
        <w:t xml:space="preserve">Meaning and scope  </w:t>
      </w:r>
      <w:r>
        <w:t>Keeps “when it happened” distinct from “when the server heard about it”. Incorrect time must not produce a confident missed-morning assertion.</w:t>
      </w:r>
    </w:p>
    <w:p>
      <w:pPr>
        <w:pStyle w:val="SpecBody"/>
      </w:pPr>
      <w:r>
        <w:rPr>
          <w:b/>
        </w:rPr>
        <w:t xml:space="preserve">P0 requirement  </w:t>
      </w:r>
      <w:r>
        <w:t>Represent trusted wall time, monotonic elapsed time and uncertainty explicitly. Store occurred_at, hub_received_at and server_received_at separately. Use the home’s IANA timezone, not the caregiver phone timezone. Timers shall survive reboot through persisted deadlines and conservative recovery.</w:t>
      </w:r>
    </w:p>
    <w:p>
      <w:pPr>
        <w:pStyle w:val="SpecBody"/>
      </w:pPr>
      <w:r>
        <w:rPr>
          <w:b/>
        </w:rPr>
        <w:t xml:space="preserve">Corresponding hardware  </w:t>
      </w:r>
      <w:r>
        <w:t>No RTC is mandatory for the bench prototype. Without a validated backed RTC, a cold boot while offline enters TIME_UNTRUSTED. An optional backed RTC can improve availability, not automatically guarantee accurate time.</w:t>
      </w:r>
    </w:p>
    <w:p>
      <w:pPr>
        <w:pStyle w:val="SpecBody"/>
      </w:pPr>
      <w:r>
        <w:rPr>
          <w:b/>
        </w:rPr>
        <w:t xml:space="preserve">Detailed software design  </w:t>
      </w:r>
      <w:r>
        <w:t>H03 clock.cpp obtains a bounded time interval from an authenticated backend time exchange and tracks monotonic drift; unauthenticated SNTP may seed time but cannot alone authorize absence evaluation. H07 stores a 90-day UTC window horizon generated server-side from an IANA zone. H03 maps node events using boot/session identity, monotonic event age and hub anchors; unknown-age events remain uncertain. Proposed absence eligibility requires uncertainty ≤60 seconds and no uncovered timing discontinuity.</w:t>
      </w:r>
    </w:p>
    <w:p>
      <w:pPr>
        <w:pStyle w:val="SpecBody"/>
      </w:pPr>
      <w:r>
        <w:rPr>
          <w:b/>
        </w:rPr>
        <w:t xml:space="preserve">Communication flow  </w:t>
      </w:r>
      <w:r>
        <w:t>Authenticated HTTPS time exchange and versioned boundary configuration → hub; node SESSION_START/TIME_ANCHOR exchange → event-age mapping. TLS bootstrapping uses the signed firmware build-time floor and persisted last-trusted lower bound; time-recovery failures require service attention, not disabled certificate validation.</w:t>
      </w:r>
    </w:p>
    <w:p>
      <w:pPr>
        <w:pStyle w:val="SpecBody"/>
      </w:pPr>
      <w:r>
        <w:rPr>
          <w:b/>
        </w:rPr>
        <w:t xml:space="preserve">Failure and edge handling  </w:t>
      </w:r>
      <w:r>
        <w:t>Clock jumps trigger re-evaluation against stable window IDs, never duplicate timer actions. Events whose uncertainty overlaps a boundary are not used to assert an in-window observation. Future DST policy: earliest valid start, latest valid end at an overlap; advance nonexistent local boundaries to the first valid instant, with generated boundaries visible in tests.</w:t>
      </w:r>
    </w:p>
    <w:p>
      <w:pPr>
        <w:pStyle w:val="SpecBody"/>
      </w:pPr>
      <w:r>
        <w:rPr>
          <w:b/>
        </w:rPr>
        <w:t xml:space="preserve">Exit criteria / tests  </w:t>
      </w:r>
      <w:r>
        <w:t>E06-T1: ±2-hour clock changes produce no duplicate incidents. E06-T2: offline cold boot suppresses absence claims but accepts manual buttons. E06-T3: delayed packets crossing window boundaries preserve uncertainty and original chronology. E06-T4: DST fixtures use the specified generated boundaries.</w:t>
      </w:r>
    </w:p>
    <w:p>
      <w:pPr>
        <w:pStyle w:val="SpecBody"/>
      </w:pPr>
      <w:r>
        <w:rPr>
          <w:b/>
        </w:rPr>
        <w:t xml:space="preserve">Further enhancement  </w:t>
      </w:r>
      <w:r>
        <w:t>Calibrated RTC, stronger trusted-time bootstrap and finer drift estimates after hardware validation.</w:t>
      </w:r>
    </w:p>
    <w:p>
      <w:bookmarkStart w:id="28" w:name="E07"/>
      <w:pPr>
        <w:pStyle w:val="Heading1"/>
        <w:pageBreakBefore/>
      </w:pPr>
      <w:r>
        <w:rPr>
          <w:color w:val="000000"/>
        </w:rPr>
        <w:t>9. E07 — Versioned configuration and command application</w:t>
      </w:r>
      <w:bookmarkEnd w:id="28"/>
    </w:p>
    <w:p>
      <w:r>
        <w:rPr>
          <w:b/>
        </w:rPr>
        <w:t xml:space="preserve">Meaning. </w:t>
      </w:r>
      <w:r>
        <w:t>Desired configuration is what the caregiver requested; applied configuration is what the device accepted. Keeping both prevents a phone from showing a change that never reached the home.</w:t>
      </w:r>
    </w:p>
    <w:p>
      <w:r>
        <w:rPr>
          <w:b/>
        </w:rPr>
        <w:t xml:space="preserve">Worked example. </w:t>
      </w:r>
      <w:r>
        <w:t>The server publishes version 8 while the hub is offline on version 7. The dashboard shows pending 8 and applied 7. A later delayed version 6 is rejected without replacing version 7.</w:t>
      </w:r>
    </w:p>
    <w:p>
      <w:r>
        <w:rPr>
          <w:b/>
        </w:rPr>
        <w:t xml:space="preserve">Execution and ownership. </w:t>
      </w:r>
      <w:r>
        <w:t>A03/B06 create and validate desired state. H07/N04 validate identity, version and values before atomically replacing a snapshot. H08 reports application acknowledgement; A03 compares versions.</w:t>
      </w:r>
    </w:p>
    <w:p>
      <w:r>
        <w:rPr>
          <w:b/>
        </w:rPr>
        <w:t xml:space="preserve">Reference implementation boundary. </w:t>
      </w:r>
      <w:r>
        <w:t>Reference version validation exists. Persisted atomic updates, authenticated command envelopes, expiry and complete wrong-target validation need target integration and expanded tests.</w:t>
      </w:r>
    </w:p>
    <w:p>
      <w:r>
        <w:rPr>
          <w:b/>
        </w:rPr>
        <w:t xml:space="preserve">Acceptance experiment. </w:t>
      </w:r>
      <w:r>
        <w:t>Reorder versions, duplicate the newest, corrupt one field and power-cycle during application. Verify that the active snapshot is entirely old or entirely new.</w:t>
      </w:r>
    </w:p>
    <w:p>
      <w:r>
        <w:rPr>
          <w:b/>
        </w:rPr>
        <w:t xml:space="preserve">Participants and traceability. </w:t>
      </w:r>
      <w:r>
        <w:t>B06, A03, H07, N04, H08, S01. Source paths and test references are in the traceability register. See diagrams/sequences/png and diagrams/sequences/uml for the corresponding E07 flow.</w:t>
      </w:r>
    </w:p>
    <w:p>
      <w:pPr>
        <w:pStyle w:val="Micro"/>
      </w:pPr>
      <w:r>
        <w:t>MODULES  B06, A03, H07, N04, H08, S01  •  File responsibilities: Appendix A</w:t>
      </w:r>
    </w:p>
    <w:p>
      <w:pPr>
        <w:pStyle w:val="SpecBody"/>
      </w:pPr>
      <w:r>
        <w:rPr>
          <w:b/>
        </w:rPr>
        <w:t xml:space="preserve">Meaning and scope  </w:t>
      </w:r>
      <w:r>
        <w:t>Makes configuration changes observable and safe. A caregiver clicking Save does not prove that a sleeping node or offline hub is already using the new setting.</w:t>
      </w:r>
    </w:p>
    <w:p>
      <w:pPr>
        <w:pStyle w:val="SpecBody"/>
      </w:pPr>
      <w:r>
        <w:rPr>
          <w:b/>
        </w:rPr>
        <w:t xml:space="preserve">P0 requirement  </w:t>
      </w:r>
      <w:r>
        <w:t>Track desired_version, applied_version, effective_at, actor and validation error. Commands require ID, target, schema version, issue time and expiry. Reject stale/unauthorized commands and incompatible schemas. Apply a valid configuration atomically or retain the previous working version.</w:t>
      </w:r>
    </w:p>
    <w:p>
      <w:pPr>
        <w:pStyle w:val="SpecBody"/>
      </w:pPr>
      <w:r>
        <w:rPr>
          <w:b/>
        </w:rPr>
        <w:t xml:space="preserve">Corresponding hardware  </w:t>
      </w:r>
      <w:r>
        <w:t>No additional hardware; node commands wait for the receiver window after a heartbeat/event. USB service mode is the fallback for a device that cannot receive or validate configuration.</w:t>
      </w:r>
    </w:p>
    <w:p>
      <w:pPr>
        <w:pStyle w:val="SpecBody"/>
      </w:pPr>
      <w:r>
        <w:rPr>
          <w:b/>
        </w:rPr>
        <w:t xml:space="preserve">Detailed software design  </w:t>
      </w:r>
      <w:r>
        <w:t>B06 config.py stores immutable versions and publishes a command intent. H07 config_apply.cpp validates size, routine bounds, device membership and clock horizon, stages into alternate storage, verifies and swaps the active pointer. N04 config_apply.cpp only changes its supported sensor/power settings and ACKs the applied hash/version. A03 ConfigStatus.tsx presents pending, applied, rejected or expired. Privacy and manual contact behavior cannot be disabled by a routine config.</w:t>
      </w:r>
    </w:p>
    <w:p>
      <w:pPr>
        <w:pStyle w:val="SpecBody"/>
      </w:pPr>
      <w:r>
        <w:rPr>
          <w:b/>
        </w:rPr>
        <w:t xml:space="preserve">Communication flow  </w:t>
      </w:r>
      <w:r>
        <w:t>HTTPS PUT with If-Match → DB/outbox → non-retained MQTT command → hub applied/rejected event. Hub→node command is delivered during the next awake exchange, with explicit application ACK. Reconnect fetches desired state through an authenticated reconciliation request, not an indefinitely retained action.</w:t>
      </w:r>
    </w:p>
    <w:p>
      <w:pPr>
        <w:pStyle w:val="SpecBody"/>
      </w:pPr>
      <w:r>
        <w:rPr>
          <w:b/>
        </w:rPr>
        <w:t xml:space="preserve">Failure and edge handling  </w:t>
      </w:r>
      <w:r>
        <w:t>If a node has not applied a heartbeat interval change, health leases use its last confirmed interval. Partial installation is visible per device. Expired commands are rejected rather than executed late. Removing a node from a live routine takes effect at the next window unless explicitly aborting the current one as incomplete.</w:t>
      </w:r>
    </w:p>
    <w:p>
      <w:pPr>
        <w:pStyle w:val="SpecBody"/>
      </w:pPr>
      <w:r>
        <w:rPr>
          <w:b/>
        </w:rPr>
        <w:t xml:space="preserve">Exit criteria / tests  </w:t>
      </w:r>
      <w:r>
        <w:t>E07-T1: power fails during config staging; old or new complete config is used, never mixed fields. E07-T2: duplicate command applies once. E07-T3: sleeping node remains pending until its ACK. E07-T4: stale app writes return conflict.</w:t>
      </w:r>
    </w:p>
    <w:p>
      <w:pPr>
        <w:pStyle w:val="SpecBody"/>
      </w:pPr>
      <w:r>
        <w:rPr>
          <w:b/>
        </w:rPr>
        <w:t xml:space="preserve">Further enhancement  </w:t>
      </w:r>
      <w:r>
        <w:t>Fleet rollout cohorts, staged policy experiments and reusable household templates with explicit resident approval.</w:t>
      </w:r>
    </w:p>
    <w:p>
      <w:bookmarkStart w:id="29" w:name="E08"/>
      <w:pPr>
        <w:pStyle w:val="Heading1"/>
        <w:pageBreakBefore/>
      </w:pPr>
      <w:r>
        <w:rPr>
          <w:color w:val="000000"/>
        </w:rPr>
        <w:t>9. E08 — Security, access control and data lifecycle</w:t>
      </w:r>
      <w:bookmarkEnd w:id="29"/>
    </w:p>
    <w:p>
      <w:r>
        <w:rPr>
          <w:b/>
        </w:rPr>
        <w:t xml:space="preserve">Meaning. </w:t>
      </w:r>
      <w:r>
        <w:t>Security is enforced at the boundary that owns the data or action. A hidden button, a MAC allow-list or a capability flag cannot replace authentication and authorisation.</w:t>
      </w:r>
    </w:p>
    <w:p>
      <w:r>
        <w:rPr>
          <w:b/>
        </w:rPr>
        <w:t xml:space="preserve">Worked example. </w:t>
      </w:r>
      <w:r>
        <w:t>A person changes a home_id in an HTTP request. B01 must deny access before returning data. A node replaying another session must be rejected before changing the hub state.</w:t>
      </w:r>
    </w:p>
    <w:p>
      <w:r>
        <w:rPr>
          <w:b/>
        </w:rPr>
        <w:t xml:space="preserve">Execution and ownership. </w:t>
      </w:r>
      <w:r>
        <w:t>S03 supplies credential/update policy interfaces, B01 checks household permissions, B02 controls consent, B06 controls device/config access and B08 audits support. Production links require real cryptography and protected credentials.</w:t>
      </w:r>
    </w:p>
    <w:p>
      <w:r>
        <w:rPr>
          <w:b/>
        </w:rPr>
        <w:t xml:space="preserve">Reference implementation boundary. </w:t>
      </w:r>
      <w:r>
        <w:t>Policies and negative host tests exist. TLS, OIDC, ESP-NOW key handling, secure boot, production token validation and strict mutation roles are not complete. Development HTTP headers are not authentication.</w:t>
      </w:r>
    </w:p>
    <w:p>
      <w:r>
        <w:rPr>
          <w:b/>
        </w:rPr>
        <w:t xml:space="preserve">Acceptance experiment. </w:t>
      </w:r>
      <w:r>
        <w:t>Run cross-tenant read/write, revoked credential, wrong session and invalid signature cases. Inspect the deployed endpoints and logs; do not infer security from class names or a mock signature verifier.</w:t>
      </w:r>
    </w:p>
    <w:p>
      <w:r>
        <w:rPr>
          <w:b/>
        </w:rPr>
        <w:t xml:space="preserve">Participants and traceability. </w:t>
      </w:r>
      <w:r>
        <w:t>S03, B01, B02, B06, B08, A05, T01. Source paths and test references are in the traceability register. See diagrams/sequences/png and diagrams/sequences/uml for the corresponding E08 flow.</w:t>
      </w:r>
    </w:p>
    <w:p>
      <w:pPr>
        <w:pStyle w:val="Micro"/>
      </w:pPr>
      <w:r>
        <w:t>MODULES  S03, B01, B02, B06, B08, A05, T01  •  File responsibilities: Appendix A</w:t>
      </w:r>
    </w:p>
    <w:p>
      <w:pPr>
        <w:pStyle w:val="SpecBody"/>
      </w:pPr>
      <w:r>
        <w:rPr>
          <w:b/>
        </w:rPr>
        <w:t xml:space="preserve">Meaning and scope  </w:t>
      </w:r>
      <w:r>
        <w:t>Protects household activity, prevents unauthorized device commands and gives users a clear way to revoke access and delete their data.</w:t>
      </w:r>
    </w:p>
    <w:p>
      <w:pPr>
        <w:pStyle w:val="SpecBody"/>
      </w:pPr>
      <w:r>
        <w:rPr>
          <w:b/>
        </w:rPr>
        <w:t xml:space="preserve">P0 requirement  </w:t>
      </w:r>
      <w:r>
        <w:t>Use unique device credentials, encrypted local unicast, validated TLS and least-privilege home access. No shared fleet secret or public activity topic. Record security-sensitive actions without secrets. Provide membership revocation, kit decommissioning, data export and deletion. Review real launch obligations separately; this design is not a compliance certificate.</w:t>
      </w:r>
    </w:p>
    <w:p>
      <w:pPr>
        <w:pStyle w:val="SpecBody"/>
      </w:pPr>
      <w:r>
        <w:rPr>
          <w:b/>
        </w:rPr>
        <w:t xml:space="preserve">Corresponding hardware  </w:t>
      </w:r>
      <w:r>
        <w:t>Secure boot/flash encryption capability is used on supported ESP32 variants for resident-pilot builds after a tested recovery procedure. Debug access and irreversible eFuse steps need an explicit manufacturing checklist [S6].</w:t>
      </w:r>
    </w:p>
    <w:p>
      <w:pPr>
        <w:pStyle w:val="SpecBody"/>
      </w:pPr>
      <w:r>
        <w:rPr>
          <w:b/>
        </w:rPr>
        <w:t xml:space="preserve">Detailed software design  </w:t>
      </w:r>
      <w:r>
        <w:t>S03 credentials.cpp owns provisioning and secret storage. B01 verifies OIDC tokens and resolves membership on every request; B06 constrains device certificates to its hub topics/home. PostgreSQL RLS is defense in depth with a non-owner application role and transaction-local tenant context; privileged workers use narrowly scoped roles [S7]. B08 retention.py implements scheduled retention and deletion, including derived projections, push subscriptions and exports.</w:t>
      </w:r>
    </w:p>
    <w:p>
      <w:pPr>
        <w:pStyle w:val="SpecBody"/>
      </w:pPr>
      <w:r>
        <w:rPr>
          <w:b/>
        </w:rPr>
        <w:t xml:space="preserve">Communication flow  </w:t>
      </w:r>
      <w:r>
        <w:t>TLS for cloud/API; encrypted ESP-NOW per peer; no PII in broker topic names or lock-screen defaults. Revoke account membership immediately server-side; revoke device credentials on loss. Resident physical privacy remains effective without a server round trip.</w:t>
      </w:r>
    </w:p>
    <w:p>
      <w:pPr>
        <w:pStyle w:val="SpecBody"/>
      </w:pPr>
      <w:r>
        <w:rPr>
          <w:b/>
        </w:rPr>
        <w:t xml:space="preserve">Failure and edge handling  </w:t>
      </w:r>
      <w:r>
        <w:t>JWT validity alone does not preserve removed membership. Unknown devices/schema are rejected. Deletion disables new ingestion/routing, deletes active data within 7 days, then ages out encrypted backups within 30 days; restored backups reapply deletion tombstones before service. In-flight third-party delivery may not be retractable.</w:t>
      </w:r>
    </w:p>
    <w:p>
      <w:pPr>
        <w:pStyle w:val="SpecBody"/>
      </w:pPr>
      <w:r>
        <w:rPr>
          <w:b/>
        </w:rPr>
        <w:t xml:space="preserve">Exit criteria / tests  </w:t>
      </w:r>
      <w:r>
        <w:t>E08-T1: automated cross-home matrix blocks read/write/stream/export. E08-T2: revoked device cannot publish/subscribe. E08-T3: exported/logged artifacts contain no credentials. E08-T4: deletion/restore drill does not resurrect an active home.</w:t>
      </w:r>
    </w:p>
    <w:p>
      <w:pPr>
        <w:pStyle w:val="SpecBody"/>
      </w:pPr>
      <w:r>
        <w:rPr>
          <w:b/>
        </w:rPr>
        <w:t xml:space="preserve">Further enhancement  </w:t>
      </w:r>
      <w:r>
        <w:t>Independent security review, hardware-backed keys and formal regional compliance work before broader commercial deployment.</w:t>
      </w:r>
    </w:p>
    <w:p>
      <w:bookmarkStart w:id="30" w:name="E09"/>
      <w:pPr>
        <w:pStyle w:val="Heading1"/>
        <w:pageBreakBefore/>
      </w:pPr>
      <w:r>
        <w:rPr>
          <w:color w:val="000000"/>
        </w:rPr>
        <w:t>9. E09 — Firmware update, watchdog and recovery</w:t>
      </w:r>
      <w:bookmarkEnd w:id="30"/>
    </w:p>
    <w:p>
      <w:r>
        <w:rPr>
          <w:b/>
        </w:rPr>
        <w:t xml:space="preserve">Meaning. </w:t>
      </w:r>
      <w:r>
        <w:t>OTA is a controlled update with authenticity checks and a recoverable boot path. Version comparison alone does not establish that a firmware image is genuine or healthy.</w:t>
      </w:r>
    </w:p>
    <w:p>
      <w:r>
        <w:rPr>
          <w:b/>
        </w:rPr>
        <w:t xml:space="preserve">Worked example. </w:t>
      </w:r>
      <w:r>
        <w:t>An image signed for a different board arrives. Reject it even if its version is newer. If a valid image boots but repeatedly fails health checks, the target boot strategy must restore the prior working image.</w:t>
      </w:r>
    </w:p>
    <w:p>
      <w:r>
        <w:rPr>
          <w:b/>
        </w:rPr>
        <w:t xml:space="preserve">Execution and ownership. </w:t>
      </w:r>
      <w:r>
        <w:t>S03 validates manifest policy using an injected signature verifier. H07/N04 orchestrate target application and boot-health reporting, while B06/B08 record rollout and results. Physical USB recovery remains necessary during prototyping.</w:t>
      </w:r>
    </w:p>
    <w:p>
      <w:r>
        <w:rPr>
          <w:b/>
        </w:rPr>
        <w:t xml:space="preserve">Reference implementation boundary. </w:t>
      </w:r>
      <w:r>
        <w:t>The current code validates manifest metadata through a testable seam. Image download, real hash/signature verification, flash partitions, bootloader rollback, watchdog and signed fleet rollout are pending.</w:t>
      </w:r>
    </w:p>
    <w:p>
      <w:r>
        <w:rPr>
          <w:b/>
        </w:rPr>
        <w:t xml:space="preserve">Acceptance experiment. </w:t>
      </w:r>
      <w:r>
        <w:t>Test wrong board, stale version, bad hash text and rejected signature on host. Later interrupt download/write/first boot on hardware and demonstrate recovery before a field update.</w:t>
      </w:r>
    </w:p>
    <w:p>
      <w:r>
        <w:rPr>
          <w:b/>
        </w:rPr>
        <w:t xml:space="preserve">Participants and traceability. </w:t>
      </w:r>
      <w:r>
        <w:t>S03, H07, N04, B06, B08, T02. Source paths and test references are in the traceability register. See diagrams/sequences/png and diagrams/sequences/uml for the corresponding E09 flow.</w:t>
      </w:r>
    </w:p>
    <w:p>
      <w:pPr>
        <w:pStyle w:val="Micro"/>
      </w:pPr>
      <w:r>
        <w:t>MODULES  S03, H07, N04, B06, B08, T02  •  File responsibilities: Appendix A</w:t>
      </w:r>
    </w:p>
    <w:p>
      <w:pPr>
        <w:pStyle w:val="SpecBody"/>
      </w:pPr>
      <w:r>
        <w:rPr>
          <w:b/>
        </w:rPr>
        <w:t xml:space="preserve">Meaning and scope  </w:t>
      </w:r>
      <w:r>
        <w:t>Lets the engineer correct firmware without leaving a household silently unmonitored. A firmware version number alone is not evidence that an update succeeded.</w:t>
      </w:r>
    </w:p>
    <w:p>
      <w:pPr>
        <w:pStyle w:val="SpecBody"/>
      </w:pPr>
      <w:r>
        <w:rPr>
          <w:b/>
        </w:rPr>
        <w:t xml:space="preserve">P0 requirement  </w:t>
      </w:r>
      <w:r>
        <w:t>Report running version, reset reason and boot health. Enable watchdogs without masking persistent faults. Verify signed images and support recovery after failed updates. Hub remote OTA is P0; battery nodes may use signed USB maintenance updates for the assisted pilot, explicitly shown as maintenance downtime.</w:t>
      </w:r>
    </w:p>
    <w:p>
      <w:pPr>
        <w:pStyle w:val="SpecBody"/>
      </w:pPr>
      <w:r>
        <w:rPr>
          <w:b/>
        </w:rPr>
        <w:t xml:space="preserve">Corresponding hardware  </w:t>
      </w:r>
      <w:r>
        <w:t>Partition capacity for two hub application slots plus metadata and data ring must be verified against the compiled image. Nodes need accessible USB/program pads. Update only with stable external power or a validated energy margin; do not assume a voltage reading guarantees capacity.</w:t>
      </w:r>
    </w:p>
    <w:p>
      <w:pPr>
        <w:pStyle w:val="SpecBody"/>
      </w:pPr>
      <w:r>
        <w:rPr>
          <w:b/>
        </w:rPr>
        <w:t xml:space="preserve">Detailed software design  </w:t>
      </w:r>
      <w:r>
        <w:t>S03 ota.cpp verifies manifest target, image size, signature and compatible config/schema. H07 update_manager.cpp stages a hub update outside the morning window when no contact request is open. New firmware enters pending verification, checks journal/config/radio/UI health, then marks valid; otherwise roll back [S2]. Boot health must not depend solely on internet availability. N04 uses the same image authenticity policy in service mode.</w:t>
      </w:r>
    </w:p>
    <w:p>
      <w:pPr>
        <w:pStyle w:val="SpecBody"/>
      </w:pPr>
      <w:r>
        <w:rPr>
          <w:b/>
        </w:rPr>
        <w:t xml:space="preserve">Communication flow  </w:t>
      </w:r>
      <w:r>
        <w:t>Backend signed manifest → hub HTTPS download → boot/recovery → version/health event. App shows maintenance and revalidated coverage. Node service updates are logged against serial and firmware hash in B06.</w:t>
      </w:r>
    </w:p>
    <w:p>
      <w:pPr>
        <w:pStyle w:val="SpecBody"/>
      </w:pPr>
      <w:r>
        <w:rPr>
          <w:b/>
        </w:rPr>
        <w:t xml:space="preserve">Failure and edge handling  </w:t>
      </w:r>
      <w:r>
        <w:t>Failed signature, wrong board profile, insufficient partition space or unsupported downgrade is rejected. A rollback preserves data-schema compatibility. Repeated reboot loops stop normal observation claims and expose a service fault. Fuses/anti-rollback version changes require a release-specific recovery review.</w:t>
      </w:r>
    </w:p>
    <w:p>
      <w:pPr>
        <w:pStyle w:val="SpecBody"/>
      </w:pPr>
      <w:r>
        <w:rPr>
          <w:b/>
        </w:rPr>
        <w:t xml:space="preserve">Exit criteria / tests  </w:t>
      </w:r>
      <w:r>
        <w:t>E09-T1: cut power during download and during first boot; recover to a working signed image. E09-T2: wrong-target/tampered image is rejected. E09-T3: reboot-loop injection is visible; missing coverage is never displayed as normal. E09-T4: offline first boot can pass local health checks.</w:t>
      </w:r>
    </w:p>
    <w:p>
      <w:pPr>
        <w:pStyle w:val="SpecBody"/>
      </w:pPr>
      <w:r>
        <w:rPr>
          <w:b/>
        </w:rPr>
        <w:t xml:space="preserve">Further enhancement  </w:t>
      </w:r>
      <w:r>
        <w:t>Battery-node remote maintenance OTA, staged fleet rollouts and automatic rollback metrics; never stream node updates during its ordinary low-power duty cycle without an energy plan.</w:t>
      </w:r>
    </w:p>
    <w:p>
      <w:bookmarkStart w:id="31" w:name="E10"/>
      <w:pPr>
        <w:pStyle w:val="Heading1"/>
        <w:pageBreakBefore/>
      </w:pPr>
      <w:r>
        <w:rPr>
          <w:color w:val="000000"/>
        </w:rPr>
        <w:t>9. E10 — Diagnostics, support and installation evidence</w:t>
      </w:r>
      <w:bookmarkEnd w:id="31"/>
    </w:p>
    <w:p>
      <w:r>
        <w:rPr>
          <w:b/>
        </w:rPr>
        <w:t xml:space="preserve">Meaning. </w:t>
      </w:r>
      <w:r>
        <w:t>Observability lets an engineer explain where a flow stopped without collecting unnecessary household information. A useful log identifies the module and failure boundary; a green test report identifies exactly what was tested.</w:t>
      </w:r>
    </w:p>
    <w:p>
      <w:r>
        <w:rPr>
          <w:b/>
        </w:rPr>
        <w:t xml:space="preserve">Worked example. </w:t>
      </w:r>
      <w:r>
        <w:t>A Call family request does not appear on the phone. Follow the same event through node retention, hub commit, cloud replay, backend incident, notification job and app freshness. Do not start by assuming a sensor failure.</w:t>
      </w:r>
    </w:p>
    <w:p>
      <w:r>
        <w:rPr>
          <w:b/>
        </w:rPr>
        <w:t xml:space="preserve">Execution and ownership. </w:t>
      </w:r>
      <w:r>
        <w:t>S05 provides ERROR and build-gated TRACE hooks with bounded formatting and host text sinks. T01 runs host checks; T02/T03 hold hardware and deployment evidence. The requirement register links modules, source files and test locations.</w:t>
      </w:r>
    </w:p>
    <w:p>
      <w:r>
        <w:rPr>
          <w:b/>
        </w:rPr>
        <w:t xml:space="preserve">Reference implementation boundary. </w:t>
      </w:r>
      <w:r>
        <w:t>The C++ formatter uses a 384-byte stack buffer; it calls the sink synchronously. ERROR is an unconditional hook but may be lost with no sink or failed I/O. Arbitrary null dereference, double free or corruption needs sanitizer/panic tooling, not a log macro.</w:t>
      </w:r>
    </w:p>
    <w:p>
      <w:r>
        <w:rPr>
          <w:b/>
        </w:rPr>
        <w:t xml:space="preserve">Acceptance experiment. </w:t>
      </w:r>
      <w:r>
        <w:t>Inject queue exhaustion, provider failure and missing sink; verify error records without secrets. Run TRACE-on/off profiles and separate sanitizer and target crash-recovery tests. Record toolchain, command, result and remaining limitations.</w:t>
      </w:r>
    </w:p>
    <w:p>
      <w:r>
        <w:rPr>
          <w:b/>
        </w:rPr>
        <w:t xml:space="preserve">Participants and traceability. </w:t>
      </w:r>
      <w:r>
        <w:t>B08, A02, T01, T02, T03, H02, H08. Source paths and test references are in the traceability register. See diagrams/sequences/png and diagrams/sequences/uml for the corresponding E10 flow.</w:t>
      </w:r>
    </w:p>
    <w:p>
      <w:pPr>
        <w:pStyle w:val="Micro"/>
      </w:pPr>
      <w:r>
        <w:t>MODULES  B08, A02, T01, T02, T03, H02, H08  •  File responsibilities: Appendix A</w:t>
      </w:r>
    </w:p>
    <w:p>
      <w:pPr>
        <w:pStyle w:val="SpecBody"/>
      </w:pPr>
      <w:r>
        <w:rPr>
          <w:b/>
        </w:rPr>
        <w:t xml:space="preserve">Meaning and scope  </w:t>
      </w:r>
      <w:r>
        <w:t>Provides enough evidence to explain missed observations, repeat alerts and battery problems without continuous surveillance or expensive household troubleshooting.</w:t>
      </w:r>
    </w:p>
    <w:p>
      <w:pPr>
        <w:pStyle w:val="SpecBody"/>
      </w:pPr>
      <w:r>
        <w:rPr>
          <w:b/>
        </w:rPr>
        <w:t xml:space="preserve">P0 requirement  </w:t>
      </w:r>
      <w:r>
        <w:t>Expose firmware, config versions, reset causes, last seen, lease gaps, queue watermarks, retry/error counts and notification attempts. Support a resident/caregiver-approved diagnostic export with a case ID and expiry. Keep raw audio/video entirely absent. Log operational error codes, not hidden sensitive payloads.</w:t>
      </w:r>
    </w:p>
    <w:p>
      <w:pPr>
        <w:pStyle w:val="SpecBody"/>
      </w:pPr>
      <w:r>
        <w:rPr>
          <w:b/>
        </w:rPr>
        <w:t xml:space="preserve">Corresponding hardware  </w:t>
      </w:r>
      <w:r>
        <w:t>Serial service interface, labeled device IDs and a current-measurement setup for bench work. A production test jig should exercise each sensor, button, supply transition and radio link before installation.</w:t>
      </w:r>
    </w:p>
    <w:p>
      <w:pPr>
        <w:pStyle w:val="SpecBody"/>
      </w:pPr>
      <w:r>
        <w:rPr>
          <w:b/>
        </w:rPr>
        <w:t xml:space="preserve">Detailed software design  </w:t>
      </w:r>
      <w:r>
        <w:t>B08 diagnostics.py composes a minimal redacted export; audit.py records who requested/accessed it. T01 replay.py accepts anonymized events/config to reproduce the rule decision in S02. T02 runner.py controls fault scenarios and records pass/fail with firmware hash. T03 runbook.md maps visible faults to safe troubleshooting steps and states when the resident must use ordinary family contact instead.</w:t>
      </w:r>
    </w:p>
    <w:p>
      <w:pPr>
        <w:pStyle w:val="SpecBody"/>
      </w:pPr>
      <w:r>
        <w:rPr>
          <w:b/>
        </w:rPr>
        <w:t xml:space="preserve">Communication flow  </w:t>
      </w:r>
      <w:r>
        <w:t>Hub bounded metrics/events → backend operational store; app → authenticated export request → short-lived download, proposed 24-hour expiry. Support access is explicit and time-limited, not a standing ability to browse every home.</w:t>
      </w:r>
    </w:p>
    <w:p>
      <w:pPr>
        <w:pStyle w:val="SpecBody"/>
      </w:pPr>
      <w:r>
        <w:rPr>
          <w:b/>
        </w:rPr>
        <w:t xml:space="preserve">Failure and edge handling  </w:t>
      </w:r>
      <w:r>
        <w:t>If diagnostics fail, they must not block buttons or routine processing. Rate-limit logs and prioritize actionable faults over repeated debug lines. Redaction failure blocks export. Cloud outage means local logs may need physical collection; never imply remote support is still observing the home.</w:t>
      </w:r>
    </w:p>
    <w:p>
      <w:pPr>
        <w:pStyle w:val="SpecBody"/>
      </w:pPr>
      <w:r>
        <w:rPr>
          <w:b/>
        </w:rPr>
        <w:t xml:space="preserve">Exit criteria / tests  </w:t>
      </w:r>
      <w:r>
        <w:t>E10-T1: inject packet loss; exported counters and coverage explain the outcome. E10-T2: replay yields the same incident/reason as the hub. E10-T3: log flood cannot starve contact input. E10-T4: expired export link and expired installer/support role cannot retrieve data.</w:t>
      </w:r>
    </w:p>
    <w:p>
      <w:pPr>
        <w:pStyle w:val="SpecBody"/>
      </w:pPr>
      <w:r>
        <w:rPr>
          <w:b/>
        </w:rPr>
        <w:t xml:space="preserve">Further enhancement  </w:t>
      </w:r>
      <w:r>
        <w:t>Automated support suggestions, fleet anomaly detection and remote consented test mode, measured against actual support minutes per home.</w:t>
      </w:r>
    </w:p>
    <w:p>
      <w:bookmarkStart w:id="32" w:name="verification"/>
      <w:pPr>
        <w:pStyle w:val="Heading1"/>
        <w:pageBreakBefore/>
      </w:pPr>
      <w:r>
        <w:rPr>
          <w:color w:val="000000"/>
        </w:rPr>
        <w:t>10. Verification and release exit criteria</w:t>
      </w:r>
      <w:bookmarkEnd w:id="32"/>
    </w:p>
    <w:p>
      <w:pPr>
        <w:pStyle w:val="SpecBody"/>
      </w:pPr>
      <w:r>
        <w:t>This document defines tests; it does not report passing test results. Build a requirements-to-evidence matrix using each Fxx-Tn / Exx-Tn ID, firmware hash, backend commit, fixture version, hardware serial, timestamp, expected result and observed result. A failure needs a linked defect and retest. No resident pilot may rely on the device for emergency protection.</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80"/>
        <w:gridCol w:w="3650"/>
        <w:gridCol w:w="3930"/>
      </w:tblGrid>
      <w:tr>
        <w:trPr>
          <w:cantSplit/>
          <w:tblHeader/>
        </w:trPr>
        <w:tc>
          <w:tcPr>
            <w:tcW w:type="dxa" w:w="1780"/>
            <w:tcMar>
              <w:top w:w="80" w:type="dxa"/>
              <w:bottom w:w="80" w:type="dxa"/>
              <w:start w:w="120" w:type="dxa"/>
              <w:end w:w="120" w:type="dxa"/>
            </w:tcMar>
            <w:shd w:fill="E8EEF5"/>
          </w:tcPr>
          <w:p>
            <w:pPr>
              <w:pStyle w:val="TableText"/>
            </w:pPr>
            <w:r>
              <w:rPr>
                <w:b/>
              </w:rPr>
              <w:t>Test layer</w:t>
            </w:r>
          </w:p>
        </w:tc>
        <w:tc>
          <w:tcPr>
            <w:tcW w:type="dxa" w:w="3650"/>
            <w:tcMar>
              <w:top w:w="80" w:type="dxa"/>
              <w:bottom w:w="80" w:type="dxa"/>
              <w:start w:w="120" w:type="dxa"/>
              <w:end w:w="120" w:type="dxa"/>
            </w:tcMar>
            <w:shd w:fill="E8EEF5"/>
          </w:tcPr>
          <w:p>
            <w:pPr>
              <w:pStyle w:val="TableText"/>
            </w:pPr>
            <w:r>
              <w:rPr>
                <w:b/>
              </w:rPr>
              <w:t>Coverage</w:t>
            </w:r>
          </w:p>
        </w:tc>
        <w:tc>
          <w:tcPr>
            <w:tcW w:type="dxa" w:w="3930"/>
            <w:tcMar>
              <w:top w:w="80" w:type="dxa"/>
              <w:bottom w:w="80" w:type="dxa"/>
              <w:start w:w="120" w:type="dxa"/>
              <w:end w:w="120" w:type="dxa"/>
            </w:tcMar>
            <w:shd w:fill="E8EEF5"/>
          </w:tcPr>
          <w:p>
            <w:pPr>
              <w:pStyle w:val="TableText"/>
            </w:pPr>
            <w:r>
              <w:rPr>
                <w:b/>
              </w:rPr>
              <w:t>Proposed gate</w:t>
            </w:r>
          </w:p>
        </w:tc>
      </w:tr>
      <w:tr>
        <w:trPr>
          <w:cantSplit/>
        </w:trPr>
        <w:tc>
          <w:tcPr>
            <w:tcW w:type="dxa" w:w="1780"/>
            <w:tcMar>
              <w:top w:w="80" w:type="dxa"/>
              <w:bottom w:w="80" w:type="dxa"/>
              <w:start w:w="120" w:type="dxa"/>
              <w:end w:w="120" w:type="dxa"/>
            </w:tcMar>
          </w:tcPr>
          <w:p>
            <w:pPr>
              <w:pStyle w:val="TableText"/>
            </w:pPr>
            <w:r>
              <w:t>Unit/property tests</w:t>
            </w:r>
          </w:p>
        </w:tc>
        <w:tc>
          <w:tcPr>
            <w:tcW w:type="dxa" w:w="3650"/>
            <w:tcMar>
              <w:top w:w="80" w:type="dxa"/>
              <w:bottom w:w="80" w:type="dxa"/>
              <w:start w:w="120" w:type="dxa"/>
              <w:end w:w="120" w:type="dxa"/>
            </w:tcMar>
          </w:tcPr>
          <w:p>
            <w:pPr>
              <w:pStyle w:val="TableText"/>
            </w:pPr>
            <w:r>
              <w:t>Rule reducer, coverage intervals, schedules, debounce, IDs and command validation.</w:t>
            </w:r>
          </w:p>
        </w:tc>
        <w:tc>
          <w:tcPr>
            <w:tcW w:type="dxa" w:w="3930"/>
            <w:tcMar>
              <w:top w:w="80" w:type="dxa"/>
              <w:bottom w:w="80" w:type="dxa"/>
              <w:start w:w="120" w:type="dxa"/>
              <w:end w:w="120" w:type="dxa"/>
            </w:tcMar>
          </w:tcPr>
          <w:p>
            <w:pPr>
              <w:pStyle w:val="TableText"/>
            </w:pPr>
            <w:r>
              <w:t>Every transition/branch in the rule-state table exercised; randomized replay preserves invariants and determinism.</w:t>
            </w:r>
          </w:p>
        </w:tc>
      </w:tr>
      <w:tr>
        <w:trPr>
          <w:cantSplit/>
        </w:trPr>
        <w:tc>
          <w:tcPr>
            <w:tcW w:type="dxa" w:w="1780"/>
            <w:tcMar>
              <w:top w:w="80" w:type="dxa"/>
              <w:bottom w:w="80" w:type="dxa"/>
              <w:start w:w="120" w:type="dxa"/>
              <w:end w:w="120" w:type="dxa"/>
            </w:tcMar>
          </w:tcPr>
          <w:p>
            <w:pPr>
              <w:pStyle w:val="TableText"/>
            </w:pPr>
            <w:r>
              <w:t>Contract tests</w:t>
            </w:r>
          </w:p>
        </w:tc>
        <w:tc>
          <w:tcPr>
            <w:tcW w:type="dxa" w:w="3650"/>
            <w:tcMar>
              <w:top w:w="80" w:type="dxa"/>
              <w:bottom w:w="80" w:type="dxa"/>
              <w:start w:w="120" w:type="dxa"/>
              <w:end w:w="120" w:type="dxa"/>
            </w:tcMar>
          </w:tcPr>
          <w:p>
            <w:pPr>
              <w:pStyle w:val="TableText"/>
            </w:pPr>
            <w:r>
              <w:t>CBOR/JSON schemas, API clients, v1 compatibility, broker ACL.</w:t>
            </w:r>
          </w:p>
        </w:tc>
        <w:tc>
          <w:tcPr>
            <w:tcW w:type="dxa" w:w="3930"/>
            <w:tcMar>
              <w:top w:w="80" w:type="dxa"/>
              <w:bottom w:w="80" w:type="dxa"/>
              <w:start w:w="120" w:type="dxa"/>
              <w:end w:w="120" w:type="dxa"/>
            </w:tcMar>
          </w:tcPr>
          <w:p>
            <w:pPr>
              <w:pStyle w:val="TableText"/>
            </w:pPr>
            <w:r>
              <w:t>Golden packets across node/hub/backend; malformed lengths/types rejected; no unsafe buffer copies.</w:t>
            </w:r>
          </w:p>
        </w:tc>
      </w:tr>
      <w:tr>
        <w:trPr>
          <w:cantSplit/>
        </w:trPr>
        <w:tc>
          <w:tcPr>
            <w:tcW w:type="dxa" w:w="1780"/>
            <w:tcMar>
              <w:top w:w="80" w:type="dxa"/>
              <w:bottom w:w="80" w:type="dxa"/>
              <w:start w:w="120" w:type="dxa"/>
              <w:end w:w="120" w:type="dxa"/>
            </w:tcMar>
          </w:tcPr>
          <w:p>
            <w:pPr>
              <w:pStyle w:val="TableText"/>
            </w:pPr>
            <w:r>
              <w:t>Integration tests</w:t>
            </w:r>
          </w:p>
        </w:tc>
        <w:tc>
          <w:tcPr>
            <w:tcW w:type="dxa" w:w="3650"/>
            <w:tcMar>
              <w:top w:w="80" w:type="dxa"/>
              <w:bottom w:w="80" w:type="dxa"/>
              <w:start w:w="120" w:type="dxa"/>
              <w:end w:w="120" w:type="dxa"/>
            </w:tcMar>
          </w:tcPr>
          <w:p>
            <w:pPr>
              <w:pStyle w:val="TableText"/>
            </w:pPr>
            <w:r>
              <w:t>MQTT↔DB commit ACK, outbox, caregiver claims, notification adapter and read models.</w:t>
            </w:r>
          </w:p>
        </w:tc>
        <w:tc>
          <w:tcPr>
            <w:tcW w:type="dxa" w:w="3930"/>
            <w:tcMar>
              <w:top w:w="80" w:type="dxa"/>
              <w:bottom w:w="80" w:type="dxa"/>
              <w:start w:w="120" w:type="dxa"/>
              <w:end w:w="120" w:type="dxa"/>
            </w:tcMar>
          </w:tcPr>
          <w:p>
            <w:pPr>
              <w:pStyle w:val="TableText"/>
            </w:pPr>
            <w:r>
              <w:t>Crash before/after each transaction boundary; no lost acknowledged event or duplicate business intent.</w:t>
            </w:r>
          </w:p>
        </w:tc>
      </w:tr>
      <w:tr>
        <w:trPr>
          <w:cantSplit/>
        </w:trPr>
        <w:tc>
          <w:tcPr>
            <w:tcW w:type="dxa" w:w="1780"/>
            <w:tcMar>
              <w:top w:w="80" w:type="dxa"/>
              <w:bottom w:w="80" w:type="dxa"/>
              <w:start w:w="120" w:type="dxa"/>
              <w:end w:w="120" w:type="dxa"/>
            </w:tcMar>
          </w:tcPr>
          <w:p>
            <w:pPr>
              <w:pStyle w:val="TableText"/>
            </w:pPr>
            <w:r>
              <w:t>Hardware-in-loop</w:t>
            </w:r>
          </w:p>
        </w:tc>
        <w:tc>
          <w:tcPr>
            <w:tcW w:type="dxa" w:w="3650"/>
            <w:tcMar>
              <w:top w:w="80" w:type="dxa"/>
              <w:bottom w:w="80" w:type="dxa"/>
              <w:start w:w="120" w:type="dxa"/>
              <w:end w:w="120" w:type="dxa"/>
            </w:tcMar>
          </w:tcPr>
          <w:p>
            <w:pPr>
              <w:pStyle w:val="TableText"/>
            </w:pPr>
            <w:r>
              <w:t>Actual sensors, buttons, charger/power path, radio channel and reset behavior.</w:t>
            </w:r>
          </w:p>
        </w:tc>
        <w:tc>
          <w:tcPr>
            <w:tcW w:type="dxa" w:w="3930"/>
            <w:tcMar>
              <w:top w:w="80" w:type="dxa"/>
              <w:bottom w:w="80" w:type="dxa"/>
              <w:start w:w="120" w:type="dxa"/>
              <w:end w:w="120" w:type="dxa"/>
            </w:tcMar>
          </w:tcPr>
          <w:p>
            <w:pPr>
              <w:pStyle w:val="TableText"/>
            </w:pPr>
            <w:r>
              <w:t>100 door cycles; motion placement trials; 100 fault-injected power cycles; all expected results documented.</w:t>
            </w:r>
          </w:p>
        </w:tc>
      </w:tr>
      <w:tr>
        <w:trPr>
          <w:cantSplit/>
        </w:trPr>
        <w:tc>
          <w:tcPr>
            <w:tcW w:type="dxa" w:w="1780"/>
            <w:tcMar>
              <w:top w:w="80" w:type="dxa"/>
              <w:bottom w:w="80" w:type="dxa"/>
              <w:start w:w="120" w:type="dxa"/>
              <w:end w:w="120" w:type="dxa"/>
            </w:tcMar>
          </w:tcPr>
          <w:p>
            <w:pPr>
              <w:pStyle w:val="TableText"/>
            </w:pPr>
            <w:r>
              <w:t>Adversarial/network tests</w:t>
            </w:r>
          </w:p>
        </w:tc>
        <w:tc>
          <w:tcPr>
            <w:tcW w:type="dxa" w:w="3650"/>
            <w:tcMar>
              <w:top w:w="80" w:type="dxa"/>
              <w:bottom w:w="80" w:type="dxa"/>
              <w:start w:w="120" w:type="dxa"/>
              <w:end w:w="120" w:type="dxa"/>
            </w:tcMar>
          </w:tcPr>
          <w:p>
            <w:pPr>
              <w:pStyle w:val="TableText"/>
            </w:pPr>
            <w:r>
              <w:t>30% loss, duplication, reorder, stale sessions, WAN loss and replay bursts.</w:t>
            </w:r>
          </w:p>
        </w:tc>
        <w:tc>
          <w:tcPr>
            <w:tcW w:type="dxa" w:w="3930"/>
            <w:tcMar>
              <w:top w:w="80" w:type="dxa"/>
              <w:bottom w:w="80" w:type="dxa"/>
              <w:start w:w="120" w:type="dxa"/>
              <w:end w:w="120" w:type="dxa"/>
            </w:tcMar>
          </w:tcPr>
          <w:p>
            <w:pPr>
              <w:pStyle w:val="TableText"/>
            </w:pPr>
            <w:r>
              <w:t>No false normal/safe state, no duplicate incident, explicit data loss/degraded coverage.</w:t>
            </w:r>
          </w:p>
        </w:tc>
      </w:tr>
      <w:tr>
        <w:trPr>
          <w:cantSplit/>
        </w:trPr>
        <w:tc>
          <w:tcPr>
            <w:tcW w:type="dxa" w:w="1780"/>
            <w:tcMar>
              <w:top w:w="80" w:type="dxa"/>
              <w:bottom w:w="80" w:type="dxa"/>
              <w:start w:w="120" w:type="dxa"/>
              <w:end w:w="120" w:type="dxa"/>
            </w:tcMar>
          </w:tcPr>
          <w:p>
            <w:pPr>
              <w:pStyle w:val="TableText"/>
            </w:pPr>
            <w:r>
              <w:t>Security/privacy tests</w:t>
            </w:r>
          </w:p>
        </w:tc>
        <w:tc>
          <w:tcPr>
            <w:tcW w:type="dxa" w:w="3650"/>
            <w:tcMar>
              <w:top w:w="80" w:type="dxa"/>
              <w:bottom w:w="80" w:type="dxa"/>
              <w:start w:w="120" w:type="dxa"/>
              <w:end w:w="120" w:type="dxa"/>
            </w:tcMar>
          </w:tcPr>
          <w:p>
            <w:pPr>
              <w:pStyle w:val="TableText"/>
            </w:pPr>
            <w:r>
              <w:t>Cross-home operations, revocation, privacy switch, deletion and restore.</w:t>
            </w:r>
          </w:p>
        </w:tc>
        <w:tc>
          <w:tcPr>
            <w:tcW w:type="dxa" w:w="3930"/>
            <w:tcMar>
              <w:top w:w="80" w:type="dxa"/>
              <w:bottom w:w="80" w:type="dxa"/>
              <w:start w:w="120" w:type="dxa"/>
              <w:end w:w="120" w:type="dxa"/>
            </w:tcMar>
          </w:tcPr>
          <w:p>
            <w:pPr>
              <w:pStyle w:val="TableText"/>
            </w:pPr>
            <w:r>
              <w:t>All negative tests fail closed; no credentials/private payload in logs or lock-screen default.</w:t>
            </w:r>
          </w:p>
        </w:tc>
      </w:tr>
      <w:tr>
        <w:trPr>
          <w:cantSplit/>
        </w:trPr>
        <w:tc>
          <w:tcPr>
            <w:tcW w:type="dxa" w:w="1780"/>
            <w:tcMar>
              <w:top w:w="80" w:type="dxa"/>
              <w:bottom w:w="80" w:type="dxa"/>
              <w:start w:w="120" w:type="dxa"/>
              <w:end w:w="120" w:type="dxa"/>
            </w:tcMar>
          </w:tcPr>
          <w:p>
            <w:pPr>
              <w:pStyle w:val="TableText"/>
            </w:pPr>
            <w:r>
              <w:t>End-user tests</w:t>
            </w:r>
          </w:p>
        </w:tc>
        <w:tc>
          <w:tcPr>
            <w:tcW w:type="dxa" w:w="3650"/>
            <w:tcMar>
              <w:top w:w="80" w:type="dxa"/>
              <w:bottom w:w="80" w:type="dxa"/>
              <w:start w:w="120" w:type="dxa"/>
              <w:end w:w="120" w:type="dxa"/>
            </w:tcMar>
          </w:tcPr>
          <w:p>
            <w:pPr>
              <w:pStyle w:val="TableText"/>
            </w:pPr>
            <w:r>
              <w:t>Button meanings, notification permission, three evidence types and acknowledgement actions.</w:t>
            </w:r>
          </w:p>
        </w:tc>
        <w:tc>
          <w:tcPr>
            <w:tcW w:type="dxa" w:w="3930"/>
            <w:tcMar>
              <w:top w:w="80" w:type="dxa"/>
              <w:bottom w:w="80" w:type="dxa"/>
              <w:start w:w="120" w:type="dxa"/>
              <w:end w:w="120" w:type="dxa"/>
            </w:tcMar>
          </w:tcPr>
          <w:p>
            <w:pPr>
              <w:pStyle w:val="TableText"/>
            </w:pPr>
            <w:r>
              <w:t>Resident/caregivers correctly explain “observed”, “self-reported” and “unknown”; fix all critical misunderstandings.</w:t>
            </w:r>
          </w:p>
        </w:tc>
      </w:tr>
    </w:tbl>
    <w:p>
      <w:pPr>
        <w:pStyle w:val="TableSpacer"/>
      </w:pPr>
    </w:p>
    <w:p>
      <w:pPr>
        <w:pStyle w:val="Heading2"/>
        <w:pageBreakBefore/>
      </w:pPr>
      <w:r>
        <w:rPr>
          <w:color w:val="000000"/>
        </w:rPr>
        <w:t>Numeric targets — measure, do not advertise yet</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090"/>
        <w:gridCol w:w="3590"/>
        <w:gridCol w:w="3680"/>
      </w:tblGrid>
      <w:tr>
        <w:trPr>
          <w:cantSplit/>
          <w:tblHeader/>
        </w:trPr>
        <w:tc>
          <w:tcPr>
            <w:tcW w:type="dxa" w:w="2090"/>
            <w:tcMar>
              <w:top w:w="80" w:type="dxa"/>
              <w:bottom w:w="80" w:type="dxa"/>
              <w:start w:w="120" w:type="dxa"/>
              <w:end w:w="120" w:type="dxa"/>
            </w:tcMar>
            <w:shd w:fill="E8EEF5"/>
          </w:tcPr>
          <w:p>
            <w:pPr>
              <w:pStyle w:val="TableText"/>
            </w:pPr>
            <w:r>
              <w:rPr>
                <w:b/>
              </w:rPr>
              <w:t>Metric</w:t>
            </w:r>
          </w:p>
        </w:tc>
        <w:tc>
          <w:tcPr>
            <w:tcW w:type="dxa" w:w="3590"/>
            <w:tcMar>
              <w:top w:w="80" w:type="dxa"/>
              <w:bottom w:w="80" w:type="dxa"/>
              <w:start w:w="120" w:type="dxa"/>
              <w:end w:w="120" w:type="dxa"/>
            </w:tcMar>
            <w:shd w:fill="E8EEF5"/>
          </w:tcPr>
          <w:p>
            <w:pPr>
              <w:pStyle w:val="TableText"/>
            </w:pPr>
            <w:r>
              <w:rPr>
                <w:b/>
              </w:rPr>
              <w:t>Bench / pilot target</w:t>
            </w:r>
          </w:p>
        </w:tc>
        <w:tc>
          <w:tcPr>
            <w:tcW w:type="dxa" w:w="3680"/>
            <w:tcMar>
              <w:top w:w="80" w:type="dxa"/>
              <w:bottom w:w="80" w:type="dxa"/>
              <w:start w:w="120" w:type="dxa"/>
              <w:end w:w="120" w:type="dxa"/>
            </w:tcMar>
            <w:shd w:fill="E8EEF5"/>
          </w:tcPr>
          <w:p>
            <w:pPr>
              <w:pStyle w:val="TableText"/>
            </w:pPr>
            <w:r>
              <w:rPr>
                <w:b/>
              </w:rPr>
              <w:t>Measurement boundary</w:t>
            </w:r>
          </w:p>
        </w:tc>
      </w:tr>
      <w:tr>
        <w:trPr>
          <w:cantSplit/>
        </w:trPr>
        <w:tc>
          <w:tcPr>
            <w:tcW w:type="dxa" w:w="2090"/>
            <w:tcMar>
              <w:top w:w="80" w:type="dxa"/>
              <w:bottom w:w="80" w:type="dxa"/>
              <w:start w:w="120" w:type="dxa"/>
              <w:end w:w="120" w:type="dxa"/>
            </w:tcMar>
          </w:tcPr>
          <w:p>
            <w:pPr>
              <w:pStyle w:val="TableText"/>
            </w:pPr>
            <w:r>
              <w:t>Local input feedback</w:t>
            </w:r>
          </w:p>
        </w:tc>
        <w:tc>
          <w:tcPr>
            <w:tcW w:type="dxa" w:w="3590"/>
            <w:tcMar>
              <w:top w:w="80" w:type="dxa"/>
              <w:bottom w:w="80" w:type="dxa"/>
              <w:start w:w="120" w:type="dxa"/>
              <w:end w:w="120" w:type="dxa"/>
            </w:tcMar>
          </w:tcPr>
          <w:p>
            <w:pPr>
              <w:pStyle w:val="TableText"/>
            </w:pPr>
            <w:r>
              <w:t>≤500 ms under normal load; privacy gating ≤1s</w:t>
            </w:r>
          </w:p>
        </w:tc>
        <w:tc>
          <w:tcPr>
            <w:tcW w:type="dxa" w:w="3680"/>
            <w:tcMar>
              <w:top w:w="80" w:type="dxa"/>
              <w:bottom w:w="80" w:type="dxa"/>
              <w:start w:w="120" w:type="dxa"/>
              <w:end w:w="120" w:type="dxa"/>
            </w:tcMar>
          </w:tcPr>
          <w:p>
            <w:pPr>
              <w:pStyle w:val="TableText"/>
            </w:pPr>
            <w:r>
              <w:t>Electrical input accepted → correct local feedback; storage error uses failure feedback.</w:t>
            </w:r>
          </w:p>
        </w:tc>
      </w:tr>
      <w:tr>
        <w:trPr>
          <w:cantSplit/>
        </w:trPr>
        <w:tc>
          <w:tcPr>
            <w:tcW w:type="dxa" w:w="2090"/>
            <w:tcMar>
              <w:top w:w="80" w:type="dxa"/>
              <w:bottom w:w="80" w:type="dxa"/>
              <w:start w:w="120" w:type="dxa"/>
              <w:end w:w="120" w:type="dxa"/>
            </w:tcMar>
          </w:tcPr>
          <w:p>
            <w:pPr>
              <w:pStyle w:val="TableText"/>
            </w:pPr>
            <w:r>
              <w:t>Routine execution</w:t>
            </w:r>
          </w:p>
        </w:tc>
        <w:tc>
          <w:tcPr>
            <w:tcW w:type="dxa" w:w="3590"/>
            <w:tcMar>
              <w:top w:w="80" w:type="dxa"/>
              <w:bottom w:w="80" w:type="dxa"/>
              <w:start w:w="120" w:type="dxa"/>
              <w:end w:w="120" w:type="dxa"/>
            </w:tcMar>
          </w:tcPr>
          <w:p>
            <w:pPr>
              <w:pStyle w:val="TableText"/>
            </w:pPr>
            <w:r>
              <w:t>≤2 s after local deadline/grace timer</w:t>
            </w:r>
          </w:p>
        </w:tc>
        <w:tc>
          <w:tcPr>
            <w:tcW w:type="dxa" w:w="3680"/>
            <w:tcMar>
              <w:top w:w="80" w:type="dxa"/>
              <w:bottom w:w="80" w:type="dxa"/>
              <w:start w:w="120" w:type="dxa"/>
              <w:end w:w="120" w:type="dxa"/>
            </w:tcMar>
          </w:tcPr>
          <w:p>
            <w:pPr>
              <w:pStyle w:val="TableText"/>
            </w:pPr>
            <w:r>
              <w:t>Valid time and no injected storage/CPU failure; no cloud dependency.</w:t>
            </w:r>
          </w:p>
        </w:tc>
      </w:tr>
      <w:tr>
        <w:trPr>
          <w:cantSplit/>
        </w:trPr>
        <w:tc>
          <w:tcPr>
            <w:tcW w:type="dxa" w:w="2090"/>
            <w:tcMar>
              <w:top w:w="80" w:type="dxa"/>
              <w:bottom w:w="80" w:type="dxa"/>
              <w:start w:w="120" w:type="dxa"/>
              <w:end w:w="120" w:type="dxa"/>
            </w:tcMar>
          </w:tcPr>
          <w:p>
            <w:pPr>
              <w:pStyle w:val="TableText"/>
            </w:pPr>
            <w:r>
              <w:t>Healthy event commit</w:t>
            </w:r>
          </w:p>
        </w:tc>
        <w:tc>
          <w:tcPr>
            <w:tcW w:type="dxa" w:w="3590"/>
            <w:tcMar>
              <w:top w:w="80" w:type="dxa"/>
              <w:bottom w:w="80" w:type="dxa"/>
              <w:start w:w="120" w:type="dxa"/>
              <w:end w:w="120" w:type="dxa"/>
            </w:tcMar>
          </w:tcPr>
          <w:p>
            <w:pPr>
              <w:pStyle w:val="TableText"/>
            </w:pPr>
            <w:r>
              <w:t>p95 ≤2 s at intended placement</w:t>
            </w:r>
          </w:p>
        </w:tc>
        <w:tc>
          <w:tcPr>
            <w:tcW w:type="dxa" w:w="3680"/>
            <w:tcMar>
              <w:top w:w="80" w:type="dxa"/>
              <w:bottom w:w="80" w:type="dxa"/>
              <w:start w:w="120" w:type="dxa"/>
              <w:end w:w="120" w:type="dxa"/>
            </w:tcMar>
          </w:tcPr>
          <w:p>
            <w:pPr>
              <w:pStyle w:val="TableText"/>
            </w:pPr>
            <w:r>
              <w:t>Sensor edge → durable hub business ACK; separate placement miss rate.</w:t>
            </w:r>
          </w:p>
        </w:tc>
      </w:tr>
      <w:tr>
        <w:trPr>
          <w:cantSplit/>
        </w:trPr>
        <w:tc>
          <w:tcPr>
            <w:tcW w:type="dxa" w:w="2090"/>
            <w:tcMar>
              <w:top w:w="80" w:type="dxa"/>
              <w:bottom w:w="80" w:type="dxa"/>
              <w:start w:w="120" w:type="dxa"/>
              <w:end w:w="120" w:type="dxa"/>
            </w:tcMar>
          </w:tcPr>
          <w:p>
            <w:pPr>
              <w:pStyle w:val="TableText"/>
            </w:pPr>
            <w:r>
              <w:t>Remote request</w:t>
            </w:r>
          </w:p>
        </w:tc>
        <w:tc>
          <w:tcPr>
            <w:tcW w:type="dxa" w:w="3590"/>
            <w:tcMar>
              <w:top w:w="80" w:type="dxa"/>
              <w:bottom w:w="80" w:type="dxa"/>
              <w:start w:w="120" w:type="dxa"/>
              <w:end w:w="120" w:type="dxa"/>
            </w:tcMar>
          </w:tcPr>
          <w:p>
            <w:pPr>
              <w:pStyle w:val="TableText"/>
            </w:pPr>
            <w:r>
              <w:t>p95 ≤10 s to provider acceptance on healthy internet</w:t>
            </w:r>
          </w:p>
        </w:tc>
        <w:tc>
          <w:tcPr>
            <w:tcW w:type="dxa" w:w="3680"/>
            <w:tcMar>
              <w:top w:w="80" w:type="dxa"/>
              <w:bottom w:w="80" w:type="dxa"/>
              <w:start w:w="120" w:type="dxa"/>
              <w:end w:w="120" w:type="dxa"/>
            </w:tcMar>
          </w:tcPr>
          <w:p>
            <w:pPr>
              <w:pStyle w:val="TableText"/>
            </w:pPr>
            <w:r>
              <w:t>Hub contact event → provider acceptance; separately measure actual phone display, no guaranteed delivery.</w:t>
            </w:r>
          </w:p>
        </w:tc>
      </w:tr>
      <w:tr>
        <w:trPr>
          <w:cantSplit/>
        </w:trPr>
        <w:tc>
          <w:tcPr>
            <w:tcW w:type="dxa" w:w="2090"/>
            <w:tcMar>
              <w:top w:w="80" w:type="dxa"/>
              <w:bottom w:w="80" w:type="dxa"/>
              <w:start w:w="120" w:type="dxa"/>
              <w:end w:w="120" w:type="dxa"/>
            </w:tcMar>
          </w:tcPr>
          <w:p>
            <w:pPr>
              <w:pStyle w:val="TableText"/>
            </w:pPr>
            <w:r>
              <w:t>Health expiry</w:t>
            </w:r>
          </w:p>
        </w:tc>
        <w:tc>
          <w:tcPr>
            <w:tcW w:type="dxa" w:w="3590"/>
            <w:tcMar>
              <w:top w:w="80" w:type="dxa"/>
              <w:bottom w:w="80" w:type="dxa"/>
              <w:start w:w="120" w:type="dxa"/>
              <w:end w:w="120" w:type="dxa"/>
            </w:tcMar>
          </w:tcPr>
          <w:p>
            <w:pPr>
              <w:pStyle w:val="TableText"/>
            </w:pPr>
            <w:r>
              <w:t>190 s lease + ≤2 s local / ≤10 s backend evaluation</w:t>
            </w:r>
          </w:p>
        </w:tc>
        <w:tc>
          <w:tcPr>
            <w:tcW w:type="dxa" w:w="3680"/>
            <w:tcMar>
              <w:top w:w="80" w:type="dxa"/>
              <w:bottom w:w="80" w:type="dxa"/>
              <w:start w:w="120" w:type="dxa"/>
              <w:end w:w="120" w:type="dxa"/>
            </w:tcMar>
          </w:tcPr>
          <w:p>
            <w:pPr>
              <w:pStyle w:val="TableText"/>
            </w:pPr>
            <w:r>
              <w:t>Last authenticated heartbeat; unknown cause, not “power cut” assertion.</w:t>
            </w:r>
          </w:p>
        </w:tc>
      </w:tr>
      <w:tr>
        <w:trPr>
          <w:cantSplit/>
        </w:trPr>
        <w:tc>
          <w:tcPr>
            <w:tcW w:type="dxa" w:w="2090"/>
            <w:tcMar>
              <w:top w:w="80" w:type="dxa"/>
              <w:bottom w:w="80" w:type="dxa"/>
              <w:start w:w="120" w:type="dxa"/>
              <w:end w:w="120" w:type="dxa"/>
            </w:tcMar>
          </w:tcPr>
          <w:p>
            <w:pPr>
              <w:pStyle w:val="TableText"/>
            </w:pPr>
            <w:r>
              <w:t>Offline storage</w:t>
            </w:r>
          </w:p>
        </w:tc>
        <w:tc>
          <w:tcPr>
            <w:tcW w:type="dxa" w:w="3590"/>
            <w:tcMar>
              <w:top w:w="80" w:type="dxa"/>
              <w:bottom w:w="80" w:type="dxa"/>
              <w:start w:w="120" w:type="dxa"/>
              <w:end w:w="120" w:type="dxa"/>
            </w:tcMar>
          </w:tcPr>
          <w:p>
            <w:pPr>
              <w:pStyle w:val="TableText"/>
            </w:pPr>
            <w:r>
              <w:t>≥72 h at 500 business events/home/day plus state overhead</w:t>
            </w:r>
          </w:p>
        </w:tc>
        <w:tc>
          <w:tcPr>
            <w:tcW w:type="dxa" w:w="3680"/>
            <w:tcMar>
              <w:top w:w="80" w:type="dxa"/>
              <w:bottom w:w="80" w:type="dxa"/>
              <w:start w:w="120" w:type="dxa"/>
              <w:end w:w="120" w:type="dxa"/>
            </w:tcMar>
          </w:tcPr>
          <w:p>
            <w:pPr>
              <w:pStyle w:val="TableText"/>
            </w:pPr>
            <w:r>
              <w:t>Measured serialized journal, not theoretical flash capacity only.</w:t>
            </w:r>
          </w:p>
        </w:tc>
      </w:tr>
      <w:tr>
        <w:trPr>
          <w:cantSplit/>
        </w:trPr>
        <w:tc>
          <w:tcPr>
            <w:tcW w:type="dxa" w:w="2090"/>
            <w:tcMar>
              <w:top w:w="80" w:type="dxa"/>
              <w:bottom w:w="80" w:type="dxa"/>
              <w:start w:w="120" w:type="dxa"/>
              <w:end w:w="120" w:type="dxa"/>
            </w:tcMar>
          </w:tcPr>
          <w:p>
            <w:pPr>
              <w:pStyle w:val="TableText"/>
            </w:pPr>
            <w:r>
              <w:t>Battery targets</w:t>
            </w:r>
          </w:p>
        </w:tc>
        <w:tc>
          <w:tcPr>
            <w:tcW w:type="dxa" w:w="3590"/>
            <w:tcMar>
              <w:top w:w="80" w:type="dxa"/>
              <w:bottom w:w="80" w:type="dxa"/>
              <w:start w:w="120" w:type="dxa"/>
              <w:end w:w="120" w:type="dxa"/>
            </w:tcMar>
          </w:tcPr>
          <w:p>
            <w:pPr>
              <w:pStyle w:val="TableText"/>
            </w:pPr>
            <w:r>
              <w:t>Nodes ≥7 d bench / provisional ≥30 d pilot; hub backup ≥4 h</w:t>
            </w:r>
          </w:p>
        </w:tc>
        <w:tc>
          <w:tcPr>
            <w:tcW w:type="dxa" w:w="3680"/>
            <w:tcMar>
              <w:top w:w="80" w:type="dxa"/>
              <w:bottom w:w="80" w:type="dxa"/>
              <w:start w:w="120" w:type="dxa"/>
              <w:end w:w="120" w:type="dxa"/>
            </w:tcMar>
          </w:tcPr>
          <w:p>
            <w:pPr>
              <w:pStyle w:val="TableText"/>
            </w:pPr>
            <w:r>
              <w:t>Whole-device battery-side discharge at documented workload; no lifetime guarantee.</w:t>
            </w:r>
          </w:p>
        </w:tc>
      </w:tr>
    </w:tbl>
    <w:p>
      <w:pPr>
        <w:pStyle w:val="TableSpacer"/>
      </w:pPr>
    </w:p>
    <w:p>
      <w:pPr>
        <w:pStyle w:val="Heading2"/>
        <w:pageBreakBefore/>
      </w:pPr>
      <w:r>
        <w:rPr>
          <w:color w:val="000000"/>
        </w:rPr>
        <w:t>Cross-feature failure scenario matrix</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500"/>
        <w:gridCol w:w="4510"/>
        <w:gridCol w:w="2350"/>
      </w:tblGrid>
      <w:tr>
        <w:trPr>
          <w:cantSplit/>
          <w:tblHeader/>
        </w:trPr>
        <w:tc>
          <w:tcPr>
            <w:tcW w:type="dxa" w:w="2500"/>
            <w:tcMar>
              <w:top w:w="80" w:type="dxa"/>
              <w:bottom w:w="80" w:type="dxa"/>
              <w:start w:w="120" w:type="dxa"/>
              <w:end w:w="120" w:type="dxa"/>
            </w:tcMar>
            <w:shd w:fill="E8EEF5"/>
          </w:tcPr>
          <w:p>
            <w:pPr>
              <w:pStyle w:val="TableText"/>
            </w:pPr>
            <w:r>
              <w:rPr>
                <w:b/>
              </w:rPr>
              <w:t>Scenario</w:t>
            </w:r>
          </w:p>
        </w:tc>
        <w:tc>
          <w:tcPr>
            <w:tcW w:type="dxa" w:w="4510"/>
            <w:tcMar>
              <w:top w:w="80" w:type="dxa"/>
              <w:bottom w:w="80" w:type="dxa"/>
              <w:start w:w="120" w:type="dxa"/>
              <w:end w:w="120" w:type="dxa"/>
            </w:tcMar>
            <w:shd w:fill="E8EEF5"/>
          </w:tcPr>
          <w:p>
            <w:pPr>
              <w:pStyle w:val="TableText"/>
            </w:pPr>
            <w:r>
              <w:rPr>
                <w:b/>
              </w:rPr>
              <w:t>Required invariant</w:t>
            </w:r>
          </w:p>
        </w:tc>
        <w:tc>
          <w:tcPr>
            <w:tcW w:type="dxa" w:w="2350"/>
            <w:tcMar>
              <w:top w:w="80" w:type="dxa"/>
              <w:bottom w:w="80" w:type="dxa"/>
              <w:start w:w="120" w:type="dxa"/>
              <w:end w:w="120" w:type="dxa"/>
            </w:tcMar>
            <w:shd w:fill="E8EEF5"/>
          </w:tcPr>
          <w:p>
            <w:pPr>
              <w:pStyle w:val="TableText"/>
            </w:pPr>
            <w:r>
              <w:rPr>
                <w:b/>
              </w:rPr>
              <w:t>Coverage IDs</w:t>
            </w:r>
          </w:p>
        </w:tc>
      </w:tr>
      <w:tr>
        <w:trPr>
          <w:cantSplit/>
        </w:trPr>
        <w:tc>
          <w:tcPr>
            <w:tcW w:type="dxa" w:w="2500"/>
            <w:tcMar>
              <w:top w:w="80" w:type="dxa"/>
              <w:bottom w:w="80" w:type="dxa"/>
              <w:start w:w="120" w:type="dxa"/>
              <w:end w:w="120" w:type="dxa"/>
            </w:tcMar>
          </w:tcPr>
          <w:p>
            <w:pPr>
              <w:pStyle w:val="TableText"/>
            </w:pPr>
            <w:r>
              <w:t>Normal, late wake, outside window</w:t>
            </w:r>
          </w:p>
        </w:tc>
        <w:tc>
          <w:tcPr>
            <w:tcW w:type="dxa" w:w="4510"/>
            <w:tcMar>
              <w:top w:w="80" w:type="dxa"/>
              <w:bottom w:w="80" w:type="dxa"/>
              <w:start w:w="120" w:type="dxa"/>
              <w:end w:w="120" w:type="dxa"/>
            </w:tcMar>
          </w:tcPr>
          <w:p>
            <w:pPr>
              <w:pStyle w:val="TableText"/>
            </w:pPr>
            <w:r>
              <w:t>Correct chronology; no mandatory room sequence; one stable window.</w:t>
            </w:r>
          </w:p>
        </w:tc>
        <w:tc>
          <w:tcPr>
            <w:tcW w:type="dxa" w:w="2350"/>
            <w:tcMar>
              <w:top w:w="80" w:type="dxa"/>
              <w:bottom w:w="80" w:type="dxa"/>
              <w:start w:w="120" w:type="dxa"/>
              <w:end w:w="120" w:type="dxa"/>
            </w:tcMar>
          </w:tcPr>
          <w:p>
            <w:pPr>
              <w:pStyle w:val="TableText"/>
            </w:pPr>
            <w:r>
              <w:t>F04, F05, F08, E06</w:t>
            </w:r>
          </w:p>
        </w:tc>
      </w:tr>
      <w:tr>
        <w:trPr>
          <w:cantSplit/>
        </w:trPr>
        <w:tc>
          <w:tcPr>
            <w:tcW w:type="dxa" w:w="2500"/>
            <w:tcMar>
              <w:top w:w="80" w:type="dxa"/>
              <w:bottom w:w="80" w:type="dxa"/>
              <w:start w:w="120" w:type="dxa"/>
              <w:end w:w="120" w:type="dxa"/>
            </w:tcMar>
          </w:tcPr>
          <w:p>
            <w:pPr>
              <w:pStyle w:val="TableText"/>
            </w:pPr>
            <w:r>
              <w:t>Away, guests, pause and withdrawal</w:t>
            </w:r>
          </w:p>
        </w:tc>
        <w:tc>
          <w:tcPr>
            <w:tcW w:type="dxa" w:w="4510"/>
            <w:tcMar>
              <w:top w:w="80" w:type="dxa"/>
              <w:bottom w:w="80" w:type="dxa"/>
              <w:start w:w="120" w:type="dxa"/>
              <w:end w:w="120" w:type="dxa"/>
            </w:tcMar>
          </w:tcPr>
          <w:p>
            <w:pPr>
              <w:pStyle w:val="TableText"/>
            </w:pPr>
            <w:r>
              <w:t>No hub/cloud passive storage during privacy; no visitor identity inference. Purge/drop buffered privacy events.</w:t>
            </w:r>
          </w:p>
        </w:tc>
        <w:tc>
          <w:tcPr>
            <w:tcW w:type="dxa" w:w="2350"/>
            <w:tcMar>
              <w:top w:w="80" w:type="dxa"/>
              <w:bottom w:w="80" w:type="dxa"/>
              <w:start w:w="120" w:type="dxa"/>
              <w:end w:w="120" w:type="dxa"/>
            </w:tcMar>
          </w:tcPr>
          <w:p>
            <w:pPr>
              <w:pStyle w:val="TableText"/>
            </w:pPr>
            <w:r>
              <w:t>F02, F10, E08</w:t>
            </w:r>
          </w:p>
        </w:tc>
      </w:tr>
      <w:tr>
        <w:trPr>
          <w:cantSplit/>
        </w:trPr>
        <w:tc>
          <w:tcPr>
            <w:tcW w:type="dxa" w:w="2500"/>
            <w:tcMar>
              <w:top w:w="80" w:type="dxa"/>
              <w:bottom w:w="80" w:type="dxa"/>
              <w:start w:w="120" w:type="dxa"/>
              <w:end w:w="120" w:type="dxa"/>
            </w:tcMar>
          </w:tcPr>
          <w:p>
            <w:pPr>
              <w:pStyle w:val="TableText"/>
            </w:pPr>
            <w:r>
              <w:t>PIR/door battery removed mid-window</w:t>
            </w:r>
          </w:p>
        </w:tc>
        <w:tc>
          <w:tcPr>
            <w:tcW w:type="dxa" w:w="4510"/>
            <w:tcMar>
              <w:top w:w="80" w:type="dxa"/>
              <w:bottom w:w="80" w:type="dxa"/>
              <w:start w:w="120" w:type="dxa"/>
              <w:end w:w="120" w:type="dxa"/>
            </w:tcMar>
          </w:tcPr>
          <w:p>
            <w:pPr>
              <w:pStyle w:val="TableText"/>
            </w:pPr>
            <w:r>
              <w:t>Incomplete observation, never confident inactivity from lost coverage.</w:t>
            </w:r>
          </w:p>
        </w:tc>
        <w:tc>
          <w:tcPr>
            <w:tcW w:type="dxa" w:w="2350"/>
            <w:tcMar>
              <w:top w:w="80" w:type="dxa"/>
              <w:bottom w:w="80" w:type="dxa"/>
              <w:start w:w="120" w:type="dxa"/>
              <w:end w:w="120" w:type="dxa"/>
            </w:tcMar>
          </w:tcPr>
          <w:p>
            <w:pPr>
              <w:pStyle w:val="TableText"/>
            </w:pPr>
            <w:r>
              <w:t>F08, F09, E01</w:t>
            </w:r>
          </w:p>
        </w:tc>
      </w:tr>
      <w:tr>
        <w:trPr>
          <w:cantSplit/>
        </w:trPr>
        <w:tc>
          <w:tcPr>
            <w:tcW w:type="dxa" w:w="2500"/>
            <w:tcMar>
              <w:top w:w="80" w:type="dxa"/>
              <w:bottom w:w="80" w:type="dxa"/>
              <w:start w:w="120" w:type="dxa"/>
              <w:end w:w="120" w:type="dxa"/>
            </w:tcMar>
          </w:tcPr>
          <w:p>
            <w:pPr>
              <w:pStyle w:val="TableText"/>
            </w:pPr>
            <w:r>
              <w:t>Router reboot / auto-channel change</w:t>
            </w:r>
          </w:p>
        </w:tc>
        <w:tc>
          <w:tcPr>
            <w:tcW w:type="dxa" w:w="4510"/>
            <w:tcMar>
              <w:top w:w="80" w:type="dxa"/>
              <w:bottom w:w="80" w:type="dxa"/>
              <w:start w:w="120" w:type="dxa"/>
              <w:end w:w="120" w:type="dxa"/>
            </w:tcMar>
          </w:tcPr>
          <w:p>
            <w:pPr>
              <w:pStyle w:val="TableText"/>
            </w:pPr>
            <w:r>
              <w:t>Bounded reacquisition; historical gap survives recovery.</w:t>
            </w:r>
          </w:p>
        </w:tc>
        <w:tc>
          <w:tcPr>
            <w:tcW w:type="dxa" w:w="2350"/>
            <w:tcMar>
              <w:top w:w="80" w:type="dxa"/>
              <w:bottom w:w="80" w:type="dxa"/>
              <w:start w:w="120" w:type="dxa"/>
              <w:end w:w="120" w:type="dxa"/>
            </w:tcMar>
          </w:tcPr>
          <w:p>
            <w:pPr>
              <w:pStyle w:val="TableText"/>
            </w:pPr>
            <w:r>
              <w:t>E02, E03, E04</w:t>
            </w:r>
          </w:p>
        </w:tc>
      </w:tr>
      <w:tr>
        <w:trPr>
          <w:cantSplit/>
        </w:trPr>
        <w:tc>
          <w:tcPr>
            <w:tcW w:type="dxa" w:w="2500"/>
            <w:tcMar>
              <w:top w:w="80" w:type="dxa"/>
              <w:bottom w:w="80" w:type="dxa"/>
              <w:start w:w="120" w:type="dxa"/>
              <w:end w:w="120" w:type="dxa"/>
            </w:tcMar>
          </w:tcPr>
          <w:p>
            <w:pPr>
              <w:pStyle w:val="TableText"/>
            </w:pPr>
            <w:r>
              <w:t>Hub reboot at deadline / invalid clock</w:t>
            </w:r>
          </w:p>
        </w:tc>
        <w:tc>
          <w:tcPr>
            <w:tcW w:type="dxa" w:w="4510"/>
            <w:tcMar>
              <w:top w:w="80" w:type="dxa"/>
              <w:bottom w:w="80" w:type="dxa"/>
              <w:start w:w="120" w:type="dxa"/>
              <w:end w:w="120" w:type="dxa"/>
            </w:tcMar>
          </w:tcPr>
          <w:p>
            <w:pPr>
              <w:pStyle w:val="TableText"/>
            </w:pPr>
            <w:r>
              <w:t>No duplicate alert; no absence inference with unknown time.</w:t>
            </w:r>
          </w:p>
        </w:tc>
        <w:tc>
          <w:tcPr>
            <w:tcW w:type="dxa" w:w="2350"/>
            <w:tcMar>
              <w:top w:w="80" w:type="dxa"/>
              <w:bottom w:w="80" w:type="dxa"/>
              <w:start w:w="120" w:type="dxa"/>
              <w:end w:w="120" w:type="dxa"/>
            </w:tcMar>
          </w:tcPr>
          <w:p>
            <w:pPr>
              <w:pStyle w:val="TableText"/>
            </w:pPr>
            <w:r>
              <w:t>F08, E05, E06</w:t>
            </w:r>
          </w:p>
        </w:tc>
      </w:tr>
      <w:tr>
        <w:trPr>
          <w:cantSplit/>
        </w:trPr>
        <w:tc>
          <w:tcPr>
            <w:tcW w:type="dxa" w:w="2500"/>
            <w:tcMar>
              <w:top w:w="80" w:type="dxa"/>
              <w:bottom w:w="80" w:type="dxa"/>
              <w:start w:w="120" w:type="dxa"/>
              <w:end w:w="120" w:type="dxa"/>
            </w:tcMar>
          </w:tcPr>
          <w:p>
            <w:pPr>
              <w:pStyle w:val="TableText"/>
            </w:pPr>
            <w:r>
              <w:t>Duplicate, delayed and reordered packets</w:t>
            </w:r>
          </w:p>
        </w:tc>
        <w:tc>
          <w:tcPr>
            <w:tcW w:type="dxa" w:w="4510"/>
            <w:tcMar>
              <w:top w:w="80" w:type="dxa"/>
              <w:bottom w:w="80" w:type="dxa"/>
              <w:start w:w="120" w:type="dxa"/>
              <w:end w:w="120" w:type="dxa"/>
            </w:tcMar>
          </w:tcPr>
          <w:p>
            <w:pPr>
              <w:pStyle w:val="TableText"/>
            </w:pPr>
            <w:r>
              <w:t>Original IDs/time preserved; late correction is visible.</w:t>
            </w:r>
          </w:p>
        </w:tc>
        <w:tc>
          <w:tcPr>
            <w:tcW w:type="dxa" w:w="2350"/>
            <w:tcMar>
              <w:top w:w="80" w:type="dxa"/>
              <w:bottom w:w="80" w:type="dxa"/>
              <w:start w:w="120" w:type="dxa"/>
              <w:end w:w="120" w:type="dxa"/>
            </w:tcMar>
          </w:tcPr>
          <w:p>
            <w:pPr>
              <w:pStyle w:val="TableText"/>
            </w:pPr>
            <w:r>
              <w:t>F05, F07, E02</w:t>
            </w:r>
          </w:p>
        </w:tc>
      </w:tr>
      <w:tr>
        <w:trPr>
          <w:cantSplit/>
        </w:trPr>
        <w:tc>
          <w:tcPr>
            <w:tcW w:type="dxa" w:w="2500"/>
            <w:tcMar>
              <w:top w:w="80" w:type="dxa"/>
              <w:bottom w:w="80" w:type="dxa"/>
              <w:start w:w="120" w:type="dxa"/>
              <w:end w:w="120" w:type="dxa"/>
            </w:tcMar>
          </w:tcPr>
          <w:p>
            <w:pPr>
              <w:pStyle w:val="TableText"/>
            </w:pPr>
            <w:r>
              <w:t>Push blocked / expired / phone muted</w:t>
            </w:r>
          </w:p>
        </w:tc>
        <w:tc>
          <w:tcPr>
            <w:tcW w:type="dxa" w:w="4510"/>
            <w:tcMar>
              <w:top w:w="80" w:type="dxa"/>
              <w:bottom w:w="80" w:type="dxa"/>
              <w:start w:w="120" w:type="dxa"/>
              <w:end w:w="120" w:type="dxa"/>
            </w:tcMar>
          </w:tcPr>
          <w:p>
            <w:pPr>
              <w:pStyle w:val="TableText"/>
            </w:pPr>
            <w:r>
              <w:t>Route health/error visible; no claim a human was notified.</w:t>
            </w:r>
          </w:p>
        </w:tc>
        <w:tc>
          <w:tcPr>
            <w:tcW w:type="dxa" w:w="2350"/>
            <w:tcMar>
              <w:top w:w="80" w:type="dxa"/>
              <w:bottom w:w="80" w:type="dxa"/>
              <w:start w:w="120" w:type="dxa"/>
              <w:end w:w="120" w:type="dxa"/>
            </w:tcMar>
          </w:tcPr>
          <w:p>
            <w:pPr>
              <w:pStyle w:val="TableText"/>
            </w:pPr>
            <w:r>
              <w:t>F11, F13, E04</w:t>
            </w:r>
          </w:p>
        </w:tc>
      </w:tr>
      <w:tr>
        <w:trPr>
          <w:cantSplit/>
        </w:trPr>
        <w:tc>
          <w:tcPr>
            <w:tcW w:type="dxa" w:w="2500"/>
            <w:tcMar>
              <w:top w:w="80" w:type="dxa"/>
              <w:bottom w:w="80" w:type="dxa"/>
              <w:start w:w="120" w:type="dxa"/>
              <w:end w:w="120" w:type="dxa"/>
            </w:tcMar>
          </w:tcPr>
          <w:p>
            <w:pPr>
              <w:pStyle w:val="TableText"/>
            </w:pPr>
            <w:r>
              <w:t>Primary no-ack / claimed then silent</w:t>
            </w:r>
          </w:p>
        </w:tc>
        <w:tc>
          <w:tcPr>
            <w:tcW w:type="dxa" w:w="4510"/>
            <w:tcMar>
              <w:top w:w="80" w:type="dxa"/>
              <w:bottom w:w="80" w:type="dxa"/>
              <w:start w:w="120" w:type="dxa"/>
              <w:end w:w="120" w:type="dxa"/>
            </w:tcMar>
          </w:tcPr>
          <w:p>
            <w:pPr>
              <w:pStyle w:val="TableText"/>
            </w:pPr>
            <w:r>
              <w:t>Backup routing and claim-lease expiry; bounded route exhaustion.</w:t>
            </w:r>
          </w:p>
        </w:tc>
        <w:tc>
          <w:tcPr>
            <w:tcW w:type="dxa" w:w="2350"/>
            <w:tcMar>
              <w:top w:w="80" w:type="dxa"/>
              <w:bottom w:w="80" w:type="dxa"/>
              <w:start w:w="120" w:type="dxa"/>
              <w:end w:w="120" w:type="dxa"/>
            </w:tcMar>
          </w:tcPr>
          <w:p>
            <w:pPr>
              <w:pStyle w:val="TableText"/>
            </w:pPr>
            <w:r>
              <w:t>F12, F13</w:t>
            </w:r>
          </w:p>
        </w:tc>
      </w:tr>
      <w:tr>
        <w:trPr>
          <w:cantSplit/>
        </w:trPr>
        <w:tc>
          <w:tcPr>
            <w:tcW w:type="dxa" w:w="2500"/>
            <w:tcMar>
              <w:top w:w="80" w:type="dxa"/>
              <w:bottom w:w="80" w:type="dxa"/>
              <w:start w:w="120" w:type="dxa"/>
              <w:end w:w="120" w:type="dxa"/>
            </w:tcMar>
          </w:tcPr>
          <w:p>
            <w:pPr>
              <w:pStyle w:val="TableText"/>
            </w:pPr>
            <w:r>
              <w:t>Privacy during an outage</w:t>
            </w:r>
          </w:p>
        </w:tc>
        <w:tc>
          <w:tcPr>
            <w:tcW w:type="dxa" w:w="4510"/>
            <w:tcMar>
              <w:top w:w="80" w:type="dxa"/>
              <w:bottom w:w="80" w:type="dxa"/>
              <w:start w:w="120" w:type="dxa"/>
              <w:end w:w="120" w:type="dxa"/>
            </w:tcMar>
          </w:tcPr>
          <w:p>
            <w:pPr>
              <w:pStyle w:val="TableText"/>
            </w:pPr>
            <w:r>
              <w:t>Local gating works immediately; remote state remains stale until sync.</w:t>
            </w:r>
          </w:p>
        </w:tc>
        <w:tc>
          <w:tcPr>
            <w:tcW w:type="dxa" w:w="2350"/>
            <w:tcMar>
              <w:top w:w="80" w:type="dxa"/>
              <w:bottom w:w="80" w:type="dxa"/>
              <w:start w:w="120" w:type="dxa"/>
              <w:end w:w="120" w:type="dxa"/>
            </w:tcMar>
          </w:tcPr>
          <w:p>
            <w:pPr>
              <w:pStyle w:val="TableText"/>
            </w:pPr>
            <w:r>
              <w:t>F02, F10, E03</w:t>
            </w:r>
          </w:p>
        </w:tc>
      </w:tr>
      <w:tr>
        <w:trPr>
          <w:cantSplit/>
        </w:trPr>
        <w:tc>
          <w:tcPr>
            <w:tcW w:type="dxa" w:w="2500"/>
            <w:tcMar>
              <w:top w:w="80" w:type="dxa"/>
              <w:bottom w:w="80" w:type="dxa"/>
              <w:start w:w="120" w:type="dxa"/>
              <w:end w:w="120" w:type="dxa"/>
            </w:tcMar>
          </w:tcPr>
          <w:p>
            <w:pPr>
              <w:pStyle w:val="TableText"/>
            </w:pPr>
            <w:r>
              <w:t>Flash full / backend DB full</w:t>
            </w:r>
          </w:p>
        </w:tc>
        <w:tc>
          <w:tcPr>
            <w:tcW w:type="dxa" w:w="4510"/>
            <w:tcMar>
              <w:top w:w="80" w:type="dxa"/>
              <w:bottom w:w="80" w:type="dxa"/>
              <w:start w:w="120" w:type="dxa"/>
              <w:end w:w="120" w:type="dxa"/>
            </w:tcMar>
          </w:tcPr>
          <w:p>
            <w:pPr>
              <w:pStyle w:val="TableText"/>
            </w:pPr>
            <w:r>
              <w:t>No false durable ACK; explicit data-loss/service state.</w:t>
            </w:r>
          </w:p>
        </w:tc>
        <w:tc>
          <w:tcPr>
            <w:tcW w:type="dxa" w:w="2350"/>
            <w:tcMar>
              <w:top w:w="80" w:type="dxa"/>
              <w:bottom w:w="80" w:type="dxa"/>
              <w:start w:w="120" w:type="dxa"/>
              <w:end w:w="120" w:type="dxa"/>
            </w:tcMar>
          </w:tcPr>
          <w:p>
            <w:pPr>
              <w:pStyle w:val="TableText"/>
            </w:pPr>
            <w:r>
              <w:t>E02, E05, E10</w:t>
            </w:r>
          </w:p>
        </w:tc>
      </w:tr>
      <w:tr>
        <w:trPr>
          <w:cantSplit/>
        </w:trPr>
        <w:tc>
          <w:tcPr>
            <w:tcW w:type="dxa" w:w="2500"/>
            <w:tcMar>
              <w:top w:w="80" w:type="dxa"/>
              <w:bottom w:w="80" w:type="dxa"/>
              <w:start w:w="120" w:type="dxa"/>
              <w:end w:w="120" w:type="dxa"/>
            </w:tcMar>
          </w:tcPr>
          <w:p>
            <w:pPr>
              <w:pStyle w:val="TableText"/>
            </w:pPr>
            <w:r>
              <w:t>Wrong firmware / interrupted update</w:t>
            </w:r>
          </w:p>
        </w:tc>
        <w:tc>
          <w:tcPr>
            <w:tcW w:type="dxa" w:w="4510"/>
            <w:tcMar>
              <w:top w:w="80" w:type="dxa"/>
              <w:bottom w:w="80" w:type="dxa"/>
              <w:start w:w="120" w:type="dxa"/>
              <w:end w:w="120" w:type="dxa"/>
            </w:tcMar>
          </w:tcPr>
          <w:p>
            <w:pPr>
              <w:pStyle w:val="TableText"/>
            </w:pPr>
            <w:r>
              <w:t>Known good signed recovery; gaps marked; no disabled TLS.</w:t>
            </w:r>
          </w:p>
        </w:tc>
        <w:tc>
          <w:tcPr>
            <w:tcW w:type="dxa" w:w="2350"/>
            <w:tcMar>
              <w:top w:w="80" w:type="dxa"/>
              <w:bottom w:w="80" w:type="dxa"/>
              <w:start w:w="120" w:type="dxa"/>
              <w:end w:w="120" w:type="dxa"/>
            </w:tcMar>
          </w:tcPr>
          <w:p>
            <w:pPr>
              <w:pStyle w:val="TableText"/>
            </w:pPr>
            <w:r>
              <w:t>E08, E09</w:t>
            </w:r>
          </w:p>
        </w:tc>
      </w:tr>
      <w:tr>
        <w:trPr>
          <w:cantSplit/>
        </w:trPr>
        <w:tc>
          <w:tcPr>
            <w:tcW w:type="dxa" w:w="2500"/>
            <w:tcMar>
              <w:top w:w="80" w:type="dxa"/>
              <w:bottom w:w="80" w:type="dxa"/>
              <w:start w:w="120" w:type="dxa"/>
              <w:end w:w="120" w:type="dxa"/>
            </w:tcMar>
          </w:tcPr>
          <w:p>
            <w:pPr>
              <w:pStyle w:val="TableText"/>
            </w:pPr>
            <w:r>
              <w:t>Cross-home ID / removed caregiver</w:t>
            </w:r>
          </w:p>
        </w:tc>
        <w:tc>
          <w:tcPr>
            <w:tcW w:type="dxa" w:w="4510"/>
            <w:tcMar>
              <w:top w:w="80" w:type="dxa"/>
              <w:bottom w:w="80" w:type="dxa"/>
              <w:start w:w="120" w:type="dxa"/>
              <w:end w:w="120" w:type="dxa"/>
            </w:tcMar>
          </w:tcPr>
          <w:p>
            <w:pPr>
              <w:pStyle w:val="TableText"/>
            </w:pPr>
            <w:r>
              <w:t>Access denied across all paths; queued future routing cancelled.</w:t>
            </w:r>
          </w:p>
        </w:tc>
        <w:tc>
          <w:tcPr>
            <w:tcW w:type="dxa" w:w="2350"/>
            <w:tcMar>
              <w:top w:w="80" w:type="dxa"/>
              <w:bottom w:w="80" w:type="dxa"/>
              <w:start w:w="120" w:type="dxa"/>
              <w:end w:w="120" w:type="dxa"/>
            </w:tcMar>
          </w:tcPr>
          <w:p>
            <w:pPr>
              <w:pStyle w:val="TableText"/>
            </w:pPr>
            <w:r>
              <w:t>F01, E08</w:t>
            </w:r>
          </w:p>
        </w:tc>
      </w:tr>
      <w:tr>
        <w:trPr>
          <w:cantSplit/>
        </w:trPr>
        <w:tc>
          <w:tcPr>
            <w:tcW w:type="dxa" w:w="2500"/>
            <w:tcMar>
              <w:top w:w="80" w:type="dxa"/>
              <w:bottom w:w="80" w:type="dxa"/>
              <w:start w:w="120" w:type="dxa"/>
              <w:end w:w="120" w:type="dxa"/>
            </w:tcMar>
          </w:tcPr>
          <w:p>
            <w:pPr>
              <w:pStyle w:val="TableText"/>
            </w:pPr>
            <w:r>
              <w:t>Hub replacement / restored backup</w:t>
            </w:r>
          </w:p>
        </w:tc>
        <w:tc>
          <w:tcPr>
            <w:tcW w:type="dxa" w:w="4510"/>
            <w:tcMar>
              <w:top w:w="80" w:type="dxa"/>
              <w:bottom w:w="80" w:type="dxa"/>
              <w:start w:w="120" w:type="dxa"/>
              <w:end w:w="120" w:type="dxa"/>
            </w:tcMar>
          </w:tcPr>
          <w:p>
            <w:pPr>
              <w:pStyle w:val="TableText"/>
            </w:pPr>
            <w:r>
              <w:t>Old authority fenced; deletions re-applied; no event identity collision.</w:t>
            </w:r>
          </w:p>
        </w:tc>
        <w:tc>
          <w:tcPr>
            <w:tcW w:type="dxa" w:w="2350"/>
            <w:tcMar>
              <w:top w:w="80" w:type="dxa"/>
              <w:bottom w:w="80" w:type="dxa"/>
              <w:start w:w="120" w:type="dxa"/>
              <w:end w:w="120" w:type="dxa"/>
            </w:tcMar>
          </w:tcPr>
          <w:p>
            <w:pPr>
              <w:pStyle w:val="TableText"/>
            </w:pPr>
            <w:r>
              <w:t>F03, E05, E08</w:t>
            </w:r>
          </w:p>
        </w:tc>
      </w:tr>
    </w:tbl>
    <w:p>
      <w:pPr>
        <w:pStyle w:val="TableSpacer"/>
      </w:pPr>
    </w:p>
    <w:p>
      <w:pPr>
        <w:pStyle w:val="Heading2"/>
      </w:pPr>
      <w:r>
        <w:rPr>
          <w:color w:val="000000"/>
        </w:rPr>
        <w:t>Human validation before buying more hardware</w:t>
      </w:r>
    </w:p>
    <w:p>
      <w:pPr>
        <w:pStyle w:val="SpecBody"/>
      </w:pPr>
      <w:r>
        <w:t>Use one hub, simulated nodes and three mocked alert screens with three prospective caregiver buyers plus consenting residents. Ask: “What happened?”, “What is unknown?” and “What would you do next?” Test observed activity, missing evidence with good coverage, and sensor-offline/unknown. Any confusion between inactivity and lost observation is a P0 design defect. Then validate a physical check-in and Call family button without implying actual emergency coverage.</w:t>
      </w:r>
    </w:p>
    <w:p>
      <w:pPr>
        <w:pStyle w:val="Heading2"/>
        <w:pageBreakBefore/>
      </w:pPr>
      <w:r>
        <w:rPr>
          <w:color w:val="000000"/>
        </w:rPr>
        <w:t>Prototype, pilot and commercial exit gates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320"/>
        <w:gridCol w:w="4940"/>
        <w:gridCol w:w="3100"/>
      </w:tblGrid>
      <w:tr>
        <w:trPr>
          <w:cantSplit/>
          <w:tblHeader/>
        </w:trPr>
        <w:tc>
          <w:tcPr>
            <w:tcW w:type="dxa" w:w="1320"/>
            <w:tcMar>
              <w:top w:w="80" w:type="dxa"/>
              <w:bottom w:w="80" w:type="dxa"/>
              <w:start w:w="120" w:type="dxa"/>
              <w:end w:w="120" w:type="dxa"/>
            </w:tcMar>
            <w:shd w:fill="E8EEF5"/>
          </w:tcPr>
          <w:p>
            <w:pPr>
              <w:pStyle w:val="TableText"/>
            </w:pPr>
            <w:r>
              <w:rPr>
                <w:b/>
              </w:rPr>
              <w:t>Gate</w:t>
            </w:r>
          </w:p>
        </w:tc>
        <w:tc>
          <w:tcPr>
            <w:tcW w:type="dxa" w:w="4940"/>
            <w:tcMar>
              <w:top w:w="80" w:type="dxa"/>
              <w:bottom w:w="80" w:type="dxa"/>
              <w:start w:w="120" w:type="dxa"/>
              <w:end w:w="120" w:type="dxa"/>
            </w:tcMar>
            <w:shd w:fill="E8EEF5"/>
          </w:tcPr>
          <w:p>
            <w:pPr>
              <w:pStyle w:val="TableText"/>
            </w:pPr>
            <w:r>
              <w:rPr>
                <w:b/>
              </w:rPr>
              <w:t>Exit criterion</w:t>
            </w:r>
          </w:p>
        </w:tc>
        <w:tc>
          <w:tcPr>
            <w:tcW w:type="dxa" w:w="3100"/>
            <w:tcMar>
              <w:top w:w="80" w:type="dxa"/>
              <w:bottom w:w="80" w:type="dxa"/>
              <w:start w:w="120" w:type="dxa"/>
              <w:end w:w="120" w:type="dxa"/>
            </w:tcMar>
            <w:shd w:fill="E8EEF5"/>
          </w:tcPr>
          <w:p>
            <w:pPr>
              <w:pStyle w:val="TableText"/>
            </w:pPr>
            <w:r>
              <w:rPr>
                <w:b/>
              </w:rPr>
              <w:t>Do not proceed if…</w:t>
            </w:r>
          </w:p>
        </w:tc>
      </w:tr>
      <w:tr>
        <w:trPr>
          <w:cantSplit/>
        </w:trPr>
        <w:tc>
          <w:tcPr>
            <w:tcW w:type="dxa" w:w="1320"/>
            <w:tcMar>
              <w:top w:w="80" w:type="dxa"/>
              <w:bottom w:w="80" w:type="dxa"/>
              <w:start w:w="120" w:type="dxa"/>
              <w:end w:w="120" w:type="dxa"/>
            </w:tcMar>
          </w:tcPr>
          <w:p>
            <w:pPr>
              <w:pStyle w:val="TableText"/>
            </w:pPr>
            <w:r>
              <w:t>G0 Design/bench setup</w:t>
            </w:r>
          </w:p>
        </w:tc>
        <w:tc>
          <w:tcPr>
            <w:tcW w:type="dxa" w:w="4940"/>
            <w:tcMar>
              <w:top w:w="80" w:type="dxa"/>
              <w:bottom w:w="80" w:type="dxa"/>
              <w:start w:w="120" w:type="dxa"/>
              <w:end w:w="120" w:type="dxa"/>
            </w:tcMar>
          </w:tcPr>
          <w:p>
            <w:pPr>
              <w:pStyle w:val="TableText"/>
            </w:pPr>
            <w:r>
              <w:t>Confirm exact boards/sensor/pack specifications; freeze IO profile, threat model and supported claims. Establish one test home with two caregiver accounts.</w:t>
            </w:r>
          </w:p>
        </w:tc>
        <w:tc>
          <w:tcPr>
            <w:tcW w:type="dxa" w:w="3100"/>
            <w:tcMar>
              <w:top w:w="80" w:type="dxa"/>
              <w:bottom w:w="80" w:type="dxa"/>
              <w:start w:w="120" w:type="dxa"/>
              <w:end w:w="120" w:type="dxa"/>
            </w:tcMar>
          </w:tcPr>
          <w:p>
            <w:pPr>
              <w:pStyle w:val="TableText"/>
            </w:pPr>
            <w:r>
              <w:t>Battery/charger specification unknown; no safe power-path review.</w:t>
            </w:r>
          </w:p>
        </w:tc>
      </w:tr>
      <w:tr>
        <w:trPr>
          <w:cantSplit/>
        </w:trPr>
        <w:tc>
          <w:tcPr>
            <w:tcW w:type="dxa" w:w="1320"/>
            <w:tcMar>
              <w:top w:w="80" w:type="dxa"/>
              <w:bottom w:w="80" w:type="dxa"/>
              <w:start w:w="120" w:type="dxa"/>
              <w:end w:w="120" w:type="dxa"/>
            </w:tcMar>
          </w:tcPr>
          <w:p>
            <w:pPr>
              <w:pStyle w:val="TableText"/>
            </w:pPr>
            <w:r>
              <w:t>G1 Complete prototype</w:t>
            </w:r>
          </w:p>
        </w:tc>
        <w:tc>
          <w:tcPr>
            <w:tcW w:type="dxa" w:w="4940"/>
            <w:tcMar>
              <w:top w:w="80" w:type="dxa"/>
              <w:bottom w:w="80" w:type="dxa"/>
              <w:start w:w="120" w:type="dxa"/>
              <w:end w:w="120" w:type="dxa"/>
            </w:tcMar>
          </w:tcPr>
          <w:p>
            <w:pPr>
              <w:pStyle w:val="TableText"/>
            </w:pPr>
            <w:r>
              <w:t>All 24 P0 designs implemented at bench scope; per-feature tests pass; 7-day soak; 72-hour offline replay; schema/security/OTA recovery tests.</w:t>
            </w:r>
          </w:p>
        </w:tc>
        <w:tc>
          <w:tcPr>
            <w:tcW w:type="dxa" w:w="3100"/>
            <w:tcMar>
              <w:top w:w="80" w:type="dxa"/>
              <w:bottom w:w="80" w:type="dxa"/>
              <w:start w:w="120" w:type="dxa"/>
              <w:end w:w="120" w:type="dxa"/>
            </w:tcMar>
          </w:tcPr>
          <w:p>
            <w:pPr>
              <w:pStyle w:val="TableText"/>
            </w:pPr>
            <w:r>
              <w:t>Acknowledged events lost; unknown coverage looks normal; contact requests silently disappear.</w:t>
            </w:r>
          </w:p>
        </w:tc>
      </w:tr>
      <w:tr>
        <w:trPr>
          <w:cantSplit/>
        </w:trPr>
        <w:tc>
          <w:tcPr>
            <w:tcW w:type="dxa" w:w="1320"/>
            <w:tcMar>
              <w:top w:w="80" w:type="dxa"/>
              <w:bottom w:w="80" w:type="dxa"/>
              <w:start w:w="120" w:type="dxa"/>
              <w:end w:w="120" w:type="dxa"/>
            </w:tcMar>
          </w:tcPr>
          <w:p>
            <w:pPr>
              <w:pStyle w:val="TableText"/>
            </w:pPr>
            <w:r>
              <w:t>G2 Two-home assisted pilot</w:t>
            </w:r>
          </w:p>
        </w:tc>
        <w:tc>
          <w:tcPr>
            <w:tcW w:type="dxa" w:w="4940"/>
            <w:tcMar>
              <w:top w:w="80" w:type="dxa"/>
              <w:bottom w:w="80" w:type="dxa"/>
              <w:start w:w="120" w:type="dxa"/>
              <w:end w:w="120" w:type="dxa"/>
            </w:tcMar>
          </w:tcPr>
          <w:p>
            <w:pPr>
              <w:pStyle w:val="TableText"/>
            </w:pPr>
            <w:r>
              <w:t>Resident consent, physical controls, installation/push tests, primary/backup contacts and written non-emergency limits. Review daily for two weeks.</w:t>
            </w:r>
          </w:p>
        </w:tc>
        <w:tc>
          <w:tcPr>
            <w:tcW w:type="dxa" w:w="3100"/>
            <w:tcMar>
              <w:top w:w="80" w:type="dxa"/>
              <w:bottom w:w="80" w:type="dxa"/>
              <w:start w:w="120" w:type="dxa"/>
              <w:end w:w="120" w:type="dxa"/>
            </w:tcMar>
          </w:tcPr>
          <w:p>
            <w:pPr>
              <w:pStyle w:val="TableText"/>
            </w:pPr>
            <w:r>
              <w:t>User cannot explain uncertainty or use controls; routing/power behavior not understood.</w:t>
            </w:r>
          </w:p>
        </w:tc>
      </w:tr>
      <w:tr>
        <w:trPr>
          <w:cantSplit/>
        </w:trPr>
        <w:tc>
          <w:tcPr>
            <w:tcW w:type="dxa" w:w="1320"/>
            <w:tcMar>
              <w:top w:w="80" w:type="dxa"/>
              <w:bottom w:w="80" w:type="dxa"/>
              <w:start w:w="120" w:type="dxa"/>
              <w:end w:w="120" w:type="dxa"/>
            </w:tcMar>
          </w:tcPr>
          <w:p>
            <w:pPr>
              <w:pStyle w:val="TableText"/>
            </w:pPr>
            <w:r>
              <w:t>G3 Ten-home learning pilot</w:t>
            </w:r>
          </w:p>
        </w:tc>
        <w:tc>
          <w:tcPr>
            <w:tcW w:type="dxa" w:w="4940"/>
            <w:tcMar>
              <w:top w:w="80" w:type="dxa"/>
              <w:bottom w:w="80" w:type="dxa"/>
              <w:start w:w="120" w:type="dxa"/>
              <w:end w:w="120" w:type="dxa"/>
            </w:tcMar>
          </w:tcPr>
          <w:p>
            <w:pPr>
              <w:pStyle w:val="TableText"/>
            </w:pPr>
            <w:r>
              <w:t>Expand only after G2 fixes. Observe ≥30 days, record false/missed scripted scenarios, support minutes, battery use and continued-use intent separately by home.</w:t>
            </w:r>
          </w:p>
        </w:tc>
        <w:tc>
          <w:tcPr>
            <w:tcW w:type="dxa" w:w="3100"/>
            <w:tcMar>
              <w:top w:w="80" w:type="dxa"/>
              <w:bottom w:w="80" w:type="dxa"/>
              <w:start w:w="120" w:type="dxa"/>
              <w:end w:w="120" w:type="dxa"/>
            </w:tcMar>
          </w:tcPr>
          <w:p>
            <w:pPr>
              <w:pStyle w:val="TableText"/>
            </w:pPr>
            <w:r>
              <w:t>Nuisance burden or support cost exceeds agreed tolerance; no repeatable installation.</w:t>
            </w:r>
          </w:p>
        </w:tc>
      </w:tr>
      <w:tr>
        <w:trPr>
          <w:cantSplit/>
        </w:trPr>
        <w:tc>
          <w:tcPr>
            <w:tcW w:type="dxa" w:w="1320"/>
            <w:tcMar>
              <w:top w:w="80" w:type="dxa"/>
              <w:bottom w:w="80" w:type="dxa"/>
              <w:start w:w="120" w:type="dxa"/>
              <w:end w:w="120" w:type="dxa"/>
            </w:tcMar>
          </w:tcPr>
          <w:p>
            <w:pPr>
              <w:pStyle w:val="TableText"/>
            </w:pPr>
            <w:r>
              <w:t>G4 First paid launch</w:t>
            </w:r>
          </w:p>
        </w:tc>
        <w:tc>
          <w:tcPr>
            <w:tcW w:type="dxa" w:w="4940"/>
            <w:tcMar>
              <w:top w:w="80" w:type="dxa"/>
              <w:bottom w:w="80" w:type="dxa"/>
              <w:start w:w="120" w:type="dxa"/>
              <w:end w:w="120" w:type="dxa"/>
            </w:tcMar>
          </w:tcPr>
          <w:p>
            <w:pPr>
              <w:pStyle w:val="TableText"/>
            </w:pPr>
            <w:r>
              <w:t>All P0 tests + unresolved high-severity defect count zero; quoted BOM; relevant product/battery/radio/privacy/claims review; return/warranty/update/service terms; funded support capacity.</w:t>
            </w:r>
          </w:p>
        </w:tc>
        <w:tc>
          <w:tcPr>
            <w:tcW w:type="dxa" w:w="3100"/>
            <w:tcMar>
              <w:top w:w="80" w:type="dxa"/>
              <w:bottom w:w="80" w:type="dxa"/>
              <w:start w:w="120" w:type="dxa"/>
              <w:end w:w="120" w:type="dxa"/>
            </w:tcMar>
          </w:tcPr>
          <w:p>
            <w:pPr>
              <w:pStyle w:val="TableText"/>
            </w:pPr>
            <w:r>
              <w:t>No funded remote-service term, no response-boundary clarity, no secure update/decommission path.</w:t>
            </w:r>
          </w:p>
        </w:tc>
      </w:tr>
    </w:tbl>
    <w:p>
      <w:pPr>
        <w:pStyle w:val="TableSpacer"/>
      </w:pPr>
    </w:p>
    <w:p>
      <w:pPr>
        <w:pStyle w:val="SpecBody"/>
      </w:pPr>
      <w:r>
        <w:t>Proposed field learning thresholds, not safety claims: installation completed within 45 minutes after training; explainable non-actionable routine alerts ≤1 per home-week as an investigation trigger; support target ≤15 minutes/home/month after onboarding. A small cohort cannot establish rare-event safety or prove a clinical miss rate. Every missed scripted event must be investigated; reducing alerts by disabling coverage does not count as an improvement.</w:t>
      </w:r>
    </w:p>
    <w:p>
      <w:pPr>
        <w:pStyle w:val="SpecBody"/>
      </w:pPr>
      <w:r>
        <w:t>Paid launch is not the same as a working prototype. Treat a charging anomaly, unauthorized disclosure, lost contact request, false “normal” state from lost coverage or unrecoverable update as a stop-ship defect. Other unresolved limitations must be explicit in the release notes and customer terms.</w:t>
      </w:r>
    </w:p>
    <w:p>
      <w:bookmarkStart w:id="33" w:name="scale"/>
      <w:pPr>
        <w:pStyle w:val="Heading1"/>
        <w:pageBreakBefore/>
      </w:pPr>
      <w:r>
        <w:rPr>
          <w:color w:val="000000"/>
        </w:rPr>
        <w:t>11. Scalability, deployment and operations</w:t>
      </w:r>
      <w:bookmarkEnd w:id="33"/>
    </w:p>
    <w:p>
      <w:pPr>
        <w:pStyle w:val="Heading2"/>
      </w:pPr>
      <w:r>
        <w:rPr>
          <w:color w:val="000000"/>
        </w:rPr>
        <w:t>Capacity model: separate radio traffic from cloud storage</w:t>
      </w:r>
    </w:p>
    <w:p>
      <w:pPr>
        <w:pStyle w:val="SpecBody"/>
      </w:pPr>
      <w:r>
        <w:t>Planning workload per home: 4 nodes × 1 heartbeat/minute = 5,760 radio heartbeats/day. The hub sends 1 cloud heartbeat/minute = 1,440/day; add an assumed 500 business events/day. Cloud ingest is therefore 1,940 messages/home/day before ACKs, commands, retries and summaries because routine node heartbeats are locally coalesced rather than each being forwarded as a stored cloud event. Coalescing stored health snapshots to 5 minutes yields 288 hub health samples/day plus state changes. These are capacity assumptions, not measured household demand.</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850"/>
        <w:gridCol w:w="2280"/>
        <w:gridCol w:w="2290"/>
        <w:gridCol w:w="3940"/>
      </w:tblGrid>
      <w:tr>
        <w:trPr>
          <w:cantSplit/>
          <w:tblHeader/>
        </w:trPr>
        <w:tc>
          <w:tcPr>
            <w:tcW w:type="dxa" w:w="850"/>
            <w:tcMar>
              <w:top w:w="80" w:type="dxa"/>
              <w:bottom w:w="80" w:type="dxa"/>
              <w:start w:w="120" w:type="dxa"/>
              <w:end w:w="120" w:type="dxa"/>
            </w:tcMar>
            <w:shd w:fill="E8EEF5"/>
          </w:tcPr>
          <w:p>
            <w:pPr>
              <w:pStyle w:val="TableText"/>
            </w:pPr>
            <w:r>
              <w:rPr>
                <w:b/>
              </w:rPr>
              <w:t>Homes</w:t>
            </w:r>
          </w:p>
        </w:tc>
        <w:tc>
          <w:tcPr>
            <w:tcW w:type="dxa" w:w="2280"/>
            <w:tcMar>
              <w:top w:w="80" w:type="dxa"/>
              <w:bottom w:w="80" w:type="dxa"/>
              <w:start w:w="120" w:type="dxa"/>
              <w:end w:w="120" w:type="dxa"/>
            </w:tcMar>
            <w:shd w:fill="E8EEF5"/>
          </w:tcPr>
          <w:p>
            <w:pPr>
              <w:pStyle w:val="TableText"/>
            </w:pPr>
            <w:r>
              <w:rPr>
                <w:b/>
              </w:rPr>
              <w:t>Avg cloud ingress / second</w:t>
            </w:r>
          </w:p>
        </w:tc>
        <w:tc>
          <w:tcPr>
            <w:tcW w:type="dxa" w:w="2290"/>
            <w:tcMar>
              <w:top w:w="80" w:type="dxa"/>
              <w:bottom w:w="80" w:type="dxa"/>
              <w:start w:w="120" w:type="dxa"/>
              <w:end w:w="120" w:type="dxa"/>
            </w:tcMar>
            <w:shd w:fill="E8EEF5"/>
          </w:tcPr>
          <w:p>
            <w:pPr>
              <w:pStyle w:val="TableText"/>
            </w:pPr>
            <w:r>
              <w:rPr>
                <w:b/>
              </w:rPr>
              <w:t>Business rows / day</w:t>
            </w:r>
          </w:p>
        </w:tc>
        <w:tc>
          <w:tcPr>
            <w:tcW w:type="dxa" w:w="3940"/>
            <w:tcMar>
              <w:top w:w="80" w:type="dxa"/>
              <w:bottom w:w="80" w:type="dxa"/>
              <w:start w:w="120" w:type="dxa"/>
              <w:end w:w="120" w:type="dxa"/>
            </w:tcMar>
            <w:shd w:fill="E8EEF5"/>
          </w:tcPr>
          <w:p>
            <w:pPr>
              <w:pStyle w:val="TableText"/>
            </w:pPr>
            <w:r>
              <w:rPr>
                <w:b/>
              </w:rPr>
              <w:t>What to change</w:t>
            </w:r>
          </w:p>
        </w:tc>
      </w:tr>
      <w:tr>
        <w:trPr>
          <w:cantSplit/>
        </w:trPr>
        <w:tc>
          <w:tcPr>
            <w:tcW w:type="dxa" w:w="850"/>
            <w:tcMar>
              <w:top w:w="80" w:type="dxa"/>
              <w:bottom w:w="80" w:type="dxa"/>
              <w:start w:w="120" w:type="dxa"/>
              <w:end w:w="120" w:type="dxa"/>
            </w:tcMar>
          </w:tcPr>
          <w:p>
            <w:pPr>
              <w:pStyle w:val="TableText"/>
            </w:pPr>
            <w:r>
              <w:t>10</w:t>
            </w:r>
          </w:p>
        </w:tc>
        <w:tc>
          <w:tcPr>
            <w:tcW w:type="dxa" w:w="2280"/>
            <w:tcMar>
              <w:top w:w="80" w:type="dxa"/>
              <w:bottom w:w="80" w:type="dxa"/>
              <w:start w:w="120" w:type="dxa"/>
              <w:end w:w="120" w:type="dxa"/>
            </w:tcMar>
          </w:tcPr>
          <w:p>
            <w:pPr>
              <w:pStyle w:val="TableText"/>
            </w:pPr>
            <w:r>
              <w:t>0.22</w:t>
            </w:r>
          </w:p>
        </w:tc>
        <w:tc>
          <w:tcPr>
            <w:tcW w:type="dxa" w:w="2290"/>
            <w:tcMar>
              <w:top w:w="80" w:type="dxa"/>
              <w:bottom w:w="80" w:type="dxa"/>
              <w:start w:w="120" w:type="dxa"/>
              <w:end w:w="120" w:type="dxa"/>
            </w:tcMar>
          </w:tcPr>
          <w:p>
            <w:pPr>
              <w:pStyle w:val="TableText"/>
            </w:pPr>
            <w:r>
              <w:t>5,000</w:t>
            </w:r>
          </w:p>
        </w:tc>
        <w:tc>
          <w:tcPr>
            <w:tcW w:type="dxa" w:w="3940"/>
            <w:tcMar>
              <w:top w:w="80" w:type="dxa"/>
              <w:bottom w:w="80" w:type="dxa"/>
              <w:start w:w="120" w:type="dxa"/>
              <w:end w:w="120" w:type="dxa"/>
            </w:tcMar>
          </w:tcPr>
          <w:p>
            <w:pPr>
              <w:pStyle w:val="TableText"/>
            </w:pPr>
            <w:r>
              <w:t>One small deployment; validate correctness and support first.</w:t>
            </w:r>
          </w:p>
        </w:tc>
      </w:tr>
      <w:tr>
        <w:trPr>
          <w:cantSplit/>
        </w:trPr>
        <w:tc>
          <w:tcPr>
            <w:tcW w:type="dxa" w:w="850"/>
            <w:tcMar>
              <w:top w:w="80" w:type="dxa"/>
              <w:bottom w:w="80" w:type="dxa"/>
              <w:start w:w="120" w:type="dxa"/>
              <w:end w:w="120" w:type="dxa"/>
            </w:tcMar>
          </w:tcPr>
          <w:p>
            <w:pPr>
              <w:pStyle w:val="TableText"/>
            </w:pPr>
            <w:r>
              <w:t>1,000</w:t>
            </w:r>
          </w:p>
        </w:tc>
        <w:tc>
          <w:tcPr>
            <w:tcW w:type="dxa" w:w="2280"/>
            <w:tcMar>
              <w:top w:w="80" w:type="dxa"/>
              <w:bottom w:w="80" w:type="dxa"/>
              <w:start w:w="120" w:type="dxa"/>
              <w:end w:w="120" w:type="dxa"/>
            </w:tcMar>
          </w:tcPr>
          <w:p>
            <w:pPr>
              <w:pStyle w:val="TableText"/>
            </w:pPr>
            <w:r>
              <w:t>22.5</w:t>
            </w:r>
          </w:p>
        </w:tc>
        <w:tc>
          <w:tcPr>
            <w:tcW w:type="dxa" w:w="2290"/>
            <w:tcMar>
              <w:top w:w="80" w:type="dxa"/>
              <w:bottom w:w="80" w:type="dxa"/>
              <w:start w:w="120" w:type="dxa"/>
              <w:end w:w="120" w:type="dxa"/>
            </w:tcMar>
          </w:tcPr>
          <w:p>
            <w:pPr>
              <w:pStyle w:val="TableText"/>
            </w:pPr>
            <w:r>
              <w:t>500,000</w:t>
            </w:r>
          </w:p>
        </w:tc>
        <w:tc>
          <w:tcPr>
            <w:tcW w:type="dxa" w:w="3940"/>
            <w:tcMar>
              <w:top w:w="80" w:type="dxa"/>
              <w:bottom w:w="80" w:type="dxa"/>
              <w:start w:w="120" w:type="dxa"/>
              <w:end w:w="120" w:type="dxa"/>
            </w:tcMar>
          </w:tcPr>
          <w:p>
            <w:pPr>
              <w:pStyle w:val="TableText"/>
            </w:pPr>
            <w:r>
              <w:t>Replicated stateless API/worker, managed/operated DB backup/HA as budget allows; benchmark burst/replay.</w:t>
            </w:r>
          </w:p>
        </w:tc>
      </w:tr>
      <w:tr>
        <w:trPr>
          <w:cantSplit/>
        </w:trPr>
        <w:tc>
          <w:tcPr>
            <w:tcW w:type="dxa" w:w="850"/>
            <w:tcMar>
              <w:top w:w="80" w:type="dxa"/>
              <w:bottom w:w="80" w:type="dxa"/>
              <w:start w:w="120" w:type="dxa"/>
              <w:end w:w="120" w:type="dxa"/>
            </w:tcMar>
          </w:tcPr>
          <w:p>
            <w:pPr>
              <w:pStyle w:val="TableText"/>
            </w:pPr>
            <w:r>
              <w:t>10,000</w:t>
            </w:r>
          </w:p>
        </w:tc>
        <w:tc>
          <w:tcPr>
            <w:tcW w:type="dxa" w:w="2280"/>
            <w:tcMar>
              <w:top w:w="80" w:type="dxa"/>
              <w:bottom w:w="80" w:type="dxa"/>
              <w:start w:w="120" w:type="dxa"/>
              <w:end w:w="120" w:type="dxa"/>
            </w:tcMar>
          </w:tcPr>
          <w:p>
            <w:pPr>
              <w:pStyle w:val="TableText"/>
            </w:pPr>
            <w:r>
              <w:t>224.5</w:t>
            </w:r>
          </w:p>
        </w:tc>
        <w:tc>
          <w:tcPr>
            <w:tcW w:type="dxa" w:w="2290"/>
            <w:tcMar>
              <w:top w:w="80" w:type="dxa"/>
              <w:bottom w:w="80" w:type="dxa"/>
              <w:start w:w="120" w:type="dxa"/>
              <w:end w:w="120" w:type="dxa"/>
            </w:tcMar>
          </w:tcPr>
          <w:p>
            <w:pPr>
              <w:pStyle w:val="TableText"/>
            </w:pPr>
            <w:r>
              <w:t>5,000,000</w:t>
            </w:r>
          </w:p>
        </w:tc>
        <w:tc>
          <w:tcPr>
            <w:tcW w:type="dxa" w:w="3940"/>
            <w:tcMar>
              <w:top w:w="80" w:type="dxa"/>
              <w:bottom w:w="80" w:type="dxa"/>
              <w:start w:w="120" w:type="dxa"/>
              <w:end w:w="120" w:type="dxa"/>
            </w:tcMar>
          </w:tcPr>
          <w:p>
            <w:pPr>
              <w:pStyle w:val="TableText"/>
            </w:pPr>
            <w:r>
              <w:t>Partition/retention strategy, broker/DB capacity review, regional tenancy and operational staffing.</w:t>
            </w:r>
          </w:p>
        </w:tc>
      </w:tr>
    </w:tbl>
    <w:p>
      <w:pPr>
        <w:pStyle w:val="TableSpacer"/>
      </w:pPr>
    </w:p>
    <w:p>
      <w:pPr>
        <w:pStyle w:val="SpecBody"/>
      </w:pPr>
      <w:r>
        <w:t>At 1,000 homes, 30 days of 500 business events/day = 15 million retained activity rows. At an illustrative 1 KB per stored row before indexes/backups, that is approximately 15 GB; measure actual tuple/index/replica overhead. Reserve headroom for at least a 10× average reconnect burst. Do not size solely from the low average rate.</w:t>
      </w:r>
    </w:p>
    <w:p>
      <w:pPr>
        <w:pStyle w:val="Heading2"/>
      </w:pPr>
      <w:r>
        <w:rPr>
          <w:color w:val="000000"/>
        </w:rPr>
        <w:t>Scale path without premature microservices</w:t>
      </w:r>
    </w:p>
    <w:p>
      <w:pPr>
        <w:pStyle w:val="ListBullet"/>
        <w:numPr>
          <w:ilvl w:val="0"/>
          <w:numId w:val="50"/>
        </w:numPr>
      </w:pPr>
      <w:r>
        <w:t>Pilot: FastAPI process, MQTT ingest/delivery worker roles and PostgreSQL/Mosquitto on a small deployment. One codebase and shared domain model; independent process restart is allowed.</w:t>
      </w:r>
    </w:p>
    <w:p>
      <w:pPr>
        <w:pStyle w:val="ListBullet"/>
        <w:numPr>
          <w:ilvl w:val="0"/>
          <w:numId w:val="50"/>
        </w:numPr>
      </w:pPr>
      <w:r>
        <w:t>First growth: add API replicas behind TLS termination; keep mutations idempotent. Job workers take database leases so multiple replicas cannot own one job. Set per-home quotas and priority for contact/service incidents.</w:t>
      </w:r>
    </w:p>
    <w:p>
      <w:pPr>
        <w:pStyle w:val="ListBullet"/>
        <w:numPr>
          <w:ilvl w:val="0"/>
          <w:numId w:val="50"/>
        </w:numPr>
      </w:pPr>
      <w:r>
        <w:t>Measured bottlenecks: partition event history by time; move bulky diagnostic exports to encrypted object storage; scale ingest and notification workers separately. Keep transactions/outbox semantics intact.</w:t>
      </w:r>
    </w:p>
    <w:p>
      <w:pPr>
        <w:pStyle w:val="ListBullet"/>
        <w:numPr>
          <w:ilvl w:val="0"/>
          <w:numId w:val="50"/>
        </w:numPr>
      </w:pPr>
      <w:r>
        <w:t>Later regional scale: pin each home to a region and one active hub-authority epoch. Isolate regional outages and data residency. Split a module into a service only for measured load, independent ownership or regulatory isolation.</w:t>
      </w:r>
    </w:p>
    <w:p>
      <w:pPr>
        <w:pStyle w:val="SpecBody"/>
      </w:pPr>
      <w:r>
        <w:t>The P0 four-node kit is not designed to become a 100-node ESP-NOW mesh. More room nodes require measured radio duty-cycle/peer limits and possibly a new gateway/transport. The stable event contract can survive that replacement.</w:t>
      </w:r>
    </w:p>
    <w:p>
      <w:pPr>
        <w:pStyle w:val="Heading2"/>
        <w:pageBreakBefore/>
      </w:pPr>
      <w:r>
        <w:rPr>
          <w:color w:val="000000"/>
        </w:rPr>
        <w:t>Operational ownership, deployment and cost envelope</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760"/>
        <w:gridCol w:w="4000"/>
        <w:gridCol w:w="3600"/>
      </w:tblGrid>
      <w:tr>
        <w:trPr>
          <w:cantSplit/>
          <w:tblHeader/>
        </w:trPr>
        <w:tc>
          <w:tcPr>
            <w:tcW w:type="dxa" w:w="1760"/>
            <w:tcMar>
              <w:top w:w="80" w:type="dxa"/>
              <w:bottom w:w="80" w:type="dxa"/>
              <w:start w:w="120" w:type="dxa"/>
              <w:end w:w="120" w:type="dxa"/>
            </w:tcMar>
            <w:shd w:fill="E8EEF5"/>
          </w:tcPr>
          <w:p>
            <w:pPr>
              <w:pStyle w:val="TableText"/>
            </w:pPr>
            <w:r>
              <w:rPr>
                <w:b/>
              </w:rPr>
              <w:t>Concern</w:t>
            </w:r>
          </w:p>
        </w:tc>
        <w:tc>
          <w:tcPr>
            <w:tcW w:type="dxa" w:w="4000"/>
            <w:tcMar>
              <w:top w:w="80" w:type="dxa"/>
              <w:bottom w:w="80" w:type="dxa"/>
              <w:start w:w="120" w:type="dxa"/>
              <w:end w:w="120" w:type="dxa"/>
            </w:tcMar>
            <w:shd w:fill="E8EEF5"/>
          </w:tcPr>
          <w:p>
            <w:pPr>
              <w:pStyle w:val="TableText"/>
            </w:pPr>
            <w:r>
              <w:rPr>
                <w:b/>
              </w:rPr>
              <w:t>P0 design</w:t>
            </w:r>
          </w:p>
        </w:tc>
        <w:tc>
          <w:tcPr>
            <w:tcW w:type="dxa" w:w="3600"/>
            <w:tcMar>
              <w:top w:w="80" w:type="dxa"/>
              <w:bottom w:w="80" w:type="dxa"/>
              <w:start w:w="120" w:type="dxa"/>
              <w:end w:w="120" w:type="dxa"/>
            </w:tcMar>
            <w:shd w:fill="E8EEF5"/>
          </w:tcPr>
          <w:p>
            <w:pPr>
              <w:pStyle w:val="TableText"/>
            </w:pPr>
            <w:r>
              <w:rPr>
                <w:b/>
              </w:rPr>
              <w:t>Operational exit evidence</w:t>
            </w:r>
          </w:p>
        </w:tc>
      </w:tr>
      <w:tr>
        <w:trPr>
          <w:cantSplit/>
        </w:trPr>
        <w:tc>
          <w:tcPr>
            <w:tcW w:type="dxa" w:w="1760"/>
            <w:tcMar>
              <w:top w:w="80" w:type="dxa"/>
              <w:bottom w:w="80" w:type="dxa"/>
              <w:start w:w="120" w:type="dxa"/>
              <w:end w:w="120" w:type="dxa"/>
            </w:tcMar>
          </w:tcPr>
          <w:p>
            <w:pPr>
              <w:pStyle w:val="TableText"/>
            </w:pPr>
            <w:r>
              <w:t>Deployment/release</w:t>
            </w:r>
          </w:p>
        </w:tc>
        <w:tc>
          <w:tcPr>
            <w:tcW w:type="dxa" w:w="4000"/>
            <w:tcMar>
              <w:top w:w="80" w:type="dxa"/>
              <w:bottom w:w="80" w:type="dxa"/>
              <w:start w:w="120" w:type="dxa"/>
              <w:end w:w="120" w:type="dxa"/>
            </w:tcMar>
          </w:tcPr>
          <w:p>
            <w:pPr>
              <w:pStyle w:val="TableText"/>
            </w:pPr>
            <w:r>
              <w:t>Pinned dependency locks, schema migrations, config/secrets injection, staging and production separation.</w:t>
            </w:r>
          </w:p>
        </w:tc>
        <w:tc>
          <w:tcPr>
            <w:tcW w:type="dxa" w:w="3600"/>
            <w:tcMar>
              <w:top w:w="80" w:type="dxa"/>
              <w:bottom w:w="80" w:type="dxa"/>
              <w:start w:w="120" w:type="dxa"/>
              <w:end w:w="120" w:type="dxa"/>
            </w:tcMar>
          </w:tcPr>
          <w:p>
            <w:pPr>
              <w:pStyle w:val="TableText"/>
            </w:pPr>
            <w:r>
              <w:t>Reproduce build; migrate forward/backward-compatible schema; rollback app without corrupting events.</w:t>
            </w:r>
          </w:p>
        </w:tc>
      </w:tr>
      <w:tr>
        <w:trPr>
          <w:cantSplit/>
        </w:trPr>
        <w:tc>
          <w:tcPr>
            <w:tcW w:type="dxa" w:w="1760"/>
            <w:tcMar>
              <w:top w:w="80" w:type="dxa"/>
              <w:bottom w:w="80" w:type="dxa"/>
              <w:start w:w="120" w:type="dxa"/>
              <w:end w:w="120" w:type="dxa"/>
            </w:tcMar>
          </w:tcPr>
          <w:p>
            <w:pPr>
              <w:pStyle w:val="TableText"/>
            </w:pPr>
            <w:r>
              <w:t>Monitoring</w:t>
            </w:r>
          </w:p>
        </w:tc>
        <w:tc>
          <w:tcPr>
            <w:tcW w:type="dxa" w:w="4000"/>
            <w:tcMar>
              <w:top w:w="80" w:type="dxa"/>
              <w:bottom w:w="80" w:type="dxa"/>
              <w:start w:w="120" w:type="dxa"/>
              <w:end w:w="120" w:type="dxa"/>
            </w:tcMar>
          </w:tcPr>
          <w:p>
            <w:pPr>
              <w:pStyle w:val="TableText"/>
            </w:pPr>
            <w:r>
              <w:t>Hub lease expiry, queue age/depth, DB errors, delivery failure, job lease stalls, boot loops and firmware spread.</w:t>
            </w:r>
          </w:p>
        </w:tc>
        <w:tc>
          <w:tcPr>
            <w:tcW w:type="dxa" w:w="3600"/>
            <w:tcMar>
              <w:top w:w="80" w:type="dxa"/>
              <w:bottom w:w="80" w:type="dxa"/>
              <w:start w:w="120" w:type="dxa"/>
              <w:end w:w="120" w:type="dxa"/>
            </w:tcMar>
          </w:tcPr>
          <w:p>
            <w:pPr>
              <w:pStyle w:val="TableText"/>
            </w:pPr>
            <w:r>
              <w:t>External independent uptime check detects full deployment loss; alert reaches the operator.</w:t>
            </w:r>
          </w:p>
        </w:tc>
      </w:tr>
      <w:tr>
        <w:trPr>
          <w:cantSplit/>
        </w:trPr>
        <w:tc>
          <w:tcPr>
            <w:tcW w:type="dxa" w:w="1760"/>
            <w:tcMar>
              <w:top w:w="80" w:type="dxa"/>
              <w:bottom w:w="80" w:type="dxa"/>
              <w:start w:w="120" w:type="dxa"/>
              <w:end w:w="120" w:type="dxa"/>
            </w:tcMar>
          </w:tcPr>
          <w:p>
            <w:pPr>
              <w:pStyle w:val="TableText"/>
            </w:pPr>
            <w:r>
              <w:t>Recovery</w:t>
            </w:r>
          </w:p>
        </w:tc>
        <w:tc>
          <w:tcPr>
            <w:tcW w:type="dxa" w:w="4000"/>
            <w:tcMar>
              <w:top w:w="80" w:type="dxa"/>
              <w:bottom w:w="80" w:type="dxa"/>
              <w:start w:w="120" w:type="dxa"/>
              <w:end w:w="120" w:type="dxa"/>
            </w:tcMar>
          </w:tcPr>
          <w:p>
            <w:pPr>
              <w:pStyle w:val="TableText"/>
            </w:pPr>
            <w:r>
              <w:t>Encrypted daily backup plus a stated recovery-point target; restore drill before paid launch.</w:t>
            </w:r>
          </w:p>
        </w:tc>
        <w:tc>
          <w:tcPr>
            <w:tcW w:type="dxa" w:w="3600"/>
            <w:tcMar>
              <w:top w:w="80" w:type="dxa"/>
              <w:bottom w:w="80" w:type="dxa"/>
              <w:start w:w="120" w:type="dxa"/>
              <w:end w:w="120" w:type="dxa"/>
            </w:tcMar>
          </w:tcPr>
          <w:p>
            <w:pPr>
              <w:pStyle w:val="TableText"/>
            </w:pPr>
            <w:r>
              <w:t>Proposed cloud RPO ≤24 h / RTO ≤4 h; these allow data/service loss and are not high-availability claims.</w:t>
            </w:r>
          </w:p>
        </w:tc>
      </w:tr>
      <w:tr>
        <w:trPr>
          <w:cantSplit/>
        </w:trPr>
        <w:tc>
          <w:tcPr>
            <w:tcW w:type="dxa" w:w="1760"/>
            <w:tcMar>
              <w:top w:w="80" w:type="dxa"/>
              <w:bottom w:w="80" w:type="dxa"/>
              <w:start w:w="120" w:type="dxa"/>
              <w:end w:w="120" w:type="dxa"/>
            </w:tcMar>
          </w:tcPr>
          <w:p>
            <w:pPr>
              <w:pStyle w:val="TableText"/>
            </w:pPr>
            <w:r>
              <w:t>Logs/metrics</w:t>
            </w:r>
          </w:p>
        </w:tc>
        <w:tc>
          <w:tcPr>
            <w:tcW w:type="dxa" w:w="4000"/>
            <w:tcMar>
              <w:top w:w="80" w:type="dxa"/>
              <w:bottom w:w="80" w:type="dxa"/>
              <w:start w:w="120" w:type="dxa"/>
              <w:end w:w="120" w:type="dxa"/>
            </w:tcMar>
          </w:tcPr>
          <w:p>
            <w:pPr>
              <w:pStyle w:val="TableText"/>
            </w:pPr>
            <w:r>
              <w:t>Bounded structured logs; request/event/incident IDs; redaction; per-home quotas.</w:t>
            </w:r>
          </w:p>
        </w:tc>
        <w:tc>
          <w:tcPr>
            <w:tcW w:type="dxa" w:w="3600"/>
            <w:tcMar>
              <w:top w:w="80" w:type="dxa"/>
              <w:bottom w:w="80" w:type="dxa"/>
              <w:start w:w="120" w:type="dxa"/>
              <w:end w:w="120" w:type="dxa"/>
            </w:tcMar>
          </w:tcPr>
          <w:p>
            <w:pPr>
              <w:pStyle w:val="TableText"/>
            </w:pPr>
            <w:r>
              <w:t>No secrets; floods do not starve critical input; debug logging expires automatically.</w:t>
            </w:r>
          </w:p>
        </w:tc>
      </w:tr>
      <w:tr>
        <w:trPr>
          <w:cantSplit/>
        </w:trPr>
        <w:tc>
          <w:tcPr>
            <w:tcW w:type="dxa" w:w="1760"/>
            <w:tcMar>
              <w:top w:w="80" w:type="dxa"/>
              <w:bottom w:w="80" w:type="dxa"/>
              <w:start w:w="120" w:type="dxa"/>
              <w:end w:w="120" w:type="dxa"/>
            </w:tcMar>
          </w:tcPr>
          <w:p>
            <w:pPr>
              <w:pStyle w:val="TableText"/>
            </w:pPr>
            <w:r>
              <w:t>Support</w:t>
            </w:r>
          </w:p>
        </w:tc>
        <w:tc>
          <w:tcPr>
            <w:tcW w:type="dxa" w:w="4000"/>
            <w:tcMar>
              <w:top w:w="80" w:type="dxa"/>
              <w:bottom w:w="80" w:type="dxa"/>
              <w:start w:w="120" w:type="dxa"/>
              <w:end w:w="120" w:type="dxa"/>
            </w:tcMar>
          </w:tcPr>
          <w:p>
            <w:pPr>
              <w:pStyle w:val="TableText"/>
            </w:pPr>
            <w:r>
              <w:t>Assisted installation checklist, local troubleshooting guide, explicit founder support hours.</w:t>
            </w:r>
          </w:p>
        </w:tc>
        <w:tc>
          <w:tcPr>
            <w:tcW w:type="dxa" w:w="3600"/>
            <w:tcMar>
              <w:top w:w="80" w:type="dxa"/>
              <w:bottom w:w="80" w:type="dxa"/>
              <w:start w:w="120" w:type="dxa"/>
              <w:end w:w="120" w:type="dxa"/>
            </w:tcMar>
          </w:tcPr>
          <w:p>
            <w:pPr>
              <w:pStyle w:val="TableText"/>
            </w:pPr>
            <w:r>
              <w:t>Owner for each open defect/incident; no implied 24/7 resident response service.</w:t>
            </w:r>
          </w:p>
        </w:tc>
      </w:tr>
      <w:tr>
        <w:trPr>
          <w:cantSplit/>
        </w:trPr>
        <w:tc>
          <w:tcPr>
            <w:tcW w:type="dxa" w:w="1760"/>
            <w:tcMar>
              <w:top w:w="80" w:type="dxa"/>
              <w:bottom w:w="80" w:type="dxa"/>
              <w:start w:w="120" w:type="dxa"/>
              <w:end w:w="120" w:type="dxa"/>
            </w:tcMar>
          </w:tcPr>
          <w:p>
            <w:pPr>
              <w:pStyle w:val="TableText"/>
            </w:pPr>
            <w:r>
              <w:t>Service interruption</w:t>
            </w:r>
          </w:p>
        </w:tc>
        <w:tc>
          <w:tcPr>
            <w:tcW w:type="dxa" w:w="4000"/>
            <w:tcMar>
              <w:top w:w="80" w:type="dxa"/>
              <w:bottom w:w="80" w:type="dxa"/>
              <w:start w:w="120" w:type="dxa"/>
              <w:end w:w="120" w:type="dxa"/>
            </w:tcMar>
          </w:tcPr>
          <w:p>
            <w:pPr>
              <w:pStyle w:val="TableText"/>
            </w:pPr>
            <w:r>
              <w:t>Local rules continue while powered; remote path clearly unavailable.</w:t>
            </w:r>
          </w:p>
        </w:tc>
        <w:tc>
          <w:tcPr>
            <w:tcW w:type="dxa" w:w="3600"/>
            <w:tcMar>
              <w:top w:w="80" w:type="dxa"/>
              <w:bottom w:w="80" w:type="dxa"/>
              <w:start w:w="120" w:type="dxa"/>
              <w:end w:w="120" w:type="dxa"/>
            </w:tcMar>
          </w:tcPr>
          <w:p>
            <w:pPr>
              <w:pStyle w:val="TableText"/>
            </w:pPr>
            <w:r>
              <w:t>Customers understand funded included-service term, renewal and shutdown/export plan.</w:t>
            </w:r>
          </w:p>
        </w:tc>
      </w:tr>
    </w:tbl>
    <w:p>
      <w:pPr>
        <w:pStyle w:val="TableSpacer"/>
      </w:pPr>
    </w:p>
    <w:p>
      <w:pPr>
        <w:pStyle w:val="SpecBody"/>
      </w:pPr>
      <w:r>
        <w:t>P0 has no LLM-token, speech-recognition or cloud-inference bill. It still has hosting/database, domain/certificate operations, identity, notification integration, backup, logging, security maintenance and customer support costs. Web Push does not eliminate operating cost. SMS/voice is excluded so there is no hidden per-message fallback bill.</w:t>
      </w:r>
    </w:p>
    <w:p>
      <w:pPr>
        <w:pStyle w:val="SpecBody"/>
      </w:pPr>
      <w:r>
        <w:t>Budget hypothesis only, not a supplier quote: allow roughly ₹1,500–₹5,000/month for a small engineering cloud deployment and backups, excluding support labor, taxes, excess traffic, premium identity features and any messaging add-ons. Quote the selected providers before commitment. Do not sell “lifetime free cloud monitoring”. The earlier hardware offer of approximately ₹9,999–₹11,999 and optional ₹299/month service remains a validation hypothesis, not a verified price customers will accept.</w:t>
      </w:r>
    </w:p>
    <w:p>
      <w:pPr>
        <w:pStyle w:val="SpecBody"/>
      </w:pPr>
      <w:r>
        <w:t>Operational scalability can dominate server load: even 15 minutes/home/month is 250 hours/month at 1,000 homes. Self-service diagnosis, partner installation and/or funded support capacity are necessary before that scale; adding backend replicas does not solve the human workload.</w:t>
      </w:r>
    </w:p>
    <w:p>
      <w:bookmarkStart w:id="34" w:name="roadmap"/>
      <w:pPr>
        <w:pStyle w:val="Heading1"/>
        <w:pageBreakBefore/>
      </w:pPr>
      <w:r>
        <w:rPr>
          <w:color w:val="000000"/>
        </w:rPr>
        <w:t>12. Implementation roadmap and enhancement scope</w:t>
      </w:r>
      <w:bookmarkEnd w:id="34"/>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1340"/>
        <w:gridCol w:w="4700"/>
        <w:gridCol w:w="3320"/>
      </w:tblGrid>
      <w:tr>
        <w:trPr>
          <w:cantSplit/>
          <w:tblHeader/>
        </w:trPr>
        <w:tc>
          <w:tcPr>
            <w:tcW w:type="dxa" w:w="1340"/>
            <w:tcMar>
              <w:top w:w="80" w:type="dxa"/>
              <w:bottom w:w="80" w:type="dxa"/>
              <w:start w:w="120" w:type="dxa"/>
              <w:end w:w="120" w:type="dxa"/>
            </w:tcMar>
            <w:shd w:fill="E8EEF5"/>
          </w:tcPr>
          <w:p>
            <w:pPr>
              <w:pStyle w:val="TableText"/>
            </w:pPr>
            <w:r>
              <w:rPr>
                <w:b/>
              </w:rPr>
              <w:t>Slice</w:t>
            </w:r>
          </w:p>
        </w:tc>
        <w:tc>
          <w:tcPr>
            <w:tcW w:type="dxa" w:w="4700"/>
            <w:tcMar>
              <w:top w:w="80" w:type="dxa"/>
              <w:bottom w:w="80" w:type="dxa"/>
              <w:start w:w="120" w:type="dxa"/>
              <w:end w:w="120" w:type="dxa"/>
            </w:tcMar>
            <w:shd w:fill="E8EEF5"/>
          </w:tcPr>
          <w:p>
            <w:pPr>
              <w:pStyle w:val="TableText"/>
            </w:pPr>
            <w:r>
              <w:rPr>
                <w:b/>
              </w:rPr>
              <w:t>Modules / deliverable</w:t>
            </w:r>
          </w:p>
        </w:tc>
        <w:tc>
          <w:tcPr>
            <w:tcW w:type="dxa" w:w="3320"/>
            <w:tcMar>
              <w:top w:w="80" w:type="dxa"/>
              <w:bottom w:w="80" w:type="dxa"/>
              <w:start w:w="120" w:type="dxa"/>
              <w:end w:w="120" w:type="dxa"/>
            </w:tcMar>
            <w:shd w:fill="E8EEF5"/>
          </w:tcPr>
          <w:p>
            <w:pPr>
              <w:pStyle w:val="TableText"/>
            </w:pPr>
            <w:r>
              <w:rPr>
                <w:b/>
              </w:rPr>
              <w:t>Exit and effort assumption</w:t>
            </w:r>
          </w:p>
        </w:tc>
      </w:tr>
      <w:tr>
        <w:trPr>
          <w:cantSplit/>
        </w:trPr>
        <w:tc>
          <w:tcPr>
            <w:tcW w:type="dxa" w:w="1340"/>
            <w:tcMar>
              <w:top w:w="80" w:type="dxa"/>
              <w:bottom w:w="80" w:type="dxa"/>
              <w:start w:w="120" w:type="dxa"/>
              <w:end w:w="120" w:type="dxa"/>
            </w:tcMar>
          </w:tcPr>
          <w:p>
            <w:pPr>
              <w:pStyle w:val="TableText"/>
            </w:pPr>
            <w:r>
              <w:t>1. Contracts + vertical slice</w:t>
            </w:r>
          </w:p>
        </w:tc>
        <w:tc>
          <w:tcPr>
            <w:tcW w:type="dxa" w:w="4700"/>
            <w:tcMar>
              <w:top w:w="80" w:type="dxa"/>
              <w:bottom w:w="80" w:type="dxa"/>
              <w:start w:w="120" w:type="dxa"/>
              <w:end w:w="120" w:type="dxa"/>
            </w:tcMar>
          </w:tcPr>
          <w:p>
            <w:pPr>
              <w:pStyle w:val="TableText"/>
            </w:pPr>
            <w:r>
              <w:t>S01/S02, N01/N02, H01/H02, B03/B07, A02: one motion event end to end.</w:t>
            </w:r>
          </w:p>
        </w:tc>
        <w:tc>
          <w:tcPr>
            <w:tcW w:type="dxa" w:w="3320"/>
            <w:tcMar>
              <w:top w:w="80" w:type="dxa"/>
              <w:bottom w:w="80" w:type="dxa"/>
              <w:start w:w="120" w:type="dxa"/>
              <w:end w:w="120" w:type="dxa"/>
            </w:tcMar>
          </w:tcPr>
          <w:p>
            <w:pPr>
              <w:pStyle w:val="TableText"/>
            </w:pPr>
            <w:r>
              <w:t>40–60 hours; verified IDs, time and commit ACK.</w:t>
            </w:r>
          </w:p>
        </w:tc>
      </w:tr>
      <w:tr>
        <w:trPr>
          <w:cantSplit/>
        </w:trPr>
        <w:tc>
          <w:tcPr>
            <w:tcW w:type="dxa" w:w="1340"/>
            <w:tcMar>
              <w:top w:w="80" w:type="dxa"/>
              <w:bottom w:w="80" w:type="dxa"/>
              <w:start w:w="120" w:type="dxa"/>
              <w:end w:w="120" w:type="dxa"/>
            </w:tcMar>
          </w:tcPr>
          <w:p>
            <w:pPr>
              <w:pStyle w:val="TableText"/>
            </w:pPr>
            <w:r>
              <w:t>2. Routine + local interface</w:t>
            </w:r>
          </w:p>
        </w:tc>
        <w:tc>
          <w:tcPr>
            <w:tcW w:type="dxa" w:w="4700"/>
            <w:tcMar>
              <w:top w:w="80" w:type="dxa"/>
              <w:bottom w:w="80" w:type="dxa"/>
              <w:start w:w="120" w:type="dxa"/>
              <w:end w:w="120" w:type="dxa"/>
            </w:tcMar>
          </w:tcPr>
          <w:p>
            <w:pPr>
              <w:pStyle w:val="TableText"/>
            </w:pPr>
            <w:r>
              <w:t>H03–H07, F02/F04–F10, E01: rules, buttons, privacy and coverage.</w:t>
            </w:r>
          </w:p>
        </w:tc>
        <w:tc>
          <w:tcPr>
            <w:tcW w:type="dxa" w:w="3320"/>
            <w:tcMar>
              <w:top w:w="80" w:type="dxa"/>
              <w:bottom w:w="80" w:type="dxa"/>
              <w:start w:w="120" w:type="dxa"/>
              <w:end w:w="120" w:type="dxa"/>
            </w:tcMar>
          </w:tcPr>
          <w:p>
            <w:pPr>
              <w:pStyle w:val="TableText"/>
            </w:pPr>
            <w:r>
              <w:t>Deterministic replay and local failure behavior; 60–90 hours.</w:t>
            </w:r>
          </w:p>
        </w:tc>
      </w:tr>
      <w:tr>
        <w:trPr>
          <w:cantSplit/>
        </w:trPr>
        <w:tc>
          <w:tcPr>
            <w:tcW w:type="dxa" w:w="1340"/>
            <w:tcMar>
              <w:top w:w="80" w:type="dxa"/>
              <w:bottom w:w="80" w:type="dxa"/>
              <w:start w:w="120" w:type="dxa"/>
              <w:end w:w="120" w:type="dxa"/>
            </w:tcMar>
          </w:tcPr>
          <w:p>
            <w:pPr>
              <w:pStyle w:val="TableText"/>
            </w:pPr>
            <w:r>
              <w:t>3. Caregiver workflow</w:t>
            </w:r>
          </w:p>
        </w:tc>
        <w:tc>
          <w:tcPr>
            <w:tcW w:type="dxa" w:w="4700"/>
            <w:tcMar>
              <w:top w:w="80" w:type="dxa"/>
              <w:bottom w:w="80" w:type="dxa"/>
              <w:start w:w="120" w:type="dxa"/>
              <w:end w:w="120" w:type="dxa"/>
            </w:tcMar>
          </w:tcPr>
          <w:p>
            <w:pPr>
              <w:pStyle w:val="TableText"/>
            </w:pPr>
            <w:r>
              <w:t>B01/B02/B04/B05, A01/A03–A05: roles, push, human claims and backup.</w:t>
            </w:r>
          </w:p>
        </w:tc>
        <w:tc>
          <w:tcPr>
            <w:tcW w:type="dxa" w:w="3320"/>
            <w:tcMar>
              <w:top w:w="80" w:type="dxa"/>
              <w:bottom w:w="80" w:type="dxa"/>
              <w:start w:w="120" w:type="dxa"/>
              <w:end w:w="120" w:type="dxa"/>
            </w:tcMar>
          </w:tcPr>
          <w:p>
            <w:pPr>
              <w:pStyle w:val="TableText"/>
            </w:pPr>
            <w:r>
              <w:t>Real phone tests + failure visibility; 60–90 hours.</w:t>
            </w:r>
          </w:p>
        </w:tc>
      </w:tr>
      <w:tr>
        <w:trPr>
          <w:cantSplit/>
        </w:trPr>
        <w:tc>
          <w:tcPr>
            <w:tcW w:type="dxa" w:w="1340"/>
            <w:tcMar>
              <w:top w:w="80" w:type="dxa"/>
              <w:bottom w:w="80" w:type="dxa"/>
              <w:start w:w="120" w:type="dxa"/>
              <w:end w:w="120" w:type="dxa"/>
            </w:tcMar>
          </w:tcPr>
          <w:p>
            <w:pPr>
              <w:pStyle w:val="TableText"/>
            </w:pPr>
            <w:r>
              <w:t>4. Reliability + power</w:t>
            </w:r>
          </w:p>
        </w:tc>
        <w:tc>
          <w:tcPr>
            <w:tcW w:type="dxa" w:w="4700"/>
            <w:tcMar>
              <w:top w:w="80" w:type="dxa"/>
              <w:bottom w:w="80" w:type="dxa"/>
              <w:start w:w="120" w:type="dxa"/>
              <w:end w:w="120" w:type="dxa"/>
            </w:tcMar>
          </w:tcPr>
          <w:p>
            <w:pPr>
              <w:pStyle w:val="TableText"/>
            </w:pPr>
            <w:r>
              <w:t>N03–N05, S03, E02–E09, hardware power path and jig.</w:t>
            </w:r>
          </w:p>
        </w:tc>
        <w:tc>
          <w:tcPr>
            <w:tcW w:type="dxa" w:w="3320"/>
            <w:tcMar>
              <w:top w:w="80" w:type="dxa"/>
              <w:bottom w:w="80" w:type="dxa"/>
              <w:start w:w="120" w:type="dxa"/>
              <w:end w:w="120" w:type="dxa"/>
            </w:tcMar>
          </w:tcPr>
          <w:p>
            <w:pPr>
              <w:pStyle w:val="TableText"/>
            </w:pPr>
            <w:r>
              <w:t>Outage/reboot/OTA/privacy/power tests; 80–120 hours.</w:t>
            </w:r>
          </w:p>
        </w:tc>
      </w:tr>
      <w:tr>
        <w:trPr>
          <w:cantSplit/>
        </w:trPr>
        <w:tc>
          <w:tcPr>
            <w:tcW w:type="dxa" w:w="1340"/>
            <w:tcMar>
              <w:top w:w="80" w:type="dxa"/>
              <w:bottom w:w="80" w:type="dxa"/>
              <w:start w:w="120" w:type="dxa"/>
              <w:end w:w="120" w:type="dxa"/>
            </w:tcMar>
          </w:tcPr>
          <w:p>
            <w:pPr>
              <w:pStyle w:val="TableText"/>
            </w:pPr>
            <w:r>
              <w:t>5. Pilot readiness</w:t>
            </w:r>
          </w:p>
        </w:tc>
        <w:tc>
          <w:tcPr>
            <w:tcW w:type="dxa" w:w="4700"/>
            <w:tcMar>
              <w:top w:w="80" w:type="dxa"/>
              <w:bottom w:w="80" w:type="dxa"/>
              <w:start w:w="120" w:type="dxa"/>
              <w:end w:w="120" w:type="dxa"/>
            </w:tcMar>
          </w:tcPr>
          <w:p>
            <w:pPr>
              <w:pStyle w:val="TableText"/>
            </w:pPr>
            <w:r>
              <w:t>B08, T01–T03, installation and diagnostic evidence.</w:t>
            </w:r>
          </w:p>
        </w:tc>
        <w:tc>
          <w:tcPr>
            <w:tcW w:type="dxa" w:w="3320"/>
            <w:tcMar>
              <w:top w:w="80" w:type="dxa"/>
              <w:bottom w:w="80" w:type="dxa"/>
              <w:start w:w="120" w:type="dxa"/>
              <w:end w:w="120" w:type="dxa"/>
            </w:tcMar>
          </w:tcPr>
          <w:p>
            <w:pPr>
              <w:pStyle w:val="TableText"/>
            </w:pPr>
            <w:r>
              <w:t>G1 complete and G2 prepared; 40–60 hours.</w:t>
            </w:r>
          </w:p>
        </w:tc>
      </w:tr>
    </w:tbl>
    <w:p>
      <w:pPr>
        <w:pStyle w:val="TableSpacer"/>
      </w:pPr>
    </w:p>
    <w:p>
      <w:pPr>
        <w:pStyle w:val="SpecBody"/>
      </w:pPr>
      <w:r>
        <w:t>Total planning range: 280–420 focused engineering hours, approximately 19–42 weeks at 10–15 hours/week, before supplier delays, professional hardware/compliance review and extended field fixes. These are bottom-up planning estimates, not commitments. A one-room bench demo can precede complete P0; it shall not be labeled launch-ready. Two-home/ten-home observation time is an additional calendar constraint and must not be compressed into simulated success.</w:t>
      </w:r>
    </w:p>
    <w:p>
      <w:pPr>
        <w:pStyle w:val="Heading2"/>
        <w:pageBreakBefore/>
      </w:pPr>
      <w:r>
        <w:rPr>
          <w:color w:val="000000"/>
        </w:rPr>
        <w:t>Future features: preserve the boundaries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900"/>
        <w:gridCol w:w="3000"/>
        <w:gridCol w:w="5460"/>
      </w:tblGrid>
      <w:tr>
        <w:trPr>
          <w:cantSplit/>
          <w:tblHeader/>
        </w:trPr>
        <w:tc>
          <w:tcPr>
            <w:tcW w:type="dxa" w:w="900"/>
            <w:tcMar>
              <w:top w:w="80" w:type="dxa"/>
              <w:bottom w:w="80" w:type="dxa"/>
              <w:start w:w="120" w:type="dxa"/>
              <w:end w:w="120" w:type="dxa"/>
            </w:tcMar>
            <w:shd w:fill="E8EEF5"/>
          </w:tcPr>
          <w:p>
            <w:pPr>
              <w:pStyle w:val="TableText"/>
            </w:pPr>
            <w:r>
              <w:rPr>
                <w:b/>
              </w:rPr>
              <w:t>Priority</w:t>
            </w:r>
          </w:p>
        </w:tc>
        <w:tc>
          <w:tcPr>
            <w:tcW w:type="dxa" w:w="3000"/>
            <w:tcMar>
              <w:top w:w="80" w:type="dxa"/>
              <w:bottom w:w="80" w:type="dxa"/>
              <w:start w:w="120" w:type="dxa"/>
              <w:end w:w="120" w:type="dxa"/>
            </w:tcMar>
            <w:shd w:fill="E8EEF5"/>
          </w:tcPr>
          <w:p>
            <w:pPr>
              <w:pStyle w:val="TableText"/>
            </w:pPr>
            <w:r>
              <w:rPr>
                <w:b/>
              </w:rPr>
              <w:t>Candidate</w:t>
            </w:r>
          </w:p>
        </w:tc>
        <w:tc>
          <w:tcPr>
            <w:tcW w:type="dxa" w:w="5460"/>
            <w:tcMar>
              <w:top w:w="80" w:type="dxa"/>
              <w:bottom w:w="80" w:type="dxa"/>
              <w:start w:w="120" w:type="dxa"/>
              <w:end w:w="120" w:type="dxa"/>
            </w:tcMar>
            <w:shd w:fill="E8EEF5"/>
          </w:tcPr>
          <w:p>
            <w:pPr>
              <w:pStyle w:val="TableText"/>
            </w:pPr>
            <w:r>
              <w:rPr>
                <w:b/>
              </w:rPr>
              <w:t>Prerequisite / reason not P0</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Secure self-service BLE/SoftAP provisioning</w:t>
            </w:r>
          </w:p>
        </w:tc>
        <w:tc>
          <w:tcPr>
            <w:tcW w:type="dxa" w:w="5460"/>
            <w:tcMar>
              <w:top w:w="80" w:type="dxa"/>
              <w:bottom w:w="80" w:type="dxa"/>
              <w:start w:w="120" w:type="dxa"/>
              <w:end w:w="120" w:type="dxa"/>
            </w:tcMar>
          </w:tcPr>
          <w:p>
            <w:pPr>
              <w:pStyle w:val="TableText"/>
            </w:pPr>
            <w:r>
              <w:t>First prove assisted installation; reduce support without weakening ownership proof.</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Remote low-power node OTA</w:t>
            </w:r>
          </w:p>
        </w:tc>
        <w:tc>
          <w:tcPr>
            <w:tcW w:type="dxa" w:w="5460"/>
            <w:tcMar>
              <w:top w:w="80" w:type="dxa"/>
              <w:bottom w:w="80" w:type="dxa"/>
              <w:start w:w="120" w:type="dxa"/>
              <w:end w:w="120" w:type="dxa"/>
            </w:tcMar>
          </w:tcPr>
          <w:p>
            <w:pPr>
              <w:pStyle w:val="TableText"/>
            </w:pPr>
            <w:r>
              <w:t>Measured energy margin, safe receiver window, resumable signed transport and rollback/recovery.</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Leak or humidity nodes; second door</w:t>
            </w:r>
          </w:p>
        </w:tc>
        <w:tc>
          <w:tcPr>
            <w:tcW w:type="dxa" w:w="5460"/>
            <w:tcMar>
              <w:top w:w="80" w:type="dxa"/>
              <w:bottom w:w="80" w:type="dxa"/>
              <w:start w:w="120" w:type="dxa"/>
              <w:end w:w="120" w:type="dxa"/>
            </w:tcMar>
          </w:tcPr>
          <w:p>
            <w:pPr>
              <w:pStyle w:val="TableText"/>
            </w:pPr>
            <w:r>
              <w:t>A new sensor driver/contract and hazard-specific claims/testing; no automatic shutoff.</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Optional SMS/voice delivery</w:t>
            </w:r>
          </w:p>
        </w:tc>
        <w:tc>
          <w:tcPr>
            <w:tcW w:type="dxa" w:w="5460"/>
            <w:tcMar>
              <w:top w:w="80" w:type="dxa"/>
              <w:bottom w:w="80" w:type="dxa"/>
              <w:start w:w="120" w:type="dxa"/>
              <w:end w:w="120" w:type="dxa"/>
            </w:tcMar>
          </w:tcPr>
          <w:p>
            <w:pPr>
              <w:pStyle w:val="TableText"/>
            </w:pPr>
            <w:r>
              <w:t>Opt-in recipients, metered regional costs, provider status and service boundary.</w:t>
            </w:r>
          </w:p>
        </w:tc>
      </w:tr>
      <w:tr>
        <w:trPr>
          <w:cantSplit/>
        </w:trPr>
        <w:tc>
          <w:tcPr>
            <w:tcW w:type="dxa" w:w="900"/>
            <w:tcMar>
              <w:top w:w="80" w:type="dxa"/>
              <w:bottom w:w="80" w:type="dxa"/>
              <w:start w:w="120" w:type="dxa"/>
              <w:end w:w="120" w:type="dxa"/>
            </w:tcMar>
          </w:tcPr>
          <w:p>
            <w:pPr>
              <w:pStyle w:val="TableText"/>
            </w:pPr>
            <w:r>
              <w:t>P1</w:t>
            </w:r>
          </w:p>
        </w:tc>
        <w:tc>
          <w:tcPr>
            <w:tcW w:type="dxa" w:w="3000"/>
            <w:tcMar>
              <w:top w:w="80" w:type="dxa"/>
              <w:bottom w:w="80" w:type="dxa"/>
              <w:start w:w="120" w:type="dxa"/>
              <w:end w:w="120" w:type="dxa"/>
            </w:tcMar>
          </w:tcPr>
          <w:p>
            <w:pPr>
              <w:pStyle w:val="TableText"/>
            </w:pPr>
            <w:r>
              <w:t>Suggested routine adaptation</w:t>
            </w:r>
          </w:p>
        </w:tc>
        <w:tc>
          <w:tcPr>
            <w:tcW w:type="dxa" w:w="5460"/>
            <w:tcMar>
              <w:top w:w="80" w:type="dxa"/>
              <w:bottom w:w="80" w:type="dxa"/>
              <w:start w:w="120" w:type="dxa"/>
              <w:end w:w="120" w:type="dxa"/>
            </w:tcMar>
          </w:tcPr>
          <w:p>
            <w:pPr>
              <w:pStyle w:val="TableText"/>
            </w:pPr>
            <w:r>
              <w:t>Labeled history, measurable advantage over rules, resident approval and explainability.</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Cellular fallback / router power bundle</w:t>
            </w:r>
          </w:p>
        </w:tc>
        <w:tc>
          <w:tcPr>
            <w:tcW w:type="dxa" w:w="5460"/>
            <w:tcMar>
              <w:top w:w="80" w:type="dxa"/>
              <w:bottom w:w="80" w:type="dxa"/>
              <w:start w:w="120" w:type="dxa"/>
              <w:end w:w="120" w:type="dxa"/>
            </w:tcMar>
          </w:tcPr>
          <w:p>
            <w:pPr>
              <w:pStyle w:val="TableText"/>
            </w:pPr>
            <w:r>
              <w:t>Power budget, SIM recurring cost, independent outage tests and maintenance.</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Care-provider/partner portal</w:t>
            </w:r>
          </w:p>
        </w:tc>
        <w:tc>
          <w:tcPr>
            <w:tcW w:type="dxa" w:w="5460"/>
            <w:tcMar>
              <w:top w:w="80" w:type="dxa"/>
              <w:bottom w:w="80" w:type="dxa"/>
              <w:start w:w="120" w:type="dxa"/>
              <w:end w:w="120" w:type="dxa"/>
            </w:tcMar>
          </w:tcPr>
          <w:p>
            <w:pPr>
              <w:pStyle w:val="TableText"/>
            </w:pPr>
            <w:r>
              <w:t>Multi-tenant team permissions, contracts, service hours and response ownership.</w:t>
            </w:r>
          </w:p>
        </w:tc>
      </w:tr>
      <w:tr>
        <w:trPr>
          <w:cantSplit/>
        </w:trPr>
        <w:tc>
          <w:tcPr>
            <w:tcW w:type="dxa" w:w="900"/>
            <w:tcMar>
              <w:top w:w="80" w:type="dxa"/>
              <w:bottom w:w="80" w:type="dxa"/>
              <w:start w:w="120" w:type="dxa"/>
              <w:end w:w="120" w:type="dxa"/>
            </w:tcMar>
          </w:tcPr>
          <w:p>
            <w:pPr>
              <w:pStyle w:val="TableText"/>
            </w:pPr>
            <w:r>
              <w:t>P2</w:t>
            </w:r>
          </w:p>
        </w:tc>
        <w:tc>
          <w:tcPr>
            <w:tcW w:type="dxa" w:w="3000"/>
            <w:tcMar>
              <w:top w:w="80" w:type="dxa"/>
              <w:bottom w:w="80" w:type="dxa"/>
              <w:start w:w="120" w:type="dxa"/>
              <w:end w:w="120" w:type="dxa"/>
            </w:tcMar>
          </w:tcPr>
          <w:p>
            <w:pPr>
              <w:pStyle w:val="TableText"/>
            </w:pPr>
            <w:r>
              <w:t>Europe/US commercial expansion</w:t>
            </w:r>
          </w:p>
        </w:tc>
        <w:tc>
          <w:tcPr>
            <w:tcW w:type="dxa" w:w="5460"/>
            <w:tcMar>
              <w:top w:w="80" w:type="dxa"/>
              <w:bottom w:w="80" w:type="dxa"/>
              <w:start w:w="120" w:type="dxa"/>
              <w:end w:w="120" w:type="dxa"/>
            </w:tcMar>
          </w:tcPr>
          <w:p>
            <w:pPr>
              <w:pStyle w:val="TableText"/>
            </w:pPr>
            <w:r>
              <w:t>Regional legal/radio/battery/privacy/accessibility and service support review; no implied certification transfer.</w:t>
            </w:r>
          </w:p>
        </w:tc>
      </w:tr>
      <w:tr>
        <w:trPr>
          <w:cantSplit/>
        </w:trPr>
        <w:tc>
          <w:tcPr>
            <w:tcW w:type="dxa" w:w="900"/>
            <w:tcMar>
              <w:top w:w="80" w:type="dxa"/>
              <w:bottom w:w="80" w:type="dxa"/>
              <w:start w:w="120" w:type="dxa"/>
              <w:end w:w="120" w:type="dxa"/>
            </w:tcMar>
          </w:tcPr>
          <w:p>
            <w:pPr>
              <w:pStyle w:val="TableText"/>
            </w:pPr>
            <w:r>
              <w:t>Separate product</w:t>
            </w:r>
          </w:p>
        </w:tc>
        <w:tc>
          <w:tcPr>
            <w:tcW w:type="dxa" w:w="3000"/>
            <w:tcMar>
              <w:top w:w="80" w:type="dxa"/>
              <w:bottom w:w="80" w:type="dxa"/>
              <w:start w:w="120" w:type="dxa"/>
              <w:end w:w="120" w:type="dxa"/>
            </w:tcMar>
          </w:tcPr>
          <w:p>
            <w:pPr>
              <w:pStyle w:val="TableText"/>
            </w:pPr>
            <w:r>
              <w:t>Kids camera/chatbot/activity device</w:t>
            </w:r>
          </w:p>
        </w:tc>
        <w:tc>
          <w:tcPr>
            <w:tcW w:type="dxa" w:w="5460"/>
            <w:tcMar>
              <w:top w:w="80" w:type="dxa"/>
              <w:bottom w:w="80" w:type="dxa"/>
              <w:start w:w="120" w:type="dxa"/>
              <w:end w:w="120" w:type="dxa"/>
            </w:tcMar>
          </w:tcPr>
          <w:p>
            <w:pPr>
              <w:pStyle w:val="TableText"/>
            </w:pPr>
            <w:r>
              <w:t>Different privacy, safeguarding, AI/cloud cost and product-safety design; do not insert into Family Check-in P0.</w:t>
            </w:r>
          </w:p>
        </w:tc>
      </w:tr>
    </w:tbl>
    <w:p>
      <w:pPr>
        <w:pStyle w:val="TableSpacer"/>
      </w:pPr>
    </w:p>
    <w:p>
      <w:pPr>
        <w:pStyle w:val="SpecBody"/>
      </w:pPr>
      <w:r>
        <w:t>Market context, checked 3 September 2026: Home Assistant’s 2 September release adds security-dashboard severity/activity improvements and an experimental cloud speech option [S10]. This reinforces the hypothesis that generic dashboards and voice are weak differentiation. It does not establish sales or willingness to pay for this kit. The stronger hypotheses remain resident control, explainable uncertainty, simple installation and reliable caregiver ownership. Validate those with interviews and field evidence, not marketing attention.</w:t>
      </w:r>
    </w:p>
    <w:p>
      <w:pPr>
        <w:pStyle w:val="Heading1"/>
        <w:pageBreakBefore/>
      </w:pPr>
      <w:r>
        <w:rPr>
          <w:color w:val="000000"/>
        </w:rPr>
        <w:t>Appendix A. Implemented repository/module manifest</w:t>
      </w:r>
    </w:p>
    <w:p>
      <w:pPr>
        <w:pStyle w:val="SpecBody"/>
      </w:pPr>
      <w:r>
        <w:t>Exactly 32 logical modules remain. The accompanying reference package contains 83 tracked source, contract, test, application, tooling and operations files (excluding build output and caches). Each module has executable host logic or an explicit adapter seam; hardware- and provider-dependent work is not presented as complete.</w:t>
      </w:r>
    </w:p>
    <w:p>
      <w:pPr>
        <w:pStyle w:val="SpecBody"/>
      </w:pPr>
      <w:r>
        <w:t>Every detailed feature names its owner module IDs; this manifest resolves those IDs to exact proposed paths. Module-local tests may be added as implementation grows, without creating another deployable service. Files under ops and tools contain no committed production secrets.</w:t>
      </w:r>
    </w:p>
    <w:p>
      <w:pPr>
        <w:pStyle w:val="Heading2"/>
      </w:pPr>
      <w:r>
        <w:rPr>
          <w:color w:val="000000"/>
        </w:rPr>
        <w:t>Node firmware</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N01 — Node sensing</w:t>
              <w:br/>
              <w:t>GPIO sampling, debounce and sensor drivers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firmware/node/components/sensing/sensing.hpp</w:t>
              <w:br/>
              <w:t>sensing.cpp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N02 — Node radio</w:t>
              <w:br/>
              <w:t>Encrypted peer transport, retries and channel recovery</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firmware/node/components/radio/node_radio.hpp</w:t>
              <w:br/>
              <w:t>node_radio.cpp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N03 — Node power</w:t>
              <w:br/>
              <w:t>Sleep, wake sources, battery sampling and charge status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firmware/node/components/power/power.hpp</w:t>
              <w:br/>
              <w:t>power.cpp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N04 — Node lifecycle</w:t>
              <w:br/>
              <w:t>Provisioning, configuration and service-mode update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firmware/node/components/lifecycle/lifecycle.hpp</w:t>
              <w:br/>
              <w:t>lifecycle.cpp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N05 — Node storage</w:t>
              <w:br/>
              <w:t>Retained state and bounded event journal</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firmware/node/components/storage/node_store.hpp</w:t>
              <w:br/>
              <w:t>node_store.cpp</w:t>
            </w:r>
          </w:p>
        </w:tc>
      </w:tr>
    </w:tbl>
    <w:p>
      <w:pPr>
        <w:pStyle w:val="TableSpacer"/>
      </w:pPr>
    </w:p>
    <w:p>
      <w:pPr>
        <w:pStyle w:val="Heading2"/>
      </w:pPr>
      <w:r>
        <w:rPr>
          <w:color w:val="000000"/>
        </w:rPr>
        <w:t>Hub firmware</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H01 — Hub ingest</w:t>
              <w:br/>
              <w:t>Radio callback queue, authentication and admission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firmware/hub/components/ingest/ingest.hpp</w:t>
              <w:br/>
              <w:t>ingest.cpp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H02 — Hub persistence</w:t>
              <w:br/>
              <w:t>Journal, deduplication, replay and cloud outbox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firmware/hub/components/storage/journal.hpp</w:t>
              <w:br/>
              <w:t>journal.cpp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H03 — Hub time</w:t>
              <w:br/>
              <w:t>Clock trust, monotonic timers and window boundaries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firmware/hub/components/time/clock.hpp</w:t>
              <w:br/>
              <w:t>clock.cpp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H04 — Hub coverage</w:t>
              <w:br/>
              <w:t>Node leases, interval coverage and fault reasons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firmware/hub/components/coverage/coverage.hpp</w:t>
              <w:br/>
              <w:t>coverage.cpp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H05 — Hub rules adapter</w:t>
              <w:br/>
              <w:t>Routine state, door policy and incident generation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firmware/hub/components/rules/routine_service.hpp</w:t>
              <w:br/>
              <w:t>routine_service.cpp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H06 — Hub resident interface</w:t>
              <w:br/>
              <w:t>Two buttons, privacy switch, display and fixed prompts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firmware/hub/components/ui/resident_ui.hpp</w:t>
              <w:br/>
              <w:t>resident_ui.cpp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H07 — Hub lifecycle/config</w:t>
              <w:br/>
              <w:t>Provisioning, atomic config application and update orchestration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firmware/hub/components/lifecycle/config_service.hpp</w:t>
              <w:br/>
              <w:t>config_service.cpp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H08 — Hub cloud link</w:t>
              <w:br/>
              <w:t>MQTT session, application acknowledgements and command inbox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firmware/hub/components/cloud/cloud_sync.hpp</w:t>
              <w:br/>
              <w:t>cloud_sync.cpp</w:t>
            </w:r>
          </w:p>
        </w:tc>
      </w:tr>
    </w:tbl>
    <w:p>
      <w:pPr>
        <w:pStyle w:val="TableSpacer"/>
      </w:pPr>
    </w:p>
    <w:p>
      <w:pPr>
        <w:pStyle w:val="Heading2"/>
      </w:pPr>
      <w:r>
        <w:rPr>
          <w:color w:val="000000"/>
        </w:rPr>
        <w:t>Backend</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B01 — Identity/access</w:t>
              <w:br/>
              <w:t>OIDC verification, home membership and authorization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backend/ghar_sajag/identity.py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B02 — Home/consent</w:t>
              <w:br/>
              <w:t>Household settings, resident consent and mode requests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backend/ghar_sajag/homes.py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B03 — Event ingestion</w:t>
              <w:br/>
              <w:t>Schema validation, deduplication and transactional outbox</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backend/ghar_sajag/ingest.py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B04 — Incident workflow</w:t>
              <w:br/>
              <w:t>Human acknowledgement, ownership lease and resolution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backend/ghar_sajag/incidents.py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B05 — Notification routing</w:t>
              <w:br/>
              <w:t>Push adapter, retry, backup routing and summaries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backend/ghar_sajag/notifications.py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B06 — Fleet/config</w:t>
              <w:br/>
              <w:t>Device registry, desired config and signed update manifests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backend/ghar_sajag/fleet.py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B07 — Read models/API</w:t>
              <w:br/>
              <w:t>Dashboard projection, timeline, snapshots and SSE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backend/ghar_sajag/queries.py</w:t>
              <w:br/>
              <w:t>http_api.py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B08 — Operations/data</w:t>
              <w:br/>
              <w:t>Health leases, retention, exports and support audit</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backend/ghar_sajag/operations.py</w:t>
              <w:br/>
              <w:t>store.py</w:t>
            </w:r>
          </w:p>
        </w:tc>
      </w:tr>
    </w:tbl>
    <w:p>
      <w:pPr>
        <w:pStyle w:val="TableSpacer"/>
      </w:pPr>
    </w:p>
    <w:p>
      <w:pPr>
        <w:pStyle w:val="Heading2"/>
      </w:pPr>
      <w:r>
        <w:rPr>
          <w:color w:val="000000"/>
        </w:rPr>
        <w:t>Caregiver app</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A01 — App onboarding</w:t>
              <w:br/>
              <w:t>Login, consent, kit claim and installation wizard</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app/src/features/onboarding/index.mjs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A02 — App home</w:t>
              <w:br/>
              <w:t>Evidence cards, freshness, node health and timeline</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app/src/features/home/index.mjs</w:t>
              <w:br/>
              <w:t>app/public/*</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A03 — App routines</w:t>
              <w:br/>
              <w:t>Schedule, away/visitor modes and desired/applied settings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app/src/features/routines/index.mjs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A04 — App incidents</w:t>
              <w:br/>
              <w:t>Alert detail, contact action, acknowledgement and resolution</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app/src/features/incidents/index.mjs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A05 — App platform</w:t>
              <w:br/>
              <w:t>API client, offline cache, service worker and push setup</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app/src/platform/index.mjs</w:t>
              <w:br/>
              <w:t>app/public/service-worker.mjs</w:t>
            </w:r>
          </w:p>
        </w:tc>
      </w:tr>
    </w:tbl>
    <w:p>
      <w:pPr>
        <w:pStyle w:val="TableSpacer"/>
      </w:pPr>
    </w:p>
    <w:p>
      <w:pPr>
        <w:pStyle w:val="Heading2"/>
      </w:pPr>
      <w:r>
        <w:rPr>
          <w:color w:val="000000"/>
        </w:rPr>
        <w:t>Shared libraries/contracts</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S01 — Shared contracts</w:t>
              <w:br/>
              <w:t>Canonical wire schemas, API contract and generated types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contracts/node.schema.json</w:t>
              <w:br/>
              <w:t>cloud.schema.json</w:t>
              <w:br/>
              <w:t>config.schema.json</w:t>
              <w:br/>
              <w:t>openapi.yaml; scripts/verify_contracts.py</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S02 — Deterministic rules core</w:t>
              <w:br/>
              <w:t>Pure C++ state reducer without hardware or network I/O</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shared/include/gs/rules.hpp</w:t>
              <w:br/>
              <w:t>shared/src/rules.cpp</w:t>
              <w:br/>
              <w:t>domain.hpp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S03 — Firmware security/update</w:t>
              <w:br/>
              <w:t>Credential storage, signed image validation and boot checks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firmware/common/security/security.hpp</w:t>
              <w:br/>
              <w:t>security.cpp</w:t>
            </w:r>
          </w:p>
        </w:tc>
      </w:tr>
    </w:tbl>
    <w:p>
      <w:pPr>
        <w:pStyle w:val="TableSpacer"/>
      </w:pPr>
    </w:p>
    <w:p>
      <w:pPr>
        <w:pStyle w:val="Heading2"/>
      </w:pPr>
      <w:r>
        <w:rPr>
          <w:color w:val="000000"/>
        </w:rPr>
        <w:t>Test and operations</w:t>
      </w:r>
    </w:p>
    <w:tbl>
      <w:tblPr>
        <w:tblW w:type="dxa" w:w="9360"/>
        <w:tblLayout w:type="fixed"/>
        <w:tblLook w:firstColumn="1" w:firstRow="1" w:lastColumn="0" w:lastRow="0" w:noHBand="0" w:noVBand="1" w:val="04A0"/>
        <w:jc w:val="left"/>
        <w:tblInd w:type="dxa" w:w="120"/>
        <w:tblBorders>
          <w:top w:val="single" w:sz="4" w:color="CAD5DF"/>
          <w:left w:val="single" w:sz="4" w:color="CAD5DF"/>
          <w:bottom w:val="single" w:sz="4" w:color="CAD5DF"/>
          <w:right w:val="single" w:sz="4" w:color="CAD5DF"/>
          <w:insideH w:val="single" w:sz="4" w:color="CAD5DF"/>
          <w:insideV w:val="single" w:sz="4" w:color="CAD5DF"/>
          <w:top w:val="single" w:sz="4" w:color="B8C5D1"/>
          <w:start w:val="single" w:sz="4" w:color="B8C5D1"/>
          <w:bottom w:val="single" w:sz="4" w:color="B8C5D1"/>
          <w:end w:val="single" w:sz="4" w:color="B8C5D1"/>
          <w:insideH w:val="single" w:sz="4" w:color="B8C5D1"/>
          <w:insideV w:val="single" w:sz="4" w:color="B8C5D1"/>
        </w:tblBorders>
      </w:tblPr>
      <w:tblGrid>
        <w:gridCol w:w="3600"/>
        <w:gridCol w:w="5760"/>
      </w:tblGrid>
      <w:tr>
        <w:trPr>
          <w:cantSplit/>
          <w:tblHeader/>
          <w:cantSplit/>
          <w:tblHeader w:val="true"/>
        </w:trPr>
        <w:tc>
          <w:tcPr>
            <w:tcW w:type="dxa" w:w="360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Module / responsibility</w:t>
            </w:r>
          </w:p>
        </w:tc>
        <w:tc>
          <w:tcPr>
            <w:tcW w:type="dxa" w:w="5760"/>
            <w:tcMar>
              <w:top w:w="80" w:type="dxa"/>
              <w:bottom w:w="80" w:type="dxa"/>
              <w:start w:w="120" w:type="dxa"/>
              <w:end w:w="120" w:type="dxa"/>
            </w:tcMar>
            <w:shd w:fill="E8EEF5"/>
            <w:vAlign w:val="center"/>
          </w:tcPr>
          <w:p>
            <w:pPr>
              <w:pStyle w:val="TableText"/>
              <w:spacing w:before="0" w:after="60" w:line="240" w:lineRule="auto"/>
            </w:pPr>
            <w:r>
              <w:rPr>
                <w:rFonts w:ascii="Calibri" w:hAnsi="Calibri"/>
                <w:b/>
                <w:color w:val="1F4D78"/>
                <w:sz w:val="16"/>
              </w:rPr>
              <w:t>Directory and named files</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T01 — Simulation/CI</w:t>
              <w:br/>
              <w:t>Scenario fixtures, replay, API contract and tenant-isolation tests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Makefile</w:t>
              <w:br/>
              <w:t>tests/cpp/test_main.cpp</w:t>
              <w:br/>
              <w:t>tests/python/test_backend.py</w:t>
              <w:br/>
              <w:t>tests/js/app.test.mjs</w:t>
              <w:br/>
              <w:t>tests/scenarios.json</w:t>
              <w:br/>
              <w:t>host/simulator/main.cpp</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T02 — Hardware-in-loop tools</w:t>
              <w:br/>
              <w:t>Provisioning jig, fault injection and power measurements</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tools/hil/provision.py</w:t>
              <w:br/>
              <w:t>runner.py</w:t>
              <w:br/>
              <w:t>power_profile.py</w:t>
              <w:br/>
              <w:t>installation_checklist.md</w:t>
            </w:r>
          </w:p>
        </w:tc>
      </w:tr>
      <w:tr>
        <w:trPr>
          <w:cantSplit/>
          <w:cantSplit/>
        </w:trPr>
        <w:tc>
          <w:tcPr>
            <w:tcW w:type="dxa" w:w="3600"/>
            <w:tcMar>
              <w:top w:w="80" w:type="dxa"/>
              <w:bottom w:w="80" w:type="dxa"/>
              <w:start w:w="120" w:type="dxa"/>
              <w:end w:w="120" w:type="dxa"/>
            </w:tcMar>
            <w:vAlign w:val="center"/>
          </w:tcPr>
          <w:p>
            <w:pPr>
              <w:pStyle w:val="TableText"/>
              <w:spacing w:before="0" w:after="60" w:line="240" w:lineRule="auto"/>
            </w:pPr>
            <w:r>
              <w:rPr>
                <w:rFonts w:ascii="Calibri" w:hAnsi="Calibri"/>
                <w:sz w:val="16"/>
              </w:rPr>
              <w:t>T03 — Deployment/operations</w:t>
              <w:br/>
              <w:t>Container deployment, broker ACLs, metrics and recovery runbook</w:t>
            </w:r>
          </w:p>
        </w:tc>
        <w:tc>
          <w:tcPr>
            <w:tcW w:type="dxa" w:w="5760"/>
            <w:tcMar>
              <w:top w:w="80" w:type="dxa"/>
              <w:bottom w:w="80" w:type="dxa"/>
              <w:start w:w="120" w:type="dxa"/>
              <w:end w:w="120" w:type="dxa"/>
            </w:tcMar>
            <w:vAlign w:val="center"/>
          </w:tcPr>
          <w:p>
            <w:pPr>
              <w:spacing w:before="0" w:after="60" w:line="240" w:lineRule="auto"/>
            </w:pPr>
            <w:r>
              <w:rPr>
                <w:rFonts w:ascii="Calibri" w:hAnsi="Calibri"/>
                <w:sz w:val="16"/>
              </w:rPr>
              <w:t>ops/compose.yaml</w:t>
              <w:br/>
              <w:t>mosquitto.conf</w:t>
              <w:br/>
              <w:t>broker_acl.conf</w:t>
              <w:br/>
              <w:t>alerts.yaml</w:t>
              <w:br/>
              <w:t>runbook.md</w:t>
            </w:r>
          </w:p>
        </w:tc>
      </w:tr>
    </w:tbl>
    <w:p>
      <w:pPr>
        <w:pStyle w:val="TableSpacer"/>
      </w:pPr>
    </w:p>
    <w:p>
      <w:pPr>
        <w:pStyle w:val="Heading2"/>
      </w:pPr>
      <w:r>
        <w:rPr>
          <w:color w:val="000000"/>
        </w:rPr>
        <w:t>Build/bootstrap file responsibilities</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5370"/>
        <w:gridCol w:w="3990"/>
      </w:tblGrid>
      <w:tr>
        <w:trPr>
          <w:cantSplit/>
          <w:tblHeader/>
        </w:trPr>
        <w:tc>
          <w:tcPr>
            <w:tcW w:type="dxa" w:w="5370"/>
            <w:tcMar>
              <w:top w:w="80" w:type="dxa"/>
              <w:bottom w:w="80" w:type="dxa"/>
              <w:start w:w="120" w:type="dxa"/>
              <w:end w:w="120" w:type="dxa"/>
            </w:tcMar>
            <w:shd w:fill="E8EEF5"/>
          </w:tcPr>
          <w:p>
            <w:pPr>
              <w:pStyle w:val="TableText"/>
            </w:pPr>
            <w:r>
              <w:rPr>
                <w:b/>
              </w:rPr>
              <w:t>Files</w:t>
            </w:r>
          </w:p>
        </w:tc>
        <w:tc>
          <w:tcPr>
            <w:tcW w:type="dxa" w:w="3990"/>
            <w:tcMar>
              <w:top w:w="80" w:type="dxa"/>
              <w:bottom w:w="80" w:type="dxa"/>
              <w:start w:w="120" w:type="dxa"/>
              <w:end w:w="120" w:type="dxa"/>
            </w:tcMar>
            <w:shd w:fill="E8EEF5"/>
          </w:tcPr>
          <w:p>
            <w:pPr>
              <w:pStyle w:val="TableText"/>
            </w:pPr>
            <w:r>
              <w:rPr>
                <w:b/>
              </w:rPr>
              <w:t>Role</w:t>
            </w:r>
          </w:p>
        </w:tc>
      </w:tr>
      <w:tr>
        <w:trPr>
          <w:cantSplit/>
        </w:trPr>
        <w:tc>
          <w:tcPr>
            <w:tcW w:type="dxa" w:w="5370"/>
            <w:tcMar>
              <w:top w:w="80" w:type="dxa"/>
              <w:bottom w:w="80" w:type="dxa"/>
              <w:start w:w="120" w:type="dxa"/>
              <w:end w:w="120" w:type="dxa"/>
            </w:tcMar>
          </w:tcPr>
          <w:p>
            <w:pPr>
              <w:pStyle w:val="TableText"/>
            </w:pPr>
            <w:r>
              <w:t>README.md; CMakeLists.txt</w:t>
            </w:r>
          </w:p>
        </w:tc>
        <w:tc>
          <w:tcPr>
            <w:tcW w:type="dxa" w:w="3990"/>
            <w:tcMar>
              <w:top w:w="80" w:type="dxa"/>
              <w:bottom w:w="80" w:type="dxa"/>
              <w:start w:w="120" w:type="dxa"/>
              <w:end w:w="120" w:type="dxa"/>
            </w:tcMar>
          </w:tcPr>
          <w:p>
            <w:pPr>
              <w:pStyle w:val="TableText"/>
            </w:pPr>
            <w:r>
              <w:t>Development setup, architecture map and host rule-core build.</w:t>
            </w:r>
          </w:p>
        </w:tc>
      </w:tr>
      <w:tr>
        <w:trPr>
          <w:cantSplit/>
        </w:trPr>
        <w:tc>
          <w:tcPr>
            <w:tcW w:type="dxa" w:w="5370"/>
            <w:tcMar>
              <w:top w:w="80" w:type="dxa"/>
              <w:bottom w:w="80" w:type="dxa"/>
              <w:start w:w="120" w:type="dxa"/>
              <w:end w:w="120" w:type="dxa"/>
            </w:tcMar>
          </w:tcPr>
          <w:p>
            <w:pPr>
              <w:pStyle w:val="TableText"/>
            </w:pPr>
            <w:r>
              <w:t>firmware/{node,hub}/CMakeLists.txt; main/app_main.cpp; sdkconfig.defaults; partitions.csv</w:t>
            </w:r>
          </w:p>
        </w:tc>
        <w:tc>
          <w:tcPr>
            <w:tcW w:type="dxa" w:w="3990"/>
            <w:tcMar>
              <w:top w:w="80" w:type="dxa"/>
              <w:bottom w:w="80" w:type="dxa"/>
              <w:start w:w="120" w:type="dxa"/>
              <w:end w:w="120" w:type="dxa"/>
            </w:tcMar>
          </w:tcPr>
          <w:p>
            <w:pPr>
              <w:pStyle w:val="TableText"/>
            </w:pPr>
            <w:r>
              <w:t>Entry points, component wiring, reproducible target settings and board-verified flash layout.</w:t>
            </w:r>
          </w:p>
        </w:tc>
      </w:tr>
      <w:tr>
        <w:trPr>
          <w:cantSplit/>
        </w:trPr>
        <w:tc>
          <w:tcPr>
            <w:tcW w:type="dxa" w:w="5370"/>
            <w:tcMar>
              <w:top w:w="80" w:type="dxa"/>
              <w:bottom w:w="80" w:type="dxa"/>
              <w:start w:w="120" w:type="dxa"/>
              <w:end w:w="120" w:type="dxa"/>
            </w:tcMar>
          </w:tcPr>
          <w:p>
            <w:pPr>
              <w:pStyle w:val="TableText"/>
            </w:pPr>
            <w:r>
              <w:t>Each N01–N05 / H01–H08 directory: CMakeLists.txt</w:t>
            </w:r>
          </w:p>
        </w:tc>
        <w:tc>
          <w:tcPr>
            <w:tcW w:type="dxa" w:w="3990"/>
            <w:tcMar>
              <w:top w:w="80" w:type="dxa"/>
              <w:bottom w:w="80" w:type="dxa"/>
              <w:start w:w="120" w:type="dxa"/>
              <w:end w:w="120" w:type="dxa"/>
            </w:tcMar>
          </w:tcPr>
          <w:p>
            <w:pPr>
              <w:pStyle w:val="TableText"/>
            </w:pPr>
            <w:r>
              <w:t>13 explicit firmware component manifests; dependencies point inward to contracts/core.</w:t>
            </w:r>
          </w:p>
        </w:tc>
      </w:tr>
      <w:tr>
        <w:trPr>
          <w:cantSplit/>
        </w:trPr>
        <w:tc>
          <w:tcPr>
            <w:tcW w:type="dxa" w:w="5370"/>
            <w:tcMar>
              <w:top w:w="80" w:type="dxa"/>
              <w:bottom w:w="80" w:type="dxa"/>
              <w:start w:w="120" w:type="dxa"/>
              <w:end w:w="120" w:type="dxa"/>
            </w:tcMar>
          </w:tcPr>
          <w:p>
            <w:pPr>
              <w:pStyle w:val="TableText"/>
            </w:pPr>
            <w:r>
              <w:t>backend/pyproject.toml; uv.lock; app/main.py; app/db.py; migrations/001_initial.sql</w:t>
            </w:r>
          </w:p>
        </w:tc>
        <w:tc>
          <w:tcPr>
            <w:tcW w:type="dxa" w:w="3990"/>
            <w:tcMar>
              <w:top w:w="80" w:type="dxa"/>
              <w:bottom w:w="80" w:type="dxa"/>
              <w:start w:w="120" w:type="dxa"/>
              <w:end w:w="120" w:type="dxa"/>
            </w:tcMar>
          </w:tcPr>
          <w:p>
            <w:pPr>
              <w:pStyle w:val="TableText"/>
            </w:pPr>
            <w:r>
              <w:t>Backend dependency lock, process startup, transaction/tenant context and initial schema.</w:t>
            </w:r>
          </w:p>
        </w:tc>
      </w:tr>
      <w:tr>
        <w:trPr>
          <w:cantSplit/>
        </w:trPr>
        <w:tc>
          <w:tcPr>
            <w:tcW w:type="dxa" w:w="5370"/>
            <w:tcMar>
              <w:top w:w="80" w:type="dxa"/>
              <w:bottom w:w="80" w:type="dxa"/>
              <w:start w:w="120" w:type="dxa"/>
              <w:end w:w="120" w:type="dxa"/>
            </w:tcMar>
          </w:tcPr>
          <w:p>
            <w:pPr>
              <w:pStyle w:val="TableText"/>
            </w:pPr>
            <w:r>
              <w:t>app/package.json; package-lock.json; src/main.tsx; public/manifest.webmanifest</w:t>
            </w:r>
          </w:p>
        </w:tc>
        <w:tc>
          <w:tcPr>
            <w:tcW w:type="dxa" w:w="3990"/>
            <w:tcMar>
              <w:top w:w="80" w:type="dxa"/>
              <w:bottom w:w="80" w:type="dxa"/>
              <w:start w:w="120" w:type="dxa"/>
              <w:end w:w="120" w:type="dxa"/>
            </w:tcMar>
          </w:tcPr>
          <w:p>
            <w:pPr>
              <w:pStyle w:val="TableText"/>
            </w:pPr>
            <w:r>
              <w:t>App dependency lock, bootstrapping and installable-PWA metadata.</w:t>
            </w:r>
          </w:p>
        </w:tc>
      </w:tr>
      <w:tr>
        <w:trPr>
          <w:cantSplit/>
        </w:trPr>
        <w:tc>
          <w:tcPr>
            <w:tcW w:type="dxa" w:w="5370"/>
            <w:tcMar>
              <w:top w:w="80" w:type="dxa"/>
              <w:bottom w:w="80" w:type="dxa"/>
              <w:start w:w="120" w:type="dxa"/>
              <w:end w:w="120" w:type="dxa"/>
            </w:tcMar>
          </w:tcPr>
          <w:p>
            <w:pPr>
              <w:pStyle w:val="TableText"/>
            </w:pPr>
            <w:r>
              <w:t>.github/workflows/ci.yml</w:t>
            </w:r>
          </w:p>
        </w:tc>
        <w:tc>
          <w:tcPr>
            <w:tcW w:type="dxa" w:w="3990"/>
            <w:tcMar>
              <w:top w:w="80" w:type="dxa"/>
              <w:bottom w:w="80" w:type="dxa"/>
              <w:start w:w="120" w:type="dxa"/>
              <w:end w:w="120" w:type="dxa"/>
            </w:tcMar>
          </w:tcPr>
          <w:p>
            <w:pPr>
              <w:pStyle w:val="TableText"/>
            </w:pPr>
            <w:r>
              <w:t>Build, lint, unit/replay/contract/security tests, artifact checks and signed-release approval boundary.</w:t>
            </w:r>
          </w:p>
        </w:tc>
      </w:tr>
    </w:tbl>
    <w:p>
      <w:pPr>
        <w:pStyle w:val="TableSpacer"/>
      </w:pPr>
    </w:p>
    <w:p>
      <w:pPr>
        <w:pStyle w:val="SpecBody"/>
      </w:pPr>
      <w:r>
        <w:t>Keep board-specific GPIO mappings in an explicit profile generated/checked during G0; add its file only after the exact PCB schematic is known. Firmware UI prompt assets, translations and generated contract types are intentionally outside the core-file count. Private keys, Wi-Fi credentials and resident data shall never be committed.</w:t>
      </w:r>
    </w:p>
    <w:p>
      <w:bookmarkStart w:id="36" w:name="sources"/>
      <w:pPr>
        <w:pStyle w:val="Heading1"/>
        <w:pageBreakBefore/>
      </w:pPr>
      <w:r>
        <w:rPr>
          <w:color w:val="000000"/>
        </w:rPr>
        <w:t>Appendix B. Decisions, glossary and research sources</w:t>
      </w:r>
      <w:bookmarkEnd w:id="36"/>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3650"/>
        <w:gridCol w:w="5710"/>
      </w:tblGrid>
      <w:tr>
        <w:trPr>
          <w:cantSplit/>
          <w:tblHeader/>
        </w:trPr>
        <w:tc>
          <w:tcPr>
            <w:tcW w:type="dxa" w:w="3650"/>
            <w:tcMar>
              <w:top w:w="80" w:type="dxa"/>
              <w:bottom w:w="80" w:type="dxa"/>
              <w:start w:w="120" w:type="dxa"/>
              <w:end w:w="120" w:type="dxa"/>
            </w:tcMar>
            <w:shd w:fill="E8EEF5"/>
          </w:tcPr>
          <w:p>
            <w:pPr>
              <w:pStyle w:val="TableText"/>
            </w:pPr>
            <w:r>
              <w:rPr>
                <w:b/>
              </w:rPr>
              <w:t>Architecture decision</w:t>
            </w:r>
          </w:p>
        </w:tc>
        <w:tc>
          <w:tcPr>
            <w:tcW w:type="dxa" w:w="5710"/>
            <w:tcMar>
              <w:top w:w="80" w:type="dxa"/>
              <w:bottom w:w="80" w:type="dxa"/>
              <w:start w:w="120" w:type="dxa"/>
              <w:end w:w="120" w:type="dxa"/>
            </w:tcMar>
            <w:shd w:fill="E8EEF5"/>
          </w:tcPr>
          <w:p>
            <w:pPr>
              <w:pStyle w:val="TableText"/>
            </w:pPr>
            <w:r>
              <w:rPr>
                <w:b/>
              </w:rPr>
              <w:t>Why / consequence</w:t>
            </w:r>
          </w:p>
        </w:tc>
      </w:tr>
      <w:tr>
        <w:trPr>
          <w:cantSplit/>
        </w:trPr>
        <w:tc>
          <w:tcPr>
            <w:tcW w:type="dxa" w:w="3650"/>
            <w:tcMar>
              <w:top w:w="80" w:type="dxa"/>
              <w:bottom w:w="80" w:type="dxa"/>
              <w:start w:w="120" w:type="dxa"/>
              <w:end w:w="120" w:type="dxa"/>
            </w:tcMar>
          </w:tcPr>
          <w:p>
            <w:pPr>
              <w:pStyle w:val="TableText"/>
            </w:pPr>
            <w:r>
              <w:t>ADR-01: Local deterministic rules</w:t>
            </w:r>
          </w:p>
        </w:tc>
        <w:tc>
          <w:tcPr>
            <w:tcW w:type="dxa" w:w="5710"/>
            <w:tcMar>
              <w:top w:w="80" w:type="dxa"/>
              <w:bottom w:w="80" w:type="dxa"/>
              <w:start w:w="120" w:type="dxa"/>
              <w:end w:w="120" w:type="dxa"/>
            </w:tcMar>
          </w:tcPr>
          <w:p>
            <w:pPr>
              <w:pStyle w:val="TableText"/>
            </w:pPr>
            <w:r>
              <w:t>Works offline and is host-testable; local clock/storage correctness becomes essential.</w:t>
            </w:r>
          </w:p>
        </w:tc>
      </w:tr>
      <w:tr>
        <w:trPr>
          <w:cantSplit/>
        </w:trPr>
        <w:tc>
          <w:tcPr>
            <w:tcW w:type="dxa" w:w="3650"/>
            <w:tcMar>
              <w:top w:w="80" w:type="dxa"/>
              <w:bottom w:w="80" w:type="dxa"/>
              <w:start w:w="120" w:type="dxa"/>
              <w:end w:w="120" w:type="dxa"/>
            </w:tcMar>
          </w:tcPr>
          <w:p>
            <w:pPr>
              <w:pStyle w:val="TableText"/>
            </w:pPr>
            <w:r>
              <w:t>ADR-02: One hub authority/home</w:t>
            </w:r>
          </w:p>
        </w:tc>
        <w:tc>
          <w:tcPr>
            <w:tcW w:type="dxa" w:w="5710"/>
            <w:tcMar>
              <w:top w:w="80" w:type="dxa"/>
              <w:bottom w:w="80" w:type="dxa"/>
              <w:start w:w="120" w:type="dxa"/>
              <w:end w:w="120" w:type="dxa"/>
            </w:tcMar>
          </w:tcPr>
          <w:p>
            <w:pPr>
              <w:pStyle w:val="TableText"/>
            </w:pPr>
            <w:r>
              <w:t>Avoids duplicate routine decisions; replacement needs an epoch fence and revalidation.</w:t>
            </w:r>
          </w:p>
        </w:tc>
      </w:tr>
      <w:tr>
        <w:trPr>
          <w:cantSplit/>
        </w:trPr>
        <w:tc>
          <w:tcPr>
            <w:tcW w:type="dxa" w:w="3650"/>
            <w:tcMar>
              <w:top w:w="80" w:type="dxa"/>
              <w:bottom w:w="80" w:type="dxa"/>
              <w:start w:w="120" w:type="dxa"/>
              <w:end w:w="120" w:type="dxa"/>
            </w:tcMar>
          </w:tcPr>
          <w:p>
            <w:pPr>
              <w:pStyle w:val="TableText"/>
            </w:pPr>
            <w:r>
              <w:t>ADR-03: Modular monolith + outbox</w:t>
            </w:r>
          </w:p>
        </w:tc>
        <w:tc>
          <w:tcPr>
            <w:tcW w:type="dxa" w:w="5710"/>
            <w:tcMar>
              <w:top w:w="80" w:type="dxa"/>
              <w:bottom w:w="80" w:type="dxa"/>
              <w:start w:w="120" w:type="dxa"/>
              <w:end w:w="120" w:type="dxa"/>
            </w:tcMar>
          </w:tcPr>
          <w:p>
            <w:pPr>
              <w:pStyle w:val="TableText"/>
            </w:pPr>
            <w:r>
              <w:t>Small operational surface for one engineer; use process scaling and clear interfaces before services.</w:t>
            </w:r>
          </w:p>
        </w:tc>
      </w:tr>
      <w:tr>
        <w:trPr>
          <w:cantSplit/>
        </w:trPr>
        <w:tc>
          <w:tcPr>
            <w:tcW w:type="dxa" w:w="3650"/>
            <w:tcMar>
              <w:top w:w="80" w:type="dxa"/>
              <w:bottom w:w="80" w:type="dxa"/>
              <w:start w:w="120" w:type="dxa"/>
              <w:end w:w="120" w:type="dxa"/>
            </w:tcMar>
          </w:tcPr>
          <w:p>
            <w:pPr>
              <w:pStyle w:val="TableText"/>
            </w:pPr>
            <w:r>
              <w:t>ADR-04: At-least-once + idempotency</w:t>
            </w:r>
          </w:p>
        </w:tc>
        <w:tc>
          <w:tcPr>
            <w:tcW w:type="dxa" w:w="5710"/>
            <w:tcMar>
              <w:top w:w="80" w:type="dxa"/>
              <w:bottom w:w="80" w:type="dxa"/>
              <w:start w:w="120" w:type="dxa"/>
              <w:end w:w="120" w:type="dxa"/>
            </w:tcMar>
          </w:tcPr>
          <w:p>
            <w:pPr>
              <w:pStyle w:val="TableText"/>
            </w:pPr>
            <w:r>
              <w:t>Honest transport semantics; adds stable IDs, durable ACKs and unique constraints.</w:t>
            </w:r>
          </w:p>
        </w:tc>
      </w:tr>
      <w:tr>
        <w:trPr>
          <w:cantSplit/>
        </w:trPr>
        <w:tc>
          <w:tcPr>
            <w:tcW w:type="dxa" w:w="3650"/>
            <w:tcMar>
              <w:top w:w="80" w:type="dxa"/>
              <w:bottom w:w="80" w:type="dxa"/>
              <w:start w:w="120" w:type="dxa"/>
              <w:end w:w="120" w:type="dxa"/>
            </w:tcMar>
          </w:tcPr>
          <w:p>
            <w:pPr>
              <w:pStyle w:val="TableText"/>
            </w:pPr>
            <w:r>
              <w:t>ADR-05: Assisted provisioning + PWA</w:t>
            </w:r>
          </w:p>
        </w:tc>
        <w:tc>
          <w:tcPr>
            <w:tcW w:type="dxa" w:w="5710"/>
            <w:tcMar>
              <w:top w:w="80" w:type="dxa"/>
              <w:bottom w:w="80" w:type="dxa"/>
              <w:start w:w="120" w:type="dxa"/>
              <w:end w:w="120" w:type="dxa"/>
            </w:tcMar>
          </w:tcPr>
          <w:p>
            <w:pPr>
              <w:pStyle w:val="TableText"/>
            </w:pPr>
            <w:r>
              <w:t>Reduces first-release mobile/backend scope; installation and push-platform limitations become explicit gates.</w:t>
            </w:r>
          </w:p>
        </w:tc>
      </w:tr>
      <w:tr>
        <w:trPr>
          <w:cantSplit/>
        </w:trPr>
        <w:tc>
          <w:tcPr>
            <w:tcW w:type="dxa" w:w="3650"/>
            <w:tcMar>
              <w:top w:w="80" w:type="dxa"/>
              <w:bottom w:w="80" w:type="dxa"/>
              <w:start w:w="120" w:type="dxa"/>
              <w:end w:w="120" w:type="dxa"/>
            </w:tcMar>
          </w:tcPr>
          <w:p>
            <w:pPr>
              <w:pStyle w:val="TableText"/>
            </w:pPr>
            <w:r>
              <w:t>ADR-06: USB hub + battery backup proposal</w:t>
            </w:r>
          </w:p>
        </w:tc>
        <w:tc>
          <w:tcPr>
            <w:tcW w:type="dxa" w:w="5710"/>
            <w:tcMar>
              <w:top w:w="80" w:type="dxa"/>
              <w:bottom w:w="80" w:type="dxa"/>
              <w:start w:w="120" w:type="dxa"/>
              <w:end w:w="120" w:type="dxa"/>
            </w:tcMar>
          </w:tcPr>
          <w:p>
            <w:pPr>
              <w:pStyle w:val="TableText"/>
            </w:pPr>
            <w:r>
              <w:t>Supports an always-listening hub; battery-only preference needs a measured trade-off decision.</w:t>
            </w:r>
          </w:p>
        </w:tc>
      </w:tr>
      <w:tr>
        <w:trPr>
          <w:cantSplit/>
        </w:trPr>
        <w:tc>
          <w:tcPr>
            <w:tcW w:type="dxa" w:w="3650"/>
            <w:tcMar>
              <w:top w:w="80" w:type="dxa"/>
              <w:bottom w:w="80" w:type="dxa"/>
              <w:start w:w="120" w:type="dxa"/>
              <w:end w:w="120" w:type="dxa"/>
            </w:tcMar>
          </w:tcPr>
          <w:p>
            <w:pPr>
              <w:pStyle w:val="TableText"/>
            </w:pPr>
            <w:r>
              <w:t>ADR-07: No P0 AI inference</w:t>
            </w:r>
          </w:p>
        </w:tc>
        <w:tc>
          <w:tcPr>
            <w:tcW w:type="dxa" w:w="5710"/>
            <w:tcMar>
              <w:top w:w="80" w:type="dxa"/>
              <w:bottom w:w="80" w:type="dxa"/>
              <w:start w:w="120" w:type="dxa"/>
              <w:end w:w="120" w:type="dxa"/>
            </w:tcMar>
          </w:tcPr>
          <w:p>
            <w:pPr>
              <w:pStyle w:val="TableText"/>
            </w:pPr>
            <w:r>
              <w:t>Avoids unvalidated behavior and cloud-inference cost; differentiate through workflow and reliability.</w:t>
            </w:r>
          </w:p>
        </w:tc>
      </w:tr>
      <w:tr>
        <w:trPr>
          <w:cantSplit/>
        </w:trPr>
        <w:tc>
          <w:tcPr>
            <w:tcW w:type="dxa" w:w="3650"/>
            <w:tcMar>
              <w:top w:w="80" w:type="dxa"/>
              <w:bottom w:w="80" w:type="dxa"/>
              <w:start w:w="120" w:type="dxa"/>
              <w:end w:w="120" w:type="dxa"/>
            </w:tcMar>
          </w:tcPr>
          <w:p>
            <w:pPr>
              <w:pStyle w:val="TableText"/>
            </w:pPr>
            <w:r>
              <w:t>ADR-08: Physical privacy authority</w:t>
            </w:r>
          </w:p>
        </w:tc>
        <w:tc>
          <w:tcPr>
            <w:tcW w:type="dxa" w:w="5710"/>
            <w:tcMar>
              <w:top w:w="80" w:type="dxa"/>
              <w:bottom w:w="80" w:type="dxa"/>
              <w:start w:w="120" w:type="dxa"/>
              <w:end w:w="120" w:type="dxa"/>
            </w:tcMar>
          </w:tcPr>
          <w:p>
            <w:pPr>
              <w:pStyle w:val="TableText"/>
            </w:pPr>
            <w:r>
              <w:t>Resident can stop passive observation offline; remote mode changes cannot override it.</w:t>
            </w:r>
          </w:p>
        </w:tc>
      </w:tr>
    </w:tbl>
    <w:p>
      <w:pPr>
        <w:pStyle w:val="TableSpacer"/>
      </w:pPr>
    </w:p>
    <w:p>
      <w:pPr>
        <w:pStyle w:val="Heading2"/>
      </w:pPr>
      <w:r>
        <w:rPr>
          <w:color w:val="000000"/>
        </w:rPr>
        <w:t>Glossary</w:t>
      </w:r>
    </w:p>
    <w:tbl>
      <w:tblPr>
        <w:tblW w:type="dxa" w:w="9360"/>
        <w:jc w:val="left"/>
        <w:tblLayout w:type="fixed"/>
        <w:tblLook w:firstColumn="1" w:firstRow="1" w:lastColumn="0" w:lastRow="0" w:noHBand="0" w:noVBand="1" w:val="04A0"/>
        <w:tblInd w:type="dxa" w:w="120"/>
        <w:tblBorders>
          <w:top w:val="single" w:sz="4" w:color="CAD5DF"/>
          <w:left w:val="single" w:sz="4" w:color="CAD5DF"/>
          <w:bottom w:val="single" w:sz="4" w:color="CAD5DF"/>
          <w:right w:val="single" w:sz="4" w:color="CAD5DF"/>
          <w:insideH w:val="single" w:sz="4" w:color="CAD5DF"/>
          <w:insideV w:val="single" w:sz="4" w:color="CAD5DF"/>
        </w:tblBorders>
      </w:tblPr>
      <w:tblGrid>
        <w:gridCol w:w="2350"/>
        <w:gridCol w:w="7010"/>
      </w:tblGrid>
      <w:tr>
        <w:trPr>
          <w:cantSplit/>
          <w:tblHeader/>
        </w:trPr>
        <w:tc>
          <w:tcPr>
            <w:tcW w:type="dxa" w:w="2350"/>
            <w:tcMar>
              <w:top w:w="80" w:type="dxa"/>
              <w:bottom w:w="80" w:type="dxa"/>
              <w:start w:w="120" w:type="dxa"/>
              <w:end w:w="120" w:type="dxa"/>
            </w:tcMar>
            <w:shd w:fill="E8EEF5"/>
          </w:tcPr>
          <w:p>
            <w:pPr>
              <w:pStyle w:val="TableText"/>
            </w:pPr>
            <w:r>
              <w:rPr>
                <w:b/>
              </w:rPr>
              <w:t>Term</w:t>
            </w:r>
          </w:p>
        </w:tc>
        <w:tc>
          <w:tcPr>
            <w:tcW w:type="dxa" w:w="7010"/>
            <w:tcMar>
              <w:top w:w="80" w:type="dxa"/>
              <w:bottom w:w="80" w:type="dxa"/>
              <w:start w:w="120" w:type="dxa"/>
              <w:end w:w="120" w:type="dxa"/>
            </w:tcMar>
            <w:shd w:fill="E8EEF5"/>
          </w:tcPr>
          <w:p>
            <w:pPr>
              <w:pStyle w:val="TableText"/>
            </w:pPr>
            <w:r>
              <w:rPr>
                <w:b/>
              </w:rPr>
              <w:t>Meaning in this specification</w:t>
            </w:r>
          </w:p>
        </w:tc>
      </w:tr>
      <w:tr>
        <w:trPr>
          <w:cantSplit/>
        </w:trPr>
        <w:tc>
          <w:tcPr>
            <w:tcW w:type="dxa" w:w="2350"/>
            <w:tcMar>
              <w:top w:w="80" w:type="dxa"/>
              <w:bottom w:w="80" w:type="dxa"/>
              <w:start w:w="120" w:type="dxa"/>
              <w:end w:w="120" w:type="dxa"/>
            </w:tcMar>
          </w:tcPr>
          <w:p>
            <w:pPr>
              <w:pStyle w:val="TableText"/>
            </w:pPr>
            <w:r>
              <w:t>P0 / P1 / P2</w:t>
            </w:r>
          </w:p>
        </w:tc>
        <w:tc>
          <w:tcPr>
            <w:tcW w:type="dxa" w:w="7010"/>
            <w:tcMar>
              <w:top w:w="80" w:type="dxa"/>
              <w:bottom w:w="80" w:type="dxa"/>
              <w:start w:w="120" w:type="dxa"/>
              <w:end w:w="120" w:type="dxa"/>
            </w:tcMar>
          </w:tcPr>
          <w:p>
            <w:pPr>
              <w:pStyle w:val="TableText"/>
            </w:pPr>
            <w:r>
              <w:t>Required first-release scope / next enhancement / later expansion.</w:t>
            </w:r>
          </w:p>
        </w:tc>
      </w:tr>
      <w:tr>
        <w:trPr>
          <w:cantSplit/>
        </w:trPr>
        <w:tc>
          <w:tcPr>
            <w:tcW w:type="dxa" w:w="2350"/>
            <w:tcMar>
              <w:top w:w="80" w:type="dxa"/>
              <w:bottom w:w="80" w:type="dxa"/>
              <w:start w:w="120" w:type="dxa"/>
              <w:end w:w="120" w:type="dxa"/>
            </w:tcMar>
          </w:tcPr>
          <w:p>
            <w:pPr>
              <w:pStyle w:val="TableText"/>
            </w:pPr>
            <w:r>
              <w:t>Evidence / coverage</w:t>
            </w:r>
          </w:p>
        </w:tc>
        <w:tc>
          <w:tcPr>
            <w:tcW w:type="dxa" w:w="7010"/>
            <w:tcMar>
              <w:top w:w="80" w:type="dxa"/>
              <w:bottom w:w="80" w:type="dxa"/>
              <w:start w:w="120" w:type="dxa"/>
              <w:end w:w="120" w:type="dxa"/>
            </w:tcMar>
          </w:tcPr>
          <w:p>
            <w:pPr>
              <w:pStyle w:val="TableText"/>
            </w:pPr>
            <w:r>
              <w:t>An observed event / the availability and limitations of the observation path.</w:t>
            </w:r>
          </w:p>
        </w:tc>
      </w:tr>
      <w:tr>
        <w:trPr>
          <w:cantSplit/>
        </w:trPr>
        <w:tc>
          <w:tcPr>
            <w:tcW w:type="dxa" w:w="2350"/>
            <w:tcMar>
              <w:top w:w="80" w:type="dxa"/>
              <w:bottom w:w="80" w:type="dxa"/>
              <w:start w:w="120" w:type="dxa"/>
              <w:end w:w="120" w:type="dxa"/>
            </w:tcMar>
          </w:tcPr>
          <w:p>
            <w:pPr>
              <w:pStyle w:val="TableText"/>
            </w:pPr>
            <w:r>
              <w:t>ACK / commit ACK</w:t>
            </w:r>
          </w:p>
        </w:tc>
        <w:tc>
          <w:tcPr>
            <w:tcW w:type="dxa" w:w="7010"/>
            <w:tcMar>
              <w:top w:w="80" w:type="dxa"/>
              <w:bottom w:w="80" w:type="dxa"/>
              <w:start w:w="120" w:type="dxa"/>
              <w:end w:w="120" w:type="dxa"/>
            </w:tcMar>
          </w:tcPr>
          <w:p>
            <w:pPr>
              <w:pStyle w:val="TableText"/>
            </w:pPr>
            <w:r>
              <w:t>Acknowledgement; commit ACK means the specified application store has durably accepted the event, not that a human acted.</w:t>
            </w:r>
          </w:p>
        </w:tc>
      </w:tr>
      <w:tr>
        <w:trPr>
          <w:cantSplit/>
        </w:trPr>
        <w:tc>
          <w:tcPr>
            <w:tcW w:type="dxa" w:w="2350"/>
            <w:tcMar>
              <w:top w:w="80" w:type="dxa"/>
              <w:bottom w:w="80" w:type="dxa"/>
              <w:start w:w="120" w:type="dxa"/>
              <w:end w:w="120" w:type="dxa"/>
            </w:tcMar>
          </w:tcPr>
          <w:p>
            <w:pPr>
              <w:pStyle w:val="TableText"/>
            </w:pPr>
            <w:r>
              <w:t>Idempotency</w:t>
            </w:r>
          </w:p>
        </w:tc>
        <w:tc>
          <w:tcPr>
            <w:tcW w:type="dxa" w:w="7010"/>
            <w:tcMar>
              <w:top w:w="80" w:type="dxa"/>
              <w:bottom w:w="80" w:type="dxa"/>
              <w:start w:w="120" w:type="dxa"/>
              <w:end w:w="120" w:type="dxa"/>
            </w:tcMar>
          </w:tcPr>
          <w:p>
            <w:pPr>
              <w:pStyle w:val="TableText"/>
            </w:pPr>
            <w:r>
              <w:t>Repeating the same operation ID has one business effect.</w:t>
            </w:r>
          </w:p>
        </w:tc>
      </w:tr>
      <w:tr>
        <w:trPr>
          <w:cantSplit/>
        </w:trPr>
        <w:tc>
          <w:tcPr>
            <w:tcW w:type="dxa" w:w="2350"/>
            <w:tcMar>
              <w:top w:w="80" w:type="dxa"/>
              <w:bottom w:w="80" w:type="dxa"/>
              <w:start w:w="120" w:type="dxa"/>
              <w:end w:w="120" w:type="dxa"/>
            </w:tcMar>
          </w:tcPr>
          <w:p>
            <w:pPr>
              <w:pStyle w:val="TableText"/>
            </w:pPr>
            <w:r>
              <w:t>Outbox / lease</w:t>
            </w:r>
          </w:p>
        </w:tc>
        <w:tc>
          <w:tcPr>
            <w:tcW w:type="dxa" w:w="7010"/>
            <w:tcMar>
              <w:top w:w="80" w:type="dxa"/>
              <w:bottom w:w="80" w:type="dxa"/>
              <w:start w:w="120" w:type="dxa"/>
              <w:end w:w="120" w:type="dxa"/>
            </w:tcMar>
          </w:tcPr>
          <w:p>
            <w:pPr>
              <w:pStyle w:val="TableText"/>
            </w:pPr>
            <w:r>
              <w:t>Durable pending message intent / time-limited ownership or reachability validity.</w:t>
            </w:r>
          </w:p>
        </w:tc>
      </w:tr>
      <w:tr>
        <w:trPr>
          <w:cantSplit/>
        </w:trPr>
        <w:tc>
          <w:tcPr>
            <w:tcW w:type="dxa" w:w="2350"/>
            <w:tcMar>
              <w:top w:w="80" w:type="dxa"/>
              <w:bottom w:w="80" w:type="dxa"/>
              <w:start w:w="120" w:type="dxa"/>
              <w:end w:w="120" w:type="dxa"/>
            </w:tcMar>
          </w:tcPr>
          <w:p>
            <w:pPr>
              <w:pStyle w:val="TableText"/>
            </w:pPr>
            <w:r>
              <w:t>RPO / RTO</w:t>
            </w:r>
          </w:p>
        </w:tc>
        <w:tc>
          <w:tcPr>
            <w:tcW w:type="dxa" w:w="7010"/>
            <w:tcMar>
              <w:top w:w="80" w:type="dxa"/>
              <w:bottom w:w="80" w:type="dxa"/>
              <w:start w:w="120" w:type="dxa"/>
              <w:end w:w="120" w:type="dxa"/>
            </w:tcMar>
          </w:tcPr>
          <w:p>
            <w:pPr>
              <w:pStyle w:val="TableText"/>
            </w:pPr>
            <w:r>
              <w:t>Maximum intended data-loss window / intended recovery time; neither is a demonstrated guarantee here.</w:t>
            </w:r>
          </w:p>
        </w:tc>
      </w:tr>
      <w:tr>
        <w:trPr>
          <w:cantSplit/>
        </w:trPr>
        <w:tc>
          <w:tcPr>
            <w:tcW w:type="dxa" w:w="2350"/>
            <w:tcMar>
              <w:top w:w="80" w:type="dxa"/>
              <w:bottom w:w="80" w:type="dxa"/>
              <w:start w:w="120" w:type="dxa"/>
              <w:end w:w="120" w:type="dxa"/>
            </w:tcMar>
          </w:tcPr>
          <w:p>
            <w:pPr>
              <w:pStyle w:val="TableText"/>
            </w:pPr>
            <w:r>
              <w:t>OIDC / RLS / SSE</w:t>
            </w:r>
          </w:p>
        </w:tc>
        <w:tc>
          <w:tcPr>
            <w:tcW w:type="dxa" w:w="7010"/>
            <w:tcMar>
              <w:top w:w="80" w:type="dxa"/>
              <w:bottom w:w="80" w:type="dxa"/>
              <w:start w:w="120" w:type="dxa"/>
              <w:end w:w="120" w:type="dxa"/>
            </w:tcMar>
          </w:tcPr>
          <w:p>
            <w:pPr>
              <w:pStyle w:val="TableText"/>
            </w:pPr>
            <w:r>
              <w:t>OpenID Connect authentication / database row-level security / server-sent foreground change events.</w:t>
            </w:r>
          </w:p>
        </w:tc>
      </w:tr>
      <w:tr>
        <w:trPr>
          <w:cantSplit/>
        </w:trPr>
        <w:tc>
          <w:tcPr>
            <w:tcW w:type="dxa" w:w="2350"/>
            <w:tcMar>
              <w:top w:w="80" w:type="dxa"/>
              <w:bottom w:w="80" w:type="dxa"/>
              <w:start w:w="120" w:type="dxa"/>
              <w:end w:w="120" w:type="dxa"/>
            </w:tcMar>
          </w:tcPr>
          <w:p>
            <w:pPr>
              <w:pStyle w:val="TableText"/>
            </w:pPr>
            <w:r>
              <w:t>Time uncertainty</w:t>
            </w:r>
          </w:p>
        </w:tc>
        <w:tc>
          <w:tcPr>
            <w:tcW w:type="dxa" w:w="7010"/>
            <w:tcMar>
              <w:top w:w="80" w:type="dxa"/>
              <w:bottom w:w="80" w:type="dxa"/>
              <w:start w:w="120" w:type="dxa"/>
              <w:end w:w="120" w:type="dxa"/>
            </w:tcMar>
          </w:tcPr>
          <w:p>
            <w:pPr>
              <w:pStyle w:val="TableText"/>
            </w:pPr>
            <w:r>
              <w:t>Bound on when an event may have occurred; not silently replaced by upload time.</w:t>
            </w:r>
          </w:p>
        </w:tc>
      </w:tr>
    </w:tbl>
    <w:p>
      <w:pPr>
        <w:pStyle w:val="TableSpacer"/>
      </w:pPr>
    </w:p>
    <w:p>
      <w:pPr>
        <w:pStyle w:val="Heading2"/>
        <w:pageBreakBefore/>
      </w:pPr>
      <w:r>
        <w:rPr>
          <w:color w:val="000000"/>
        </w:rPr>
        <w:t>Source register and research boundary</w:t>
      </w:r>
    </w:p>
    <w:p>
      <w:pPr>
        <w:pStyle w:val="SpecBody"/>
      </w:pPr>
      <w:r>
        <w:t>Technical and competitor sources checked through 7 September 2026. Numbered references support platform or competitor facts; thresholds, architecture choices, effort, capacity, pricing and battery calculations remain proposed engineering assumptions. The startup blueprint and field-layout conversation provide product context, not evidence of working hardware, clinical performance or validated demand.</w:t>
      </w:r>
    </w:p>
    <w:p>
      <w:pPr>
        <w:pStyle w:val="SpecBody"/>
      </w:pPr>
      <w:r>
        <w:rPr>
          <w:b/>
        </w:rPr>
        <w:t xml:space="preserve">[S1] </w:t>
      </w:r>
      <w:hyperlink r:id="rId12">
        <w:r>
          <w:rPr>
            <w:color w:val="2E74B5"/>
          </w:rPr>
          <w:t>Espressif — ESP-NOW, ESP32-C3</w:t>
        </w:r>
      </w:hyperlink>
    </w:p>
    <w:p>
      <w:pPr>
        <w:pStyle w:val="Micro"/>
      </w:pPr>
      <w:r>
        <w:t>Packet compatibility, encrypted peers, channels and MAC versus application acknowledgement.</w:t>
      </w:r>
    </w:p>
    <w:p>
      <w:pPr>
        <w:pStyle w:val="SpecBody"/>
      </w:pPr>
      <w:r>
        <w:rPr>
          <w:b/>
        </w:rPr>
        <w:t xml:space="preserve">[S2] </w:t>
      </w:r>
      <w:hyperlink r:id="rId13">
        <w:r>
          <w:rPr>
            <w:color w:val="2E74B5"/>
          </w:rPr>
          <w:t>Espressif — ESP-IDF OTA, ESP32</w:t>
        </w:r>
      </w:hyperlink>
    </w:p>
    <w:p>
      <w:pPr>
        <w:pStyle w:val="Micro"/>
      </w:pPr>
      <w:r>
        <w:t>Signed-image/update mechanisms and pending verification/rollback behavior.</w:t>
      </w:r>
    </w:p>
    <w:p>
      <w:pPr>
        <w:pStyle w:val="SpecBody"/>
      </w:pPr>
      <w:r>
        <w:rPr>
          <w:b/>
        </w:rPr>
        <w:t xml:space="preserve">[S3] </w:t>
      </w:r>
      <w:hyperlink r:id="rId14">
        <w:r>
          <w:rPr>
            <w:color w:val="2E74B5"/>
          </w:rPr>
          <w:t>Espressif — Non-Volatile Storage</w:t>
        </w:r>
      </w:hyperlink>
    </w:p>
    <w:p>
      <w:pPr>
        <w:pStyle w:val="Micro"/>
      </w:pPr>
      <w:r>
        <w:t>Small key-value persistence and storage behavior. The bounded host journal and ACK semantics are implemented; the ESP-IDF flash-partition adapter, CRC/commit marker, wear measurements and interrupted-write qualification remain hardware work.</w:t>
      </w:r>
    </w:p>
    <w:p>
      <w:pPr>
        <w:pStyle w:val="SpecBody"/>
      </w:pPr>
      <w:r>
        <w:rPr>
          <w:b/>
        </w:rPr>
        <w:t xml:space="preserve">[S4] </w:t>
      </w:r>
      <w:hyperlink r:id="rId15">
        <w:r>
          <w:rPr>
            <w:color w:val="2E74B5"/>
          </w:rPr>
          <w:t>WebKit — Web Push for iOS and iPadOS</w:t>
        </w:r>
      </w:hyperlink>
    </w:p>
    <w:p>
      <w:pPr>
        <w:pStyle w:val="Micro"/>
      </w:pPr>
      <w:r>
        <w:t>Home Screen web apps, user-gesture permission and platform support constraints; not a delivery SLA.</w:t>
      </w:r>
    </w:p>
    <w:p>
      <w:pPr>
        <w:pStyle w:val="SpecBody"/>
      </w:pPr>
      <w:r>
        <w:rPr>
          <w:b/>
        </w:rPr>
        <w:t xml:space="preserve">[S5] </w:t>
      </w:r>
      <w:hyperlink r:id="rId16">
        <w:r>
          <w:rPr>
            <w:color w:val="2E74B5"/>
          </w:rPr>
          <w:t>OASIS — MQTT 3.1.1 specification</w:t>
        </w:r>
      </w:hyperlink>
    </w:p>
    <w:p>
      <w:pPr>
        <w:pStyle w:val="Micro"/>
      </w:pPr>
      <w:r>
        <w:t>QoS 1, persistent sessions and Last Will; broker delivery is not a business database commit.</w:t>
      </w:r>
    </w:p>
    <w:p>
      <w:pPr>
        <w:pStyle w:val="SpecBody"/>
      </w:pPr>
      <w:r>
        <w:rPr>
          <w:b/>
        </w:rPr>
        <w:t xml:space="preserve">[S6] </w:t>
      </w:r>
      <w:hyperlink r:id="rId17">
        <w:r>
          <w:rPr>
            <w:color w:val="2E74B5"/>
          </w:rPr>
          <w:t>Espressif — ESP32 security overview</w:t>
        </w:r>
      </w:hyperlink>
    </w:p>
    <w:p>
      <w:pPr>
        <w:pStyle w:val="Micro"/>
      </w:pPr>
      <w:r>
        <w:t>Secure boot, flash encryption and development/production lifecycle considerations.</w:t>
      </w:r>
    </w:p>
    <w:p>
      <w:pPr>
        <w:pStyle w:val="SpecBody"/>
      </w:pPr>
      <w:r>
        <w:rPr>
          <w:b/>
        </w:rPr>
        <w:t xml:space="preserve">[S7] </w:t>
      </w:r>
      <w:hyperlink r:id="rId18">
        <w:r>
          <w:rPr>
            <w:color w:val="2E74B5"/>
          </w:rPr>
          <w:t>PostgreSQL — Row security policies</w:t>
        </w:r>
      </w:hyperlink>
    </w:p>
    <w:p>
      <w:pPr>
        <w:pStyle w:val="Micro"/>
      </w:pPr>
      <w:r>
        <w:t>Tenant-isolation defense in depth and role/owner bypass considerations.</w:t>
      </w:r>
    </w:p>
    <w:p>
      <w:pPr>
        <w:pStyle w:val="SpecBody"/>
      </w:pPr>
      <w:r>
        <w:rPr>
          <w:b/>
        </w:rPr>
        <w:t xml:space="preserve">[S8] </w:t>
      </w:r>
      <w:hyperlink r:id="rId19">
        <w:r>
          <w:rPr>
            <w:color w:val="2E74B5"/>
          </w:rPr>
          <w:t>Texas Instruments — TPS63020</w:t>
        </w:r>
      </w:hyperlink>
    </w:p>
    <w:p>
      <w:pPr>
        <w:pStyle w:val="Micro"/>
      </w:pPr>
      <w:r>
        <w:t>Buck-boost converter, not a charger; IC specifications do not validate an unknown purchased module.</w:t>
      </w:r>
    </w:p>
    <w:p>
      <w:pPr>
        <w:pStyle w:val="SpecBody"/>
      </w:pPr>
      <w:r>
        <w:rPr>
          <w:b/>
        </w:rPr>
        <w:t xml:space="preserve">[S9] </w:t>
      </w:r>
      <w:hyperlink r:id="rId20">
        <w:r>
          <w:rPr>
            <w:color w:val="2E74B5"/>
          </w:rPr>
          <w:t>Texas Instruments — BQ24074</w:t>
        </w:r>
      </w:hyperlink>
    </w:p>
    <w:p>
      <w:pPr>
        <w:pStyle w:val="Micro"/>
      </w:pPr>
      <w:r>
        <w:t>Example single-cell charger with power-path management; candidate, not an approved battery BOM.</w:t>
      </w:r>
    </w:p>
    <w:p>
      <w:pPr>
        <w:pStyle w:val="SpecBody"/>
      </w:pPr>
      <w:r>
        <w:rPr>
          <w:b/>
        </w:rPr>
        <w:t xml:space="preserve">[S10] </w:t>
      </w:r>
      <w:hyperlink r:id="rId21">
        <w:r>
          <w:rPr>
            <w:color w:val="2E74B5"/>
          </w:rPr>
          <w:t>Home Assistant — 2026.9 release, 2 September 2026</w:t>
        </w:r>
      </w:hyperlink>
    </w:p>
    <w:p>
      <w:pPr>
        <w:pStyle w:val="Micro"/>
      </w:pPr>
      <w:r>
        <w:t>Current smart-home software context; not demand or sales evidence for this proposed product.</w:t>
      </w:r>
    </w:p>
    <w:p>
      <w:r>
        <w:rPr>
          <w:b/>
          <w:color w:val="1F4D78"/>
        </w:rPr>
        <w:t>[S11] Nomo Smart Care — Essential Care Kit, FAQs, app and privacy policy</w:t>
      </w:r>
    </w:p>
    <w:p>
      <w:r>
        <w:t>Reference for hub/satellite/tag packaging, caregiver workflow, routine goals, installation/test expectations and claim/privacy boundaries. Hardware and service facts are competitor evidence, not proof of Ghar Sajag demand.</w:t>
      </w:r>
    </w:p>
    <w:p>
      <w:pPr>
        <w:spacing w:after="100"/>
      </w:pPr>
      <w:r>
        <w:rPr>
          <w:color w:val="2E74B5"/>
          <w:sz w:val="18"/>
        </w:rPr>
        <w:t>https://nomosmartcare.com/products/essential-care-kit | https://nomosmartcare.com/pages/faqs | https://nomosmartcare.com/pages/the-nomo-app | https://nomosmartcare.com/pages/privacy-policy</w:t>
      </w:r>
    </w:p>
    <w:p>
      <w:r>
        <w:rPr>
          <w:b/>
          <w:color w:val="1F4D78"/>
        </w:rPr>
        <w:t>[S12] I’m Alive — Personal Safety &amp; Fall Detection App</w:t>
      </w:r>
    </w:p>
    <w:p>
      <w:r>
        <w:t>Reference for phone/app-only check-in positioning. It is a software-led competitor and does not establish distributed household sensing or recipient independence.</w:t>
      </w:r>
    </w:p>
    <w:p>
      <w:pPr>
        <w:spacing w:after="100"/>
      </w:pPr>
      <w:r>
        <w:rPr>
          <w:color w:val="2E74B5"/>
          <w:sz w:val="18"/>
        </w:rPr>
        <w:t>https://imalive.co/</w:t>
      </w:r>
    </w:p>
    <w:p>
      <w:pPr>
        <w:pStyle w:val="SpecBody"/>
      </w:pPr>
      <w:r>
        <w:t>Research limits: competitor websites describe marketed behavior and pricing, not verified sales, clinical accuracy or sustained household outcomes. No exact battery-pack specification, supplier BOM quotation, installed-phone performance, measured radio/battery profile, implemented software, security audit, clinical validation or paid-demand data was available for this specification. Do not treat a reference-board, IC or competitor claim as verification of a purchased module or Ghar Sajag capability. All implementation and release tests remain to be executed.</w:t>
      </w:r>
    </w:p>
    <w:p>
      <w:pPr>
        <w:pStyle w:val="SpecBody"/>
      </w:pPr>
      <w:r>
        <w:t>Next engineering action: complete the contract-driven one-event vertical slice with one ESP32 DevKit V1 hub and one C3+PIR node, then add the remaining nodes and run the v1.1 Test alert drill on a real caregiver phone. Do not begin fall detection, medicine claims, custom PCBs or professional-response integration before the P0 evidence and coverage semantics pass the release-delta tests above.</w:t>
      </w:r>
    </w:p>
    <w:p>
      <w:pPr>
        <w:pStyle w:val="Heading1"/>
      </w:pPr>
      <w:r>
        <w:rPr>
          <w:color w:val="000000"/>
        </w:rPr>
        <w:t>Appendix C. v1.2 implementation handoff</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1F4D78"/>
                <w:sz w:val="19"/>
              </w:rPr>
              <w:t>Delivered boundary: host-executable reference implementation for all 32 module responsibilities. Not delivered: hardware-qualified ESP-IDF firmware, production cryptography, durable PostgreSQL deployment, real OIDC/Web Push integrations or field evidence.</w:t>
            </w:r>
          </w:p>
        </w:tc>
      </w:tr>
    </w:tbl>
    <w:p>
      <w:pPr>
        <w:pStyle w:val="Heading2"/>
      </w:pPr>
      <w:r>
        <w:rPr>
          <w:color w:val="000000"/>
        </w:rPr>
        <w:t>Verification evidence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800"/>
        <w:gridCol w:w="2700"/>
        <w:gridCol w:w="4860"/>
      </w:tblGrid>
      <w:tr>
        <w:trPr>
          <w:cantSplit/>
          <w:tblHeader w:val="true"/>
        </w:trPr>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Check</w:t>
            </w:r>
          </w:p>
        </w:tc>
        <w:tc>
          <w:tcPr>
            <w:tcW w:type="dxa" w:w="2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Result on 7 September 2026</w:t>
            </w:r>
          </w:p>
        </w:tc>
        <w:tc>
          <w:tcPr>
            <w:tcW w:type="dxa" w:w="48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Contracts</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3 JSON schemas + OpenAPI surface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Required fields/version boundary are structurally present.</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Portable C++</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Strict C++17 build; 52 assertions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Node/hub/shared algorithms and runtime composition executed on host.</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Simulator</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1 motion event persisted/replayed; no false missing incident</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One local-first vertical slice executed without hardware.</w:t>
            </w:r>
          </w:p>
        </w:tc>
      </w:tr>
      <w:tr>
        <w:trPr>
          <w:cantSplit/>
        </w:trPr>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7"/>
              </w:rPr>
              <w:t>Backend</w:t>
            </w:r>
          </w:p>
        </w:tc>
        <w:tc>
          <w:tcPr>
            <w:tcW w:type="dxa" w:w="2700"/>
            <w:tcMar>
              <w:top w:w="80" w:type="dxa"/>
              <w:start w:w="120" w:type="dxa"/>
              <w:bottom w:w="80" w:type="dxa"/>
              <w:end w:w="120" w:type="dxa"/>
            </w:tcMar>
            <w:vAlign w:val="center"/>
          </w:tcPr>
          <w:p>
            <w:pPr>
              <w:keepNext/>
              <w:spacing w:before="0" w:after="60" w:line="240" w:lineRule="auto"/>
            </w:pPr>
            <w:r>
              <w:rPr>
                <w:rFonts w:ascii="Calibri" w:hAnsi="Calibri"/>
                <w:sz w:val="17"/>
              </w:rPr>
              <w:t>10 Python unittest cases passed</w:t>
            </w:r>
          </w:p>
        </w:tc>
        <w:tc>
          <w:tcPr>
            <w:tcW w:type="dxa" w:w="4860"/>
            <w:tcMar>
              <w:top w:w="80" w:type="dxa"/>
              <w:start w:w="120" w:type="dxa"/>
              <w:bottom w:w="80" w:type="dxa"/>
              <w:end w:w="120" w:type="dxa"/>
            </w:tcMar>
            <w:vAlign w:val="center"/>
          </w:tcPr>
          <w:p>
            <w:pPr>
              <w:keepNext/>
              <w:spacing w:before="0" w:after="60" w:line="240" w:lineRule="auto"/>
            </w:pPr>
            <w:r>
              <w:rPr>
                <w:rFonts w:ascii="Calibri" w:hAnsi="Calibri"/>
                <w:sz w:val="17"/>
              </w:rPr>
              <w:t>Roles, consent, idempotency, incident/routing, summary and projections executed.</w:t>
            </w:r>
          </w:p>
        </w:tc>
      </w:tr>
      <w:tr>
        <w:trPr>
          <w:cantSplit/>
        </w:trPr>
        <w:tc>
          <w:tcPr>
            <w:tcW w:type="dxa" w:w="1800"/>
            <w:tcMar>
              <w:top w:w="80" w:type="dxa"/>
              <w:start w:w="120" w:type="dxa"/>
              <w:bottom w:w="80" w:type="dxa"/>
              <w:end w:w="120" w:type="dxa"/>
            </w:tcMar>
            <w:vAlign w:val="center"/>
          </w:tcPr>
          <w:p>
            <w:pPr>
              <w:spacing w:before="0" w:after="60" w:line="240" w:lineRule="auto"/>
            </w:pPr>
            <w:r>
              <w:rPr>
                <w:rFonts w:ascii="Calibri" w:hAnsi="Calibri"/>
                <w:sz w:val="17"/>
              </w:rPr>
              <w:t>App domain</w:t>
            </w:r>
          </w:p>
        </w:tc>
        <w:tc>
          <w:tcPr>
            <w:tcW w:type="dxa" w:w="2700"/>
            <w:tcMar>
              <w:top w:w="80" w:type="dxa"/>
              <w:start w:w="120" w:type="dxa"/>
              <w:bottom w:w="80" w:type="dxa"/>
              <w:end w:w="120" w:type="dxa"/>
            </w:tcMar>
            <w:vAlign w:val="center"/>
          </w:tcPr>
          <w:p>
            <w:pPr>
              <w:spacing w:before="0" w:after="60" w:line="240" w:lineRule="auto"/>
            </w:pPr>
            <w:r>
              <w:rPr>
                <w:rFonts w:ascii="Calibri" w:hAnsi="Calibri"/>
                <w:sz w:val="17"/>
              </w:rPr>
              <w:t>6 Node.js tests passed</w:t>
            </w:r>
          </w:p>
        </w:tc>
        <w:tc>
          <w:tcPr>
            <w:tcW w:type="dxa" w:w="4860"/>
            <w:tcMar>
              <w:top w:w="80" w:type="dxa"/>
              <w:start w:w="120" w:type="dxa"/>
              <w:bottom w:w="80" w:type="dxa"/>
              <w:end w:w="120" w:type="dxa"/>
            </w:tcMar>
            <w:vAlign w:val="center"/>
          </w:tcPr>
          <w:p>
            <w:pPr>
              <w:spacing w:before="0" w:after="60" w:line="240" w:lineRule="auto"/>
            </w:pPr>
            <w:r>
              <w:rPr>
                <w:rFonts w:ascii="Calibri" w:hAnsi="Calibri"/>
                <w:sz w:val="17"/>
              </w:rPr>
              <w:t>Validation, evidence/status display, actions, cache and push state executed.</w:t>
            </w:r>
          </w:p>
        </w:tc>
      </w:tr>
    </w:tbl>
    <w:p>
      <w:pPr>
        <w:pStyle w:val="Heading2"/>
      </w:pPr>
      <w:r>
        <w:rPr>
          <w:color w:val="000000"/>
        </w:rPr>
        <w:t>Development flow from this baseline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2900"/>
        <w:gridCol w:w="57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Order</w:t>
            </w:r>
          </w:p>
        </w:tc>
        <w:tc>
          <w:tcPr>
            <w:tcW w:type="dxa" w:w="29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Work package</w:t>
            </w:r>
          </w:p>
        </w:tc>
        <w:tc>
          <w:tcPr>
            <w:tcW w:type="dxa" w:w="57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Exit before moving 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1</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Run/understand host suite</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Another engineer runs make verify and traces one event through NodeRuntime, HubRuntime, backend and app view.</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2</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ESP-IDF skeleton and board profiles</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Pinned toolchain builds for exact DevKit V1/C3 variants; GPIO/power constraints documented.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3</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One real motion vertical slice</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PIR → C3 journal → ESP-NOW → hub flash → dashboard; power loss and duplicate injection pass.</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4</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Local routine + resident controls</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Trusted time, coverage, OK/Call/Privacy and offline behavior pass on bench.</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7"/>
              </w:rPr>
              <w:t>5</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7"/>
              </w:rPr>
              <w:t>Real caregiver path</w:t>
            </w:r>
          </w:p>
        </w:tc>
        <w:tc>
          <w:tcPr>
            <w:tcW w:type="dxa" w:w="5760"/>
            <w:tcMar>
              <w:top w:w="80" w:type="dxa"/>
              <w:start w:w="120" w:type="dxa"/>
              <w:bottom w:w="80" w:type="dxa"/>
              <w:end w:w="120" w:type="dxa"/>
            </w:tcMar>
            <w:vAlign w:val="center"/>
          </w:tcPr>
          <w:p>
            <w:pPr>
              <w:keepNext/>
              <w:spacing w:before="0" w:after="60" w:line="240" w:lineRule="auto"/>
            </w:pPr>
            <w:r>
              <w:rPr>
                <w:rFonts w:ascii="Calibri" w:hAnsi="Calibri"/>
                <w:sz w:val="17"/>
              </w:rPr>
              <w:t>OIDC, PostgreSQL, MQTT/TLS and Web Push pass primary/backup and failure-visibility tests.</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7"/>
              </w:rPr>
              <w:t>6</w:t>
            </w:r>
          </w:p>
        </w:tc>
        <w:tc>
          <w:tcPr>
            <w:tcW w:type="dxa" w:w="2900"/>
            <w:tcMar>
              <w:top w:w="80" w:type="dxa"/>
              <w:start w:w="120" w:type="dxa"/>
              <w:bottom w:w="80" w:type="dxa"/>
              <w:end w:w="120" w:type="dxa"/>
            </w:tcMar>
            <w:vAlign w:val="center"/>
          </w:tcPr>
          <w:p>
            <w:pPr>
              <w:spacing w:before="0" w:after="60" w:line="240" w:lineRule="auto"/>
            </w:pPr>
            <w:r>
              <w:rPr>
                <w:rFonts w:ascii="Calibri" w:hAnsi="Calibri"/>
                <w:sz w:val="17"/>
              </w:rPr>
              <w:t>Four-node installed-home gate</w:t>
            </w:r>
          </w:p>
        </w:tc>
        <w:tc>
          <w:tcPr>
            <w:tcW w:type="dxa" w:w="5760"/>
            <w:tcMar>
              <w:top w:w="80" w:type="dxa"/>
              <w:start w:w="120" w:type="dxa"/>
              <w:bottom w:w="80" w:type="dxa"/>
              <w:end w:w="120" w:type="dxa"/>
            </w:tcMar>
            <w:vAlign w:val="center"/>
          </w:tcPr>
          <w:p>
            <w:pPr>
              <w:spacing w:before="0" w:after="60" w:line="240" w:lineRule="auto"/>
            </w:pPr>
            <w:r>
              <w:rPr>
                <w:rFonts w:ascii="Calibri" w:hAnsi="Calibri"/>
                <w:sz w:val="17"/>
              </w:rPr>
              <w:t>Every source, power transition, 72-hour WAN outage, recovery and TEST drill has recorded evidence.</w:t>
            </w:r>
          </w:p>
        </w:tc>
      </w:tr>
    </w:tbl>
    <w:p>
      <w:pPr>
        <w:pStyle w:val="Heading2"/>
      </w:pPr>
      <w:r>
        <w:rPr>
          <w:color w:val="000000"/>
        </w:rPr>
        <w:t>Implementation package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Root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ghar_sajag_reference/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Build</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 verify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Status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IMPLEMENTATION_STATUS.md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Evidence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VERIFICATION_REPORT.md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FreeRTOS binding</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firmware/hub/runtime/FREERTOS_BINDING.md</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Detailed code design</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Ghar_Sajag_Hardware_Independent_Low_Level_Design_v1.0.docx</w:t>
            </w:r>
          </w:p>
        </w:tc>
      </w:tr>
    </w:tbl>
    <w:p>
      <w:r>
        <w:br w:type="page"/>
      </w:r>
    </w:p>
    <w:p>
      <w:pPr>
        <w:pStyle w:val="Heading1"/>
      </w:pPr>
      <w:r>
        <w:rPr>
          <w:color w:val="000000"/>
        </w:rPr>
        <w:t>Diagnostic logging requirements and implementation status</w:t>
      </w:r>
    </w:p>
    <w:p>
      <w:r>
        <w:t>Version 1.3 addendum · 8 September 2026</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ID</w:t>
            </w:r>
          </w:p>
        </w:tc>
        <w:tc>
          <w:tcPr>
            <w:tcW w:type="dxa" w:w="3120"/>
            <w:shd w:fill="D9EAF7"/>
          </w:tcPr>
          <w:p>
            <w:r>
              <w:rPr>
                <w:b/>
              </w:rPr>
              <w:t>P0 requirement</w:t>
            </w:r>
          </w:p>
        </w:tc>
        <w:tc>
          <w:tcPr>
            <w:tcW w:type="dxa" w:w="3120"/>
            <w:shd w:fill="D9EAF7"/>
          </w:tcPr>
          <w:p>
            <w:r>
              <w:rPr>
                <w:b/>
              </w:rPr>
              <w:t>Status / evidence</w:t>
            </w:r>
          </w:p>
        </w:tc>
      </w:tr>
      <w:tr>
        <w:tc>
          <w:tcPr>
            <w:tcW w:type="dxa" w:w="3120"/>
          </w:tcPr>
          <w:p>
            <w:r>
              <w:t>L01</w:t>
            </w:r>
          </w:p>
        </w:tc>
        <w:tc>
          <w:tcPr>
            <w:tcW w:type="dxa" w:w="3120"/>
          </w:tcPr>
          <w:p>
            <w:r>
              <w:t>ERROR logging shall remain available in commercial builds.</w:t>
            </w:r>
          </w:p>
        </w:tc>
        <w:tc>
          <w:tcPr>
            <w:tcW w:type="dxa" w:w="3120"/>
          </w:tcPr>
          <w:p>
            <w:r>
              <w:t>Implemented; production test confirms ERROR output.</w:t>
            </w:r>
          </w:p>
        </w:tc>
      </w:tr>
      <w:tr>
        <w:tc>
          <w:tcPr>
            <w:tcW w:type="dxa" w:w="3120"/>
          </w:tcPr>
          <w:p>
            <w:r>
              <w:t>L02</w:t>
            </w:r>
          </w:p>
        </w:tc>
        <w:tc>
          <w:tcPr>
            <w:tcW w:type="dxa" w:w="3120"/>
          </w:tcPr>
          <w:p>
            <w:r>
              <w:t>TRACE logging shall be disabled by default and build/deployment configurable.</w:t>
            </w:r>
          </w:p>
        </w:tc>
        <w:tc>
          <w:tcPr>
            <w:tcW w:type="dxa" w:w="3120"/>
          </w:tcPr>
          <w:p>
            <w:r>
              <w:t>Implemented; C++ compile gate, backend setting and app build flag.</w:t>
            </w:r>
          </w:p>
        </w:tc>
      </w:tr>
      <w:tr>
        <w:tc>
          <w:tcPr>
            <w:tcW w:type="dxa" w:w="3120"/>
          </w:tcPr>
          <w:p>
            <w:r>
              <w:t>L03</w:t>
            </w:r>
          </w:p>
        </w:tc>
        <w:tc>
          <w:tcPr>
            <w:tcW w:type="dxa" w:w="3120"/>
          </w:tcPr>
          <w:p>
            <w:r>
              <w:t>ERROR shall be reserved for critical flow breaks, not expected household states.</w:t>
            </w:r>
          </w:p>
        </w:tc>
        <w:tc>
          <w:tcPr>
            <w:tcW w:type="dxa" w:w="3120"/>
          </w:tcPr>
          <w:p>
            <w:r>
              <w:t>Implemented in selected capacity, authorization, credential and service failure paths.</w:t>
            </w:r>
          </w:p>
        </w:tc>
      </w:tr>
      <w:tr>
        <w:tc>
          <w:tcPr>
            <w:tcW w:type="dxa" w:w="3120"/>
          </w:tcPr>
          <w:p>
            <w:r>
              <w:t>L04</w:t>
            </w:r>
          </w:p>
        </w:tc>
        <w:tc>
          <w:tcPr>
            <w:tcW w:type="dxa" w:w="3120"/>
          </w:tcPr>
          <w:p>
            <w:r>
              <w:t>Records shall identify level, category, module, event and bounded detail.</w:t>
            </w:r>
          </w:p>
        </w:tc>
        <w:tc>
          <w:tcPr>
            <w:tcW w:type="dxa" w:w="3120"/>
          </w:tcPr>
          <w:p>
            <w:r>
              <w:t>Implemented with one-line text contract.</w:t>
            </w:r>
          </w:p>
        </w:tc>
      </w:tr>
      <w:tr>
        <w:tc>
          <w:tcPr>
            <w:tcW w:type="dxa" w:w="3120"/>
          </w:tcPr>
          <w:p>
            <w:r>
              <w:t>L05</w:t>
            </w:r>
          </w:p>
        </w:tc>
        <w:tc>
          <w:tcPr>
            <w:tcW w:type="dxa" w:w="3120"/>
          </w:tcPr>
          <w:p>
            <w:r>
              <w:t>Diagnostic storage shall be bounded.</w:t>
            </w:r>
          </w:p>
        </w:tc>
        <w:tc>
          <w:tcPr>
            <w:tcW w:type="dxa" w:w="3120"/>
          </w:tcPr>
          <w:p>
            <w:r>
              <w:t>Host/backend rotation and browser ring implemented; ESP32 sink pending.</w:t>
            </w:r>
          </w:p>
        </w:tc>
      </w:tr>
      <w:tr>
        <w:tc>
          <w:tcPr>
            <w:tcW w:type="dxa" w:w="3120"/>
          </w:tcPr>
          <w:p>
            <w:r>
              <w:t>L06</w:t>
            </w:r>
          </w:p>
        </w:tc>
        <w:tc>
          <w:tcPr>
            <w:tcW w:type="dxa" w:w="3120"/>
          </w:tcPr>
          <w:p>
            <w:r>
              <w:t>A logging failure shall not stop safety-related product logic.</w:t>
            </w:r>
          </w:p>
        </w:tc>
        <w:tc>
          <w:tcPr>
            <w:tcW w:type="dxa" w:w="3120"/>
          </w:tcPr>
          <w:p>
            <w:r>
              <w:t>Implemented by noexcept/best-effort C++ sink design; hardware fault-injection pending.</w:t>
            </w:r>
          </w:p>
        </w:tc>
      </w:tr>
      <w:tr>
        <w:tc>
          <w:tcPr>
            <w:tcW w:type="dxa" w:w="3120"/>
          </w:tcPr>
          <w:p>
            <w:r>
              <w:t>L07</w:t>
            </w:r>
          </w:p>
        </w:tc>
        <w:tc>
          <w:tcPr>
            <w:tcW w:type="dxa" w:w="3120"/>
          </w:tcPr>
          <w:p>
            <w:r>
              <w:t>Logs shall exclude secrets and resident activity payloads.</w:t>
            </w:r>
          </w:p>
        </w:tc>
        <w:tc>
          <w:tcPr>
            <w:tcW w:type="dxa" w:w="3120"/>
          </w:tcPr>
          <w:p>
            <w:r>
              <w:t>Policy implemented; release review remains mandatory.</w:t>
            </w:r>
          </w:p>
        </w:tc>
      </w:tr>
      <w:tr>
        <w:tc>
          <w:tcPr>
            <w:tcW w:type="dxa" w:w="3120"/>
          </w:tcPr>
          <w:p>
            <w:r>
              <w:t>L08</w:t>
            </w:r>
          </w:p>
        </w:tc>
        <w:tc>
          <w:tcPr>
            <w:tcW w:type="dxa" w:w="3120"/>
          </w:tcPr>
          <w:p>
            <w:r>
              <w:t>Development traces shall show module call flow.</w:t>
            </w:r>
          </w:p>
        </w:tc>
        <w:tc>
          <w:tcPr>
            <w:tcW w:type="dxa" w:w="3120"/>
          </w:tcPr>
          <w:p>
            <w:r>
              <w:t>Implemented across N, H, S, B and A module groups.</w:t>
            </w:r>
          </w:p>
        </w:tc>
      </w:tr>
      <w:tr>
        <w:tc>
          <w:tcPr>
            <w:tcW w:type="dxa" w:w="3120"/>
          </w:tcPr>
          <w:p>
            <w:r>
              <w:t>L09</w:t>
            </w:r>
          </w:p>
        </w:tc>
        <w:tc>
          <w:tcPr>
            <w:tcW w:type="dxa" w:w="3120"/>
          </w:tcPr>
          <w:p>
            <w:r>
              <w:t>Memory faults shall be tested with dedicated runtime tooling.</w:t>
            </w:r>
          </w:p>
        </w:tc>
        <w:tc>
          <w:tcPr>
            <w:tcW w:type="dxa" w:w="3120"/>
          </w:tcPr>
          <w:p>
            <w:r>
              <w:t>Host ASan/UBSan passed; ESP-IDF coredump/panic binding pending.</w:t>
            </w:r>
          </w:p>
        </w:tc>
      </w:tr>
      <w:tr>
        <w:tc>
          <w:tcPr>
            <w:tcW w:type="dxa" w:w="3120"/>
          </w:tcPr>
          <w:p>
            <w:r>
              <w:t>L10</w:t>
            </w:r>
          </w:p>
        </w:tc>
        <w:tc>
          <w:tcPr>
            <w:tcW w:type="dxa" w:w="3120"/>
          </w:tcPr>
          <w:p>
            <w:r>
              <w:t>Operators shall be able to export/analyse text diagnostics.</w:t>
            </w:r>
          </w:p>
        </w:tc>
        <w:tc>
          <w:tcPr>
            <w:tcW w:type="dxa" w:w="3120"/>
          </w:tcPr>
          <w:p>
            <w:r>
              <w:t>Analyzer and browser text export implemented.</w:t>
            </w:r>
          </w:p>
        </w:tc>
      </w:tr>
    </w:tbl>
    <w:p>
      <w:pPr>
        <w:pStyle w:val="Heading2"/>
      </w:pPr>
      <w:r>
        <w:rPr>
          <w:color w:val="000000"/>
        </w:rPr>
        <w:t>Requirement-to-module mapping</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Requirements</w:t>
            </w:r>
          </w:p>
        </w:tc>
        <w:tc>
          <w:tcPr>
            <w:tcW w:type="dxa" w:w="3120"/>
            <w:shd w:fill="D9EAF7"/>
          </w:tcPr>
          <w:p>
            <w:r>
              <w:rPr>
                <w:b/>
              </w:rPr>
              <w:t>Modules</w:t>
            </w:r>
          </w:p>
        </w:tc>
        <w:tc>
          <w:tcPr>
            <w:tcW w:type="dxa" w:w="3120"/>
            <w:shd w:fill="D9EAF7"/>
          </w:tcPr>
          <w:p>
            <w:r>
              <w:rPr>
                <w:b/>
              </w:rPr>
              <w:t>Rationale</w:t>
            </w:r>
          </w:p>
        </w:tc>
      </w:tr>
      <w:tr>
        <w:tc>
          <w:tcPr>
            <w:tcW w:type="dxa" w:w="3120"/>
          </w:tcPr>
          <w:p>
            <w:r>
              <w:t>L01–L04</w:t>
            </w:r>
          </w:p>
        </w:tc>
        <w:tc>
          <w:tcPr>
            <w:tcW w:type="dxa" w:w="3120"/>
          </w:tcPr>
          <w:p>
            <w:r>
              <w:t>N00–N05, H00–H08, S01–S03, B01–B08, A01–A05</w:t>
            </w:r>
          </w:p>
        </w:tc>
        <w:tc>
          <w:tcPr>
            <w:tcW w:type="dxa" w:w="3120"/>
          </w:tcPr>
          <w:p>
            <w:r>
              <w:t>Uniform severity, category and stable event identity.</w:t>
            </w:r>
          </w:p>
        </w:tc>
      </w:tr>
      <w:tr>
        <w:tc>
          <w:tcPr>
            <w:tcW w:type="dxa" w:w="3120"/>
          </w:tcPr>
          <w:p>
            <w:r>
              <w:t>L05–L06</w:t>
            </w:r>
          </w:p>
        </w:tc>
        <w:tc>
          <w:tcPr>
            <w:tcW w:type="dxa" w:w="3120"/>
          </w:tcPr>
          <w:p>
            <w:r>
              <w:t>T01 file sink, backend logging_config, A05 app logger</w:t>
            </w:r>
          </w:p>
        </w:tc>
        <w:tc>
          <w:tcPr>
            <w:tcW w:type="dxa" w:w="3120"/>
          </w:tcPr>
          <w:p>
            <w:r>
              <w:t>Bounded storage and best-effort failure isolation.</w:t>
            </w:r>
          </w:p>
        </w:tc>
      </w:tr>
      <w:tr>
        <w:tc>
          <w:tcPr>
            <w:tcW w:type="dxa" w:w="3120"/>
          </w:tcPr>
          <w:p>
            <w:r>
              <w:t>L07</w:t>
            </w:r>
          </w:p>
        </w:tc>
        <w:tc>
          <w:tcPr>
            <w:tcW w:type="dxa" w:w="3120"/>
          </w:tcPr>
          <w:p>
            <w:r>
              <w:t>All modules and release review</w:t>
            </w:r>
          </w:p>
        </w:tc>
        <w:tc>
          <w:tcPr>
            <w:tcW w:type="dxa" w:w="3120"/>
          </w:tcPr>
          <w:p>
            <w:r>
              <w:t>Privacy applies at every call site, not only at the sink.</w:t>
            </w:r>
          </w:p>
        </w:tc>
      </w:tr>
      <w:tr>
        <w:tc>
          <w:tcPr>
            <w:tcW w:type="dxa" w:w="3120"/>
          </w:tcPr>
          <w:p>
            <w:r>
              <w:t>L08</w:t>
            </w:r>
          </w:p>
        </w:tc>
        <w:tc>
          <w:tcPr>
            <w:tcW w:type="dxa" w:w="3120"/>
          </w:tcPr>
          <w:p>
            <w:r>
              <w:t>All implemented functional modules</w:t>
            </w:r>
          </w:p>
        </w:tc>
        <w:tc>
          <w:tcPr>
            <w:tcW w:type="dxa" w:w="3120"/>
          </w:tcPr>
          <w:p>
            <w:r>
              <w:t>Development-only entry/exit or transition visibility.</w:t>
            </w:r>
          </w:p>
        </w:tc>
      </w:tr>
      <w:tr>
        <w:tc>
          <w:tcPr>
            <w:tcW w:type="dxa" w:w="3120"/>
          </w:tcPr>
          <w:p>
            <w:r>
              <w:t>L09</w:t>
            </w:r>
          </w:p>
        </w:tc>
        <w:tc>
          <w:tcPr>
            <w:tcW w:type="dxa" w:w="3120"/>
          </w:tcPr>
          <w:p>
            <w:r>
              <w:t>Build/test pipeline and future ESP-IDF platform layer</w:t>
            </w:r>
          </w:p>
        </w:tc>
        <w:tc>
          <w:tcPr>
            <w:tcW w:type="dxa" w:w="3120"/>
          </w:tcPr>
          <w:p>
            <w:r>
              <w:t>Memory corruption detection is separate from ordinary logs.</w:t>
            </w:r>
          </w:p>
        </w:tc>
      </w:tr>
      <w:tr>
        <w:tc>
          <w:tcPr>
            <w:tcW w:type="dxa" w:w="3120"/>
          </w:tcPr>
          <w:p>
            <w:r>
              <w:t>L10</w:t>
            </w:r>
          </w:p>
        </w:tc>
        <w:tc>
          <w:tcPr>
            <w:tcW w:type="dxa" w:w="3120"/>
          </w:tcPr>
          <w:p>
            <w:r>
              <w:t>tools/logs and A05</w:t>
            </w:r>
          </w:p>
        </w:tc>
        <w:tc>
          <w:tcPr>
            <w:tcW w:type="dxa" w:w="3120"/>
          </w:tcPr>
          <w:p>
            <w:r>
              <w:t>Text validation, summary and support export.</w:t>
            </w:r>
          </w:p>
        </w:tc>
      </w:tr>
    </w:tbl>
    <w:p>
      <w:pPr>
        <w:pStyle w:val="Heading2"/>
      </w:pPr>
      <w:r>
        <w:rPr>
          <w:color w:val="000000"/>
        </w:rPr>
        <w:t>Acceptance criteria</w:t>
      </w:r>
    </w:p>
    <w:p>
      <w:pPr>
        <w:pStyle w:val="ListBullet"/>
      </w:pPr>
      <w:r>
        <w:t>Production build emits no TRACE records and preserves a forced ERROR record.</w:t>
      </w:r>
    </w:p>
    <w:p>
      <w:pPr>
        <w:pStyle w:val="ListBullet"/>
      </w:pPr>
      <w:r>
        <w:t>Development build provides trace evidence for every implemented module group.</w:t>
      </w:r>
    </w:p>
    <w:p>
      <w:pPr>
        <w:pStyle w:val="ListBullet"/>
      </w:pPr>
      <w:r>
        <w:t>Malformed or multiline application detail cannot create a second forged log line.</w:t>
      </w:r>
    </w:p>
    <w:p>
      <w:pPr>
        <w:pStyle w:val="ListBullet"/>
      </w:pPr>
      <w:r>
        <w:t>Log storage remains within configured bounds during a soak test.</w:t>
      </w:r>
    </w:p>
    <w:p>
      <w:pPr>
        <w:pStyle w:val="ListBullet"/>
      </w:pPr>
      <w:r>
        <w:t>Logger/sink failure does not alter event durability, acknowledgement or escalation decisions.</w:t>
      </w:r>
    </w:p>
    <w:p>
      <w:pPr>
        <w:pStyle w:val="ListBullet"/>
      </w:pPr>
      <w:r>
        <w:t>No household event payload, resident name, token, Wi-Fi secret or credential value is present in release logs.</w:t>
      </w:r>
    </w:p>
    <w:p>
      <w:pPr>
        <w:pStyle w:val="Heading2"/>
      </w:pPr>
      <w:r>
        <w:rPr>
          <w:color w:val="000000"/>
        </w:rPr>
        <w:t>P0 status impact</w:t>
      </w:r>
    </w:p>
    <w:p>
      <w:r>
        <w:t>The hardware-independent diagnostic layer is implemented and host-verified. This improves diagnosability but does not change the product claim: the repository is not yet production firmware. P0 cannot exit until physical ESP32-C3/ESP32 hub tests demonstrate bounded RAM/flash use, safe concurrent writes, brown-out recovery, storage wear behaviour, watchdog/panic capture and support-log retrieval.</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rPr>
      <w:t>Ghar Sajag | Documentation 2.0 | Reference code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lvlJc w:val="left"/>
      <w:pPr>
        <w:ind w:left="540" w:hanging="271"/>
        <w:tabs>
          <w:tab w:val="num" w:pos="540"/>
        </w:tabs>
        <w:spacing w:before="0" w:after="80" w:line="300" w:lineRule="auto"/>
      </w:pPr>
    </w:lvl>
  </w:abstractNum>
  <w:num w:numId="50">
    <w:abstractNumId w:val="50"/>
  </w:num>
  <w:abstractNum w:abstractNumId="51">
    <w:lvl w:ilvl="0">
      <w:start w:val="1"/>
      <w:numFmt w:val="decimal"/>
      <w:lvlText w:val="%1."/>
      <w:lvlJc w:val="left"/>
      <w:pPr>
        <w:ind w:left="540" w:hanging="271"/>
        <w:tabs>
          <w:tab w:val="num" w:pos="540"/>
        </w:tabs>
        <w:spacing w:before="0" w:after="80" w:line="300" w:lineRule="auto"/>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264" w:lineRule="auto"/>
    </w:pPr>
    <w:rPr>
      <w:rFonts w:ascii="Calibri" w:hAnsi="Calibri"/>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5265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5265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Calibri" w:hAnsi="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Calibri" w:hAnsi="Calibri"/>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Calibri" w:hAnsi="Calibri"/>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52" w:lineRule="auto" w:before="0"/>
      <w:contextualSpacing/>
    </w:pPr>
    <w:rPr>
      <w:rFonts w:ascii="Calibri" w:hAnsi="Calibri"/>
      <w:b/>
      <w:i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Calibri" w:hAnsi="Calibri"/>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b w:val="0"/>
      <w:i w:val="0"/>
      <w:color w:val="1726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contextualSpacing/>
    </w:pPr>
    <w:rPr>
      <w:rFonts w:ascii="Calibri" w:hAnsi="Calibri"/>
      <w:b w:val="0"/>
      <w:i w:val="0"/>
      <w:color w:val="1726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ody">
    <w:name w:val="SpecBody"/>
    <w:pPr>
      <w:widowControl/>
      <w:spacing w:before="0" w:after="100" w:line="264" w:lineRule="auto"/>
    </w:pPr>
    <w:rPr>
      <w:rFonts w:ascii="Calibri" w:hAnsi="Calibri"/>
      <w:b w:val="0"/>
      <w:i w:val="0"/>
      <w:color w:val="172635"/>
      <w:sz w:val="21"/>
    </w:rPr>
  </w:style>
  <w:style w:type="paragraph" w:customStyle="1" w:styleId="TableText">
    <w:name w:val="TableText"/>
    <w:pPr>
      <w:widowControl/>
      <w:spacing w:before="0" w:after="40" w:line="240" w:lineRule="auto"/>
    </w:pPr>
    <w:rPr>
      <w:rFonts w:ascii="Calibri" w:hAnsi="Calibri"/>
      <w:b w:val="0"/>
      <w:i w:val="0"/>
      <w:color w:val="172635"/>
      <w:sz w:val="18"/>
    </w:rPr>
  </w:style>
  <w:style w:type="paragraph" w:customStyle="1" w:styleId="Micro">
    <w:name w:val="Micro"/>
    <w:pPr>
      <w:widowControl/>
      <w:spacing w:before="0" w:after="80" w:line="264" w:lineRule="auto"/>
    </w:pPr>
    <w:rPr>
      <w:rFonts w:ascii="Calibri" w:hAnsi="Calibri"/>
      <w:b w:val="0"/>
      <w:i w:val="0"/>
      <w:color w:val="526578"/>
      <w:sz w:val="18"/>
    </w:rPr>
  </w:style>
  <w:style w:type="paragraph" w:customStyle="1" w:styleId="Code">
    <w:name w:val="Code"/>
    <w:pPr>
      <w:widowControl/>
      <w:spacing w:before="0" w:after="100" w:line="252" w:lineRule="auto"/>
    </w:pPr>
    <w:rPr>
      <w:rFonts w:ascii="DejaVu Sans Mono" w:hAnsi="DejaVu Sans Mono"/>
      <w:b w:val="0"/>
      <w:i w:val="0"/>
      <w:color w:val="26394A"/>
      <w:sz w:val="17"/>
    </w:rPr>
  </w:style>
  <w:style w:type="paragraph" w:customStyle="1" w:styleId="TableSpacer">
    <w:name w:val="TableSpacer"/>
    <w:pPr>
      <w:widowControl/>
      <w:spacing w:before="0" w:after="60" w:line="240" w:lineRule="auto"/>
    </w:pPr>
    <w:rPr>
      <w:rFonts w:ascii="Calibri" w:hAnsi="Calibri"/>
      <w:b w:val="0"/>
      <w:i w:val="0"/>
      <w:color w:val="172635"/>
      <w:sz w:val="2"/>
    </w:rPr>
  </w:style>
  <w:style w:type="paragraph" w:customStyle="1" w:styleId="Contents">
    <w:name w:val="Contents"/>
    <w:pPr>
      <w:widowControl/>
      <w:spacing w:before="0" w:after="120" w:line="276" w:lineRule="auto"/>
    </w:pPr>
    <w:rPr>
      <w:rFonts w:ascii="Calibri" w:hAnsi="Calibri"/>
      <w:b w:val="0"/>
      <w:i w:val="0"/>
      <w:color w:val="172635"/>
      <w:sz w:val="21"/>
    </w:rPr>
  </w:style>
  <w:style w:type="paragraph" w:customStyle="1" w:styleId="TableCitation">
    <w:name w:val="TableCitation"/>
    <w:pPr>
      <w:widowControl/>
      <w:spacing w:before="80" w:after="80" w:line="264" w:lineRule="auto"/>
    </w:pPr>
    <w:rPr>
      <w:rFonts w:ascii="Calibri" w:hAnsi="Calibri"/>
      <w:b w:val="0"/>
      <w:i w:val="0"/>
      <w:color w:val="5265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espressif.com/projects/esp-idf/en/stable/esp32c3/api-reference/network/esp_now.html" TargetMode="External"/><Relationship Id="rId13" Type="http://schemas.openxmlformats.org/officeDocument/2006/relationships/hyperlink" Target="https://docs.espressif.com/projects/esp-idf/en/stable/esp32/api-reference/system/ota.html" TargetMode="External"/><Relationship Id="rId14" Type="http://schemas.openxmlformats.org/officeDocument/2006/relationships/hyperlink" Target="https://docs.espressif.com/projects/esp-idf/en/stable/esp32/api-reference/storage/nvs_flash.html" TargetMode="External"/><Relationship Id="rId15" Type="http://schemas.openxmlformats.org/officeDocument/2006/relationships/hyperlink" Target="https://webkit.org/blog/13878/web-push-for-web-apps-on-ios-and-ipados/" TargetMode="External"/><Relationship Id="rId16" Type="http://schemas.openxmlformats.org/officeDocument/2006/relationships/hyperlink" Target="https://docs.oasis-open.org/mqtt/mqtt/v3.1.1/os/mqtt-v3.1.1-os.html" TargetMode="External"/><Relationship Id="rId17" Type="http://schemas.openxmlformats.org/officeDocument/2006/relationships/hyperlink" Target="https://docs.espressif.com/projects/esp-idf/en/stable/esp32/security/security.html" TargetMode="External"/><Relationship Id="rId18" Type="http://schemas.openxmlformats.org/officeDocument/2006/relationships/hyperlink" Target="https://www.postgresql.org/docs/current/ddl-rowsecurity.html" TargetMode="External"/><Relationship Id="rId19" Type="http://schemas.openxmlformats.org/officeDocument/2006/relationships/hyperlink" Target="https://www.ti.com/product/TPS63020" TargetMode="External"/><Relationship Id="rId20" Type="http://schemas.openxmlformats.org/officeDocument/2006/relationships/hyperlink" Target="https://www.ti.com/product/BQ24074" TargetMode="External"/><Relationship Id="rId21" Type="http://schemas.openxmlformats.org/officeDocument/2006/relationships/hyperlink" Target="https://www.home-assistant.io/blog/2026/09/02/release-20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P0 Requirements and Software Design v1.2</dc:title>
  <dc:subject>Requirements baseline plus hardware-independent implementation handoff</dc:subject>
  <dc:creator>Prepared for Rahul Rathor</dc:creator>
  <cp:keywords/>
  <dc:description>Version 1.1, revised 7 September 2026</dc:description>
  <cp:lastModifiedBy/>
  <cp:revision>1</cp:revision>
  <dcterms:created xsi:type="dcterms:W3CDTF">2013-12-23T23:15:00Z</dcterms:created>
  <dcterms:modified xsi:type="dcterms:W3CDTF">2013-12-23T23:15:00Z</dcterms:modified>
  <cp:category/>
  <cp:version>1.0</cp:version>
</cp:coreProperties>
</file>