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000000"/>
          <w:sz w:val="46"/>
        </w:rPr>
        <w:t>SOFTWARE REQUIREMENTS DOCUMENT</w:t>
      </w:r>
    </w:p>
    <w:p>
      <w:pPr>
        <w:spacing w:after="320"/>
      </w:pPr>
      <w:r>
        <w:rPr>
          <w:color w:val="464646"/>
          <w:sz w:val="30"/>
        </w:rPr>
        <w:t>Ghar Sajag — Family Check-in &amp; Home Risk Awareness</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Document item</w:t>
            </w:r>
          </w:p>
        </w:tc>
        <w:tc>
          <w:tcPr>
            <w:tcW w:type="dxa" w:w="7128"/>
            <w:vAlign w:val="top"/>
            <w:shd w:fill="E8EEF5"/>
            <w:tcMar>
              <w:top w:w="80" w:type="dxa"/>
              <w:bottom w:w="80" w:type="dxa"/>
              <w:start w:w="120" w:type="dxa"/>
              <w:end w:w="120" w:type="dxa"/>
            </w:tcMar>
          </w:tcPr>
          <w:p>
            <w:pPr>
              <w:spacing w:after="40"/>
            </w:pPr>
            <w:r>
              <w:rPr>
                <w:rFonts w:ascii="Calibri" w:hAnsi="Calibri"/>
                <w:b/>
                <w:sz w:val="19"/>
              </w:rPr>
              <w:t>Value</w:t>
            </w:r>
          </w:p>
        </w:tc>
      </w:tr>
      <w:tr>
        <w:tc>
          <w:tcPr>
            <w:tcW w:type="dxa" w:w="2232"/>
            <w:vAlign w:val="top"/>
            <w:tcMar>
              <w:top w:w="80" w:type="dxa"/>
              <w:bottom w:w="80" w:type="dxa"/>
              <w:start w:w="120" w:type="dxa"/>
              <w:end w:w="120" w:type="dxa"/>
            </w:tcMar>
          </w:tcPr>
          <w:p>
            <w:pPr>
              <w:spacing w:after="40"/>
            </w:pPr>
            <w:r>
              <w:rPr>
                <w:rFonts w:ascii="Calibri" w:hAnsi="Calibri"/>
                <w:b w:val="0"/>
                <w:sz w:val="19"/>
              </w:rPr>
              <w:t>Product</w:t>
            </w:r>
          </w:p>
        </w:tc>
        <w:tc>
          <w:tcPr>
            <w:tcW w:type="dxa" w:w="7128"/>
            <w:vAlign w:val="top"/>
            <w:tcMar>
              <w:top w:w="80" w:type="dxa"/>
              <w:bottom w:w="80" w:type="dxa"/>
              <w:start w:w="120" w:type="dxa"/>
              <w:end w:w="120" w:type="dxa"/>
            </w:tcMar>
          </w:tcPr>
          <w:p>
            <w:pPr>
              <w:spacing w:after="40"/>
            </w:pPr>
            <w:r>
              <w:rPr>
                <w:rFonts w:ascii="Calibri" w:hAnsi="Calibri"/>
                <w:b w:val="0"/>
                <w:sz w:val="19"/>
              </w:rPr>
              <w:t>Ghar Sajag</w:t>
            </w:r>
          </w:p>
        </w:tc>
      </w:tr>
      <w:tr>
        <w:tc>
          <w:tcPr>
            <w:tcW w:type="dxa" w:w="2232"/>
            <w:vAlign w:val="top"/>
            <w:tcMar>
              <w:top w:w="80" w:type="dxa"/>
              <w:bottom w:w="80" w:type="dxa"/>
              <w:start w:w="120" w:type="dxa"/>
              <w:end w:w="120" w:type="dxa"/>
            </w:tcMar>
          </w:tcPr>
          <w:p>
            <w:pPr>
              <w:spacing w:after="40"/>
            </w:pPr>
            <w:r>
              <w:rPr>
                <w:rFonts w:ascii="Calibri" w:hAnsi="Calibri"/>
                <w:b w:val="0"/>
                <w:sz w:val="19"/>
              </w:rPr>
              <w:t>Document type</w:t>
            </w:r>
          </w:p>
        </w:tc>
        <w:tc>
          <w:tcPr>
            <w:tcW w:type="dxa" w:w="7128"/>
            <w:vAlign w:val="top"/>
            <w:tcMar>
              <w:top w:w="80" w:type="dxa"/>
              <w:bottom w:w="80" w:type="dxa"/>
              <w:start w:w="120" w:type="dxa"/>
              <w:end w:w="120" w:type="dxa"/>
            </w:tcMar>
          </w:tcPr>
          <w:p>
            <w:pPr>
              <w:spacing w:after="40"/>
            </w:pPr>
            <w:r>
              <w:rPr>
                <w:rFonts w:ascii="Calibri" w:hAnsi="Calibri"/>
                <w:b w:val="0"/>
                <w:sz w:val="19"/>
              </w:rPr>
              <w:t>Software Requirements Document (SRD)</w:t>
            </w:r>
          </w:p>
        </w:tc>
      </w:tr>
      <w:tr>
        <w:tc>
          <w:tcPr>
            <w:tcW w:type="dxa" w:w="2232"/>
            <w:vAlign w:val="top"/>
            <w:tcMar>
              <w:top w:w="80" w:type="dxa"/>
              <w:bottom w:w="80" w:type="dxa"/>
              <w:start w:w="120" w:type="dxa"/>
              <w:end w:w="120" w:type="dxa"/>
            </w:tcMar>
          </w:tcPr>
          <w:p>
            <w:pPr>
              <w:spacing w:after="40"/>
            </w:pPr>
            <w:r>
              <w:rPr>
                <w:rFonts w:ascii="Calibri" w:hAnsi="Calibri"/>
                <w:b w:val="0"/>
                <w:sz w:val="19"/>
              </w:rPr>
              <w:t>Version / date</w:t>
            </w:r>
          </w:p>
        </w:tc>
        <w:tc>
          <w:tcPr>
            <w:tcW w:type="dxa" w:w="7128"/>
            <w:vAlign w:val="top"/>
            <w:tcMar>
              <w:top w:w="80" w:type="dxa"/>
              <w:bottom w:w="80" w:type="dxa"/>
              <w:start w:w="120" w:type="dxa"/>
              <w:end w:w="120" w:type="dxa"/>
            </w:tcMar>
          </w:tcPr>
          <w:p>
            <w:r>
              <w:t>2.0 / 9 September 2026; reference code 1.4.2</w:t>
            </w:r>
          </w:p>
        </w:tc>
      </w:tr>
      <w:tr>
        <w:tc>
          <w:tcPr>
            <w:tcW w:type="dxa" w:w="2232"/>
            <w:vAlign w:val="top"/>
            <w:tcMar>
              <w:top w:w="80" w:type="dxa"/>
              <w:bottom w:w="80" w:type="dxa"/>
              <w:start w:w="120" w:type="dxa"/>
              <w:end w:w="120" w:type="dxa"/>
            </w:tcMar>
          </w:tcPr>
          <w:p>
            <w:pPr>
              <w:spacing w:after="40"/>
            </w:pPr>
            <w:r>
              <w:rPr>
                <w:rFonts w:ascii="Calibri" w:hAnsi="Calibri"/>
                <w:b w:val="0"/>
                <w:sz w:val="19"/>
              </w:rPr>
              <w:t>Audience</w:t>
            </w:r>
          </w:p>
        </w:tc>
        <w:tc>
          <w:tcPr>
            <w:tcW w:type="dxa" w:w="7128"/>
            <w:vAlign w:val="top"/>
            <w:tcMar>
              <w:top w:w="80" w:type="dxa"/>
              <w:bottom w:w="80" w:type="dxa"/>
              <w:start w:w="120" w:type="dxa"/>
              <w:end w:w="120" w:type="dxa"/>
            </w:tcMar>
          </w:tcPr>
          <w:p>
            <w:pPr>
              <w:spacing w:after="40"/>
            </w:pPr>
            <w:r>
              <w:rPr>
                <w:rFonts w:ascii="Calibri" w:hAnsi="Calibri"/>
                <w:b w:val="0"/>
                <w:sz w:val="19"/>
              </w:rPr>
              <w:t>Product owner, firmware/backend/app engineers, QA, installation and support teams</w:t>
            </w:r>
          </w:p>
        </w:tc>
      </w:tr>
      <w:tr>
        <w:tc>
          <w:tcPr>
            <w:tcW w:type="dxa" w:w="2232"/>
            <w:vAlign w:val="top"/>
            <w:tcMar>
              <w:top w:w="80" w:type="dxa"/>
              <w:bottom w:w="80" w:type="dxa"/>
              <w:start w:w="120" w:type="dxa"/>
              <w:end w:w="120" w:type="dxa"/>
            </w:tcMar>
          </w:tcPr>
          <w:p>
            <w:pPr>
              <w:spacing w:after="40"/>
            </w:pPr>
            <w:r>
              <w:rPr>
                <w:rFonts w:ascii="Calibri" w:hAnsi="Calibri"/>
                <w:b w:val="0"/>
                <w:sz w:val="19"/>
              </w:rPr>
              <w:t>Status</w:t>
            </w:r>
          </w:p>
        </w:tc>
        <w:tc>
          <w:tcPr>
            <w:tcW w:type="dxa" w:w="7128"/>
            <w:vAlign w:val="top"/>
            <w:tcMar>
              <w:top w:w="80" w:type="dxa"/>
              <w:bottom w:w="80" w:type="dxa"/>
              <w:start w:w="120" w:type="dxa"/>
              <w:end w:w="120" w:type="dxa"/>
            </w:tcMar>
          </w:tcPr>
          <w:p>
            <w:pPr>
              <w:spacing w:after="40"/>
            </w:pPr>
            <w:r>
              <w:rPr>
                <w:rFonts w:ascii="Calibri" w:hAnsi="Calibri"/>
                <w:b w:val="0"/>
                <w:sz w:val="19"/>
              </w:rPr>
              <w:t>P0 baseline for prototype and pilot planning</w:t>
            </w:r>
          </w:p>
        </w:tc>
      </w:tr>
      <w:tr>
        <w:tc>
          <w:tcPr>
            <w:tcW w:type="dxa" w:w="2232"/>
            <w:vAlign w:val="top"/>
            <w:tcMar>
              <w:top w:w="80" w:type="dxa"/>
              <w:bottom w:w="80" w:type="dxa"/>
              <w:start w:w="120" w:type="dxa"/>
              <w:end w:w="120" w:type="dxa"/>
            </w:tcMar>
          </w:tcPr>
          <w:p>
            <w:pPr>
              <w:spacing w:after="40"/>
            </w:pPr>
            <w:r>
              <w:rPr>
                <w:rFonts w:ascii="Calibri" w:hAnsi="Calibri"/>
                <w:b w:val="0"/>
                <w:sz w:val="19"/>
              </w:rPr>
              <w:t>Normative language</w:t>
            </w:r>
          </w:p>
        </w:tc>
        <w:tc>
          <w:tcPr>
            <w:tcW w:type="dxa" w:w="7128"/>
            <w:vAlign w:val="top"/>
            <w:tcMar>
              <w:top w:w="80" w:type="dxa"/>
              <w:bottom w:w="80" w:type="dxa"/>
              <w:start w:w="120" w:type="dxa"/>
              <w:end w:w="120" w:type="dxa"/>
            </w:tcMar>
          </w:tcPr>
          <w:p>
            <w:pPr>
              <w:spacing w:after="40"/>
            </w:pPr>
            <w:r>
              <w:rPr>
                <w:rFonts w:ascii="Calibri" w:hAnsi="Calibri"/>
                <w:b w:val="0"/>
                <w:sz w:val="19"/>
              </w:rPr>
              <w:t>“Shall” is mandatory for P0 acceptance; “should” is a target; “future” is outside this release.</w:t>
            </w:r>
          </w:p>
        </w:tc>
      </w:tr>
    </w:tbl>
    <w:p>
      <w:pPr>
        <w:spacing w:after="40"/>
      </w:pPr>
    </w:p>
    <w:p>
      <w:pPr>
        <w:spacing w:after="160"/>
      </w:pPr>
      <w:r>
        <w:t>Purpose. This SRD defines the observable software behaviour and quality gates for the first Ghar Sajag product: a camera-free, consent-based household check-in system for one or two older residents, using an ESP32 hub, ESP32-C3 sensor nodes, a backend and a caregiver web/PWA interface.</w:t>
      </w:r>
    </w:p>
    <w:p>
      <w:pPr>
        <w:pStyle w:val="Heading1"/>
      </w:pPr>
      <w:r>
        <w:rPr>
          <w:color w:val="000000"/>
        </w:rPr>
        <w:t>Edition 2 reading guide</w:t>
      </w:r>
    </w:p>
    <w:p>
      <w:r>
        <w:t>This edition is written for an engineer joining the project now or returning after a year. It expands the uploaded baseline with reasons, concrete household examples, execution order, failure cases and implementation boundaries. The original detailed chapters, tables and figures are retained. Their target designs are interpreted using the current status notes in this edition.</w:t>
      </w:r>
    </w:p>
    <w:p>
      <w:r>
        <w:t>The immediate product is Ghar Sajag Parivar Saathi with Base P0. P1 is a future development stage or optional add-on decision, not a promised third product. Sarthi AI is a future interaction offering using the shared monitoring core. Base monitoring does not depend on a model, microphone or cloud inference.</w:t>
      </w:r>
    </w:p>
    <w:p>
      <w:r>
        <w:t>Documentation edition 2.0 accompanies reference source 1.4.2. Source 1.4.2 adds requirement comments and version metadata to the 1.4.1 code; it does not implement new monitoring or AI algorithms. The 1.4 AI session controller is retained and explained in the AI design volume.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Term</w:t>
            </w:r>
          </w:p>
        </w:tc>
        <w:tc>
          <w:tcPr>
            <w:tcW w:type="dxa" w:w="7776"/>
            <w:tcMar>
              <w:top w:w="100" w:type="dxa"/>
              <w:left w:w="100" w:type="dxa"/>
              <w:bottom w:w="100" w:type="dxa"/>
              <w:right w:w="100" w:type="dxa"/>
            </w:tcMar>
            <w:shd w:fill="E7EDF4"/>
          </w:tcPr>
          <w:p>
            <w:pPr>
              <w:spacing w:after="80" w:before="60"/>
            </w:pPr>
            <w:r>
              <w:rPr>
                <w:b/>
                <w:sz w:val="18"/>
              </w:rPr>
              <w:t>How to interpret it</w:t>
            </w:r>
          </w:p>
        </w:tc>
      </w:tr>
      <w:tr>
        <w:tc>
          <w:tcPr>
            <w:tcW w:type="dxa" w:w="1584"/>
            <w:tcMar>
              <w:top w:w="100" w:type="dxa"/>
              <w:left w:w="100" w:type="dxa"/>
              <w:bottom w:w="100" w:type="dxa"/>
              <w:right w:w="100" w:type="dxa"/>
            </w:tcMar>
          </w:tcPr>
          <w:p>
            <w:pPr>
              <w:spacing w:after="80" w:before="60"/>
            </w:pPr>
            <w:r>
              <w:rPr>
                <w:b w:val="0"/>
                <w:sz w:val="18"/>
              </w:rPr>
              <w:t>Required</w:t>
            </w:r>
          </w:p>
        </w:tc>
        <w:tc>
          <w:tcPr>
            <w:tcW w:type="dxa" w:w="7776"/>
            <w:tcMar>
              <w:top w:w="100" w:type="dxa"/>
              <w:left w:w="100" w:type="dxa"/>
              <w:bottom w:w="100" w:type="dxa"/>
              <w:right w:w="100" w:type="dxa"/>
            </w:tcMar>
          </w:tcPr>
          <w:p>
            <w:pPr>
              <w:spacing w:after="80" w:before="60"/>
            </w:pPr>
            <w:r>
              <w:rPr>
                <w:b w:val="0"/>
                <w:sz w:val="18"/>
              </w:rPr>
              <w:t>An acceptance obligation from the SRD. It can remain unimplemented.</w:t>
            </w:r>
          </w:p>
        </w:tc>
      </w:tr>
      <w:tr>
        <w:tc>
          <w:tcPr>
            <w:tcW w:type="dxa" w:w="1584"/>
            <w:tcMar>
              <w:top w:w="100" w:type="dxa"/>
              <w:left w:w="100" w:type="dxa"/>
              <w:bottom w:w="100" w:type="dxa"/>
              <w:right w:w="100" w:type="dxa"/>
            </w:tcMar>
          </w:tcPr>
          <w:p>
            <w:pPr>
              <w:spacing w:after="80" w:before="60"/>
            </w:pPr>
            <w:r>
              <w:rPr>
                <w:b w:val="0"/>
                <w:sz w:val="18"/>
              </w:rPr>
              <w:t>Implemented reference</w:t>
            </w:r>
          </w:p>
        </w:tc>
        <w:tc>
          <w:tcPr>
            <w:tcW w:type="dxa" w:w="7776"/>
            <w:tcMar>
              <w:top w:w="100" w:type="dxa"/>
              <w:left w:w="100" w:type="dxa"/>
              <w:bottom w:w="100" w:type="dxa"/>
              <w:right w:w="100" w:type="dxa"/>
            </w:tcMar>
          </w:tcPr>
          <w:p>
            <w:pPr>
              <w:spacing w:after="80" w:before="60"/>
            </w:pPr>
            <w:r>
              <w:rPr>
                <w:b w:val="0"/>
                <w:sz w:val="18"/>
              </w:rPr>
              <w:t>A host-language component exists; it may use volatile stores or fake adapters.</w:t>
            </w:r>
          </w:p>
        </w:tc>
      </w:tr>
      <w:tr>
        <w:tc>
          <w:tcPr>
            <w:tcW w:type="dxa" w:w="1584"/>
            <w:tcMar>
              <w:top w:w="100" w:type="dxa"/>
              <w:left w:w="100" w:type="dxa"/>
              <w:bottom w:w="100" w:type="dxa"/>
              <w:right w:w="100" w:type="dxa"/>
            </w:tcMar>
          </w:tcPr>
          <w:p>
            <w:pPr>
              <w:spacing w:after="80" w:before="60"/>
            </w:pPr>
            <w:r>
              <w:rPr>
                <w:b w:val="0"/>
                <w:sz w:val="18"/>
              </w:rPr>
              <w:t>Verified host checkpoint</w:t>
            </w:r>
          </w:p>
        </w:tc>
        <w:tc>
          <w:tcPr>
            <w:tcW w:type="dxa" w:w="7776"/>
            <w:tcMar>
              <w:top w:w="100" w:type="dxa"/>
              <w:left w:w="100" w:type="dxa"/>
              <w:bottom w:w="100" w:type="dxa"/>
              <w:right w:w="100" w:type="dxa"/>
            </w:tcMar>
          </w:tcPr>
          <w:p>
            <w:pPr>
              <w:spacing w:after="80" w:before="60"/>
            </w:pPr>
            <w:r>
              <w:rPr>
                <w:b w:val="0"/>
                <w:sz w:val="18"/>
              </w:rPr>
              <w:t>The specific assertion ran on the development host. It is not full requirement coverage.</w:t>
            </w:r>
          </w:p>
        </w:tc>
      </w:tr>
      <w:tr>
        <w:tc>
          <w:tcPr>
            <w:tcW w:type="dxa" w:w="1584"/>
            <w:tcMar>
              <w:top w:w="100" w:type="dxa"/>
              <w:left w:w="100" w:type="dxa"/>
              <w:bottom w:w="100" w:type="dxa"/>
              <w:right w:w="100" w:type="dxa"/>
            </w:tcMar>
          </w:tcPr>
          <w:p>
            <w:pPr>
              <w:spacing w:after="80" w:before="60"/>
            </w:pPr>
            <w:r>
              <w:rPr>
                <w:b w:val="0"/>
                <w:sz w:val="18"/>
              </w:rPr>
              <w:t>Target integration pending</w:t>
            </w:r>
          </w:p>
        </w:tc>
        <w:tc>
          <w:tcPr>
            <w:tcW w:type="dxa" w:w="7776"/>
            <w:tcMar>
              <w:top w:w="100" w:type="dxa"/>
              <w:left w:w="100" w:type="dxa"/>
              <w:bottom w:w="100" w:type="dxa"/>
              <w:right w:w="100" w:type="dxa"/>
            </w:tcMar>
          </w:tcPr>
          <w:p>
            <w:pPr>
              <w:spacing w:after="80" w:before="60"/>
            </w:pPr>
            <w:r>
              <w:rPr>
                <w:b w:val="0"/>
                <w:sz w:val="18"/>
              </w:rPr>
              <w:t>GPIO, FreeRTOS, radio, flash, server/provider or full UI work still needs implementation and evidence.</w:t>
            </w:r>
          </w:p>
        </w:tc>
      </w:tr>
      <w:tr>
        <w:tc>
          <w:tcPr>
            <w:tcW w:type="dxa" w:w="1584"/>
            <w:tcMar>
              <w:top w:w="100" w:type="dxa"/>
              <w:left w:w="100" w:type="dxa"/>
              <w:bottom w:w="100" w:type="dxa"/>
              <w:right w:w="100" w:type="dxa"/>
            </w:tcMar>
          </w:tcPr>
          <w:p>
            <w:pPr>
              <w:spacing w:after="80" w:before="60"/>
            </w:pPr>
            <w:r>
              <w:rPr>
                <w:b w:val="0"/>
                <w:sz w:val="18"/>
              </w:rPr>
              <w:t>Future AI</w:t>
            </w:r>
          </w:p>
        </w:tc>
        <w:tc>
          <w:tcPr>
            <w:tcW w:type="dxa" w:w="7776"/>
            <w:tcMar>
              <w:top w:w="100" w:type="dxa"/>
              <w:left w:w="100" w:type="dxa"/>
              <w:bottom w:w="100" w:type="dxa"/>
              <w:right w:w="100" w:type="dxa"/>
            </w:tcMar>
          </w:tcPr>
          <w:p>
            <w:pPr>
              <w:spacing w:after="80" w:before="60"/>
            </w:pPr>
            <w:r>
              <w:rPr>
                <w:b w:val="0"/>
                <w:sz w:val="18"/>
              </w:rPr>
              <w:t>An extension excluded from the immediate Base P0 build scope.</w:t>
            </w:r>
          </w:p>
        </w:tc>
      </w:tr>
    </w:tbl>
    <w:p>
      <w:r>
        <w:t>Read START_HERE.md for the full document order. Use Requirement_Traceability.csv and Code_Traceability.csv to move from a requirement to module, source file and existing test. A comment such as @requirements F05, E02 is a responsibility link, not a claim that those requirements are fully complete.</w:t>
      </w:r>
    </w:p>
    <w:p>
      <w:r>
        <w:t>Source baseline: Ghar_Sajag_Software_Requirements_Document_SRD_v1.0(1).docx. The original upload is also included under reference_baselines. The preservation report records original and revised word/table/figure counts and heading retention. Market prices and supplier availability are historical inputs unless explicitly dated as rechecked; this edition does not refresh market research.</w:t>
      </w:r>
    </w:p>
    <w:p>
      <w:pPr>
        <w:pStyle w:val="Heading2"/>
      </w:pPr>
      <w:r>
        <w:rPr>
          <w:color w:val="000000"/>
        </w:rPr>
        <w:t>Current decisions that resolve earlier ambiguity</w:t>
      </w:r>
    </w:p>
    <w:p>
      <w:r>
        <w:rPr>
          <w:b/>
        </w:rPr>
        <w:t xml:space="preserve">Routine evidence. </w:t>
      </w:r>
      <w:r>
        <w:t>The current reducer accepts one qualifying activity event or OK in its window. Two-zone/session-duration examples are retained as future hypotheses. They are not implemented P0 qualification rules.</w:t>
      </w:r>
    </w:p>
    <w:p>
      <w:r>
        <w:rPr>
          <w:b/>
        </w:rPr>
        <w:t xml:space="preserve">Coverage. </w:t>
      </w:r>
      <w:r>
        <w:t>Current lease status exists. Full-window coverage history and local prompt/grace orchestration are pending. Missing activity must not be presented as a wellbeing or medical conclusion.</w:t>
      </w:r>
    </w:p>
    <w:p>
      <w:r>
        <w:rPr>
          <w:b/>
        </w:rPr>
        <w:t xml:space="preserve">Timing. </w:t>
      </w:r>
      <w:r>
        <w:t>The reference NodeConfig uses a 60-second heartbeat and HubRuntime a 190-second lease. Older 15-minute heartbeat and 35-minute timeout examples are trial alternatives and must not be mixed with these defaults.</w:t>
      </w:r>
    </w:p>
    <w:p>
      <w:r>
        <w:rPr>
          <w:b/>
        </w:rPr>
        <w:t xml:space="preserve">Persistence. </w:t>
      </w:r>
      <w:r>
        <w:t>DURABLE is the target application-ACK meaning. In-memory test stores model ordering; they do not survive power loss. Production flash/database adapters and compaction remain open.</w:t>
      </w:r>
    </w:p>
    <w:p>
      <w:r>
        <w:rPr>
          <w:b/>
        </w:rPr>
        <w:t xml:space="preserve">Modules. </w:t>
      </w:r>
      <w:r>
        <w:t>Canonical modules are N01–N05, H01–H08, B01–B08, A01–A05, S01–S03 and T01–T03, with S04 product profile, H09 interaction and S05 diagnostics. H10/H11/B09/A06 are planned. Legacy log aliases are not extra deployed modules.</w:t>
      </w:r>
    </w:p>
    <w:p>
      <w:r>
        <w:rPr>
          <w:b/>
        </w:rPr>
        <w:t xml:space="preserve">Logs. </w:t>
      </w:r>
      <w:r>
        <w:t>ERROR hooks remain available in the commercial build profile, but absent/failed sinks can lose records. Current host logging is synchronous; it does not catch arbitrary memory corruption or guarantee crash persistence.</w:t>
      </w:r>
    </w:p>
    <w:p>
      <w:pPr>
        <w:pStyle w:val="Heading2"/>
        <w:pageBreakBefore w:val="0"/>
      </w:pPr>
      <w:r>
        <w:rPr>
          <w:color w:val="000000"/>
        </w:rPr>
        <w:t>Retained detailed baseline with edition 2 explanations</w:t>
      </w:r>
    </w:p>
    <w:p>
      <w:r>
        <w:t>The chapters below retain the uploaded detail. New explanatory paragraphs are placed at the relevant requirement/module headings. Historical implementation counts and future-state diagrams must be read with the current boundaries and open-work register above.</w:t>
      </w:r>
    </w:p>
    <w:p>
      <w:pPr>
        <w:pStyle w:val="Heading1"/>
      </w:pPr>
      <w:r>
        <w:rPr>
          <w:color w:val="000000"/>
        </w:rPr>
        <w:t>1. Product objective and scope</w:t>
      </w:r>
    </w:p>
    <w:p>
      <w:r>
        <w:t>Ghar Sajag gives a family clearer information when a routine check-in is expected, a resident asks for help, or the sensing system itself cannot provide reliable coverage. It is a family-awareness and communication aid, not a medical device, fall detector, emergency dispatch service or substitute for human judgement.</w:t>
      </w:r>
    </w:p>
    <w:p>
      <w:pPr>
        <w:pStyle w:val="Heading2"/>
      </w:pPr>
      <w:r>
        <w:rPr>
          <w:color w:val="000000"/>
        </w:rPr>
        <w:t>In scope for P0</w:t>
      </w:r>
    </w:p>
    <w:p>
      <w:pPr>
        <w:pStyle w:val="ListBullet"/>
        <w:spacing w:after="80"/>
      </w:pPr>
      <w:r>
        <w:t>One household with one or two consenting residents.</w:t>
      </w:r>
    </w:p>
    <w:p>
      <w:pPr>
        <w:pStyle w:val="ListBullet"/>
        <w:spacing w:after="80"/>
      </w:pPr>
      <w:r>
        <w:t>One ESP32 DevKit V1 hub and up to four ESP32-C3 nodes using motion and door/button inputs.</w:t>
      </w:r>
    </w:p>
    <w:p>
      <w:pPr>
        <w:pStyle w:val="ListBullet"/>
        <w:spacing w:after="80"/>
      </w:pPr>
      <w:r>
        <w:t>A configurable morning routine, explicit resident check-in, family-call request, main-door history, modes, caregiver acknowledgement and backup routing.</w:t>
      </w:r>
    </w:p>
    <w:p>
      <w:pPr>
        <w:pStyle w:val="ListBullet"/>
        <w:spacing w:after="80"/>
      </w:pPr>
      <w:r>
        <w:t>Local operation during WAN failure while hub power, trusted configuration and time remain usable.</w:t>
      </w:r>
    </w:p>
    <w:p>
      <w:pPr>
        <w:pStyle w:val="ListBullet"/>
        <w:spacing w:after="80"/>
      </w:pPr>
      <w:r>
        <w:t>Backend persistence, caregiver dashboard/PWA, notification delivery state, OTA policy and diagnostic logging.</w:t>
      </w:r>
    </w:p>
    <w:p>
      <w:pPr>
        <w:pStyle w:val="Heading2"/>
      </w:pPr>
      <w:r>
        <w:rPr>
          <w:color w:val="000000"/>
        </w:rPr>
        <w:t>Out of scope for P0</w:t>
      </w:r>
    </w:p>
    <w:p>
      <w:r>
        <w:t>Fall detection, vital signs, sleep quality, indoor cameras, always-on audio or speech recognition, automatic emergency dispatch, professional home visits, location tracking, automatic routine learning, and cloud-dependent AI inference are excluded. They may be evaluated as separately consented P1/P2 work.</w:t>
      </w:r>
    </w:p>
    <w:p>
      <w:pPr>
        <w:pStyle w:val="Heading1"/>
      </w:pPr>
      <w:r>
        <w:rPr>
          <w:color w:val="000000"/>
        </w:rPr>
        <w:t>2. Actors and operating assumptions</w:t>
      </w:r>
    </w:p>
    <w:tbl>
      <w:tblPr>
        <w:tblW w:type="dxa" w:w="9360"/>
        <w:jc w:val="left"/>
        <w:tblLayout w:type="fixed"/>
        <w:tblLook w:firstColumn="1" w:firstRow="1" w:lastColumn="0" w:lastRow="0" w:noHBand="0" w:noVBand="1" w:val="04A0"/>
        <w:tblInd w:w="120" w:type="dxa"/>
      </w:tblPr>
      <w:tblGrid>
        <w:gridCol w:w="2088"/>
        <w:gridCol w:w="7272"/>
      </w:tblGrid>
      <w:tr>
        <w:tc>
          <w:tcPr>
            <w:tcW w:type="dxa" w:w="2088"/>
            <w:vAlign w:val="top"/>
            <w:shd w:fill="E8EEF5"/>
            <w:tcMar>
              <w:top w:w="80" w:type="dxa"/>
              <w:bottom w:w="80" w:type="dxa"/>
              <w:start w:w="120" w:type="dxa"/>
              <w:end w:w="120" w:type="dxa"/>
            </w:tcMar>
          </w:tcPr>
          <w:p>
            <w:pPr>
              <w:spacing w:after="40"/>
            </w:pPr>
            <w:r>
              <w:rPr>
                <w:rFonts w:ascii="Calibri" w:hAnsi="Calibri"/>
                <w:b/>
                <w:sz w:val="19"/>
              </w:rPr>
              <w:t>Actor</w:t>
            </w:r>
          </w:p>
        </w:tc>
        <w:tc>
          <w:tcPr>
            <w:tcW w:type="dxa" w:w="7272"/>
            <w:vAlign w:val="top"/>
            <w:shd w:fill="E8EEF5"/>
            <w:tcMar>
              <w:top w:w="80" w:type="dxa"/>
              <w:bottom w:w="80" w:type="dxa"/>
              <w:start w:w="120" w:type="dxa"/>
              <w:end w:w="120" w:type="dxa"/>
            </w:tcMar>
          </w:tcPr>
          <w:p>
            <w:pPr>
              <w:spacing w:after="40"/>
            </w:pPr>
            <w:r>
              <w:rPr>
                <w:rFonts w:ascii="Calibri" w:hAnsi="Calibri"/>
                <w:b/>
                <w:sz w:val="19"/>
              </w:rPr>
              <w:t>Responsibility / permissions</w:t>
            </w:r>
          </w:p>
        </w:tc>
      </w:tr>
      <w:tr>
        <w:tc>
          <w:tcPr>
            <w:tcW w:type="dxa" w:w="2088"/>
            <w:vAlign w:val="top"/>
            <w:tcMar>
              <w:top w:w="80" w:type="dxa"/>
              <w:bottom w:w="80" w:type="dxa"/>
              <w:start w:w="120" w:type="dxa"/>
              <w:end w:w="120" w:type="dxa"/>
            </w:tcMar>
          </w:tcPr>
          <w:p>
            <w:pPr>
              <w:spacing w:after="40"/>
            </w:pPr>
            <w:r>
              <w:rPr>
                <w:rFonts w:ascii="Calibri" w:hAnsi="Calibri"/>
                <w:b w:val="0"/>
                <w:sz w:val="19"/>
              </w:rPr>
              <w:t>Resident</w:t>
            </w:r>
          </w:p>
        </w:tc>
        <w:tc>
          <w:tcPr>
            <w:tcW w:type="dxa" w:w="7272"/>
            <w:vAlign w:val="top"/>
            <w:tcMar>
              <w:top w:w="80" w:type="dxa"/>
              <w:bottom w:w="80" w:type="dxa"/>
              <w:start w:w="120" w:type="dxa"/>
              <w:end w:w="120" w:type="dxa"/>
            </w:tcMar>
          </w:tcPr>
          <w:p>
            <w:pPr>
              <w:spacing w:after="40"/>
            </w:pPr>
            <w:r>
              <w:rPr>
                <w:rFonts w:ascii="Calibri" w:hAnsi="Calibri"/>
                <w:b w:val="0"/>
                <w:sz w:val="19"/>
              </w:rPr>
              <w:t>Consents, uses “I’m OK” and “Call family”, changes privacy state, receives local feedback.</w:t>
            </w:r>
          </w:p>
        </w:tc>
      </w:tr>
      <w:tr>
        <w:tc>
          <w:tcPr>
            <w:tcW w:type="dxa" w:w="2088"/>
            <w:vAlign w:val="top"/>
            <w:tcMar>
              <w:top w:w="80" w:type="dxa"/>
              <w:bottom w:w="80" w:type="dxa"/>
              <w:start w:w="120" w:type="dxa"/>
              <w:end w:w="120" w:type="dxa"/>
            </w:tcMar>
          </w:tcPr>
          <w:p>
            <w:pPr>
              <w:spacing w:after="40"/>
            </w:pPr>
            <w:r>
              <w:rPr>
                <w:rFonts w:ascii="Calibri" w:hAnsi="Calibri"/>
                <w:b w:val="0"/>
                <w:sz w:val="19"/>
              </w:rPr>
              <w:t>Primary caregiver</w:t>
            </w:r>
          </w:p>
        </w:tc>
        <w:tc>
          <w:tcPr>
            <w:tcW w:type="dxa" w:w="7272"/>
            <w:vAlign w:val="top"/>
            <w:tcMar>
              <w:top w:w="80" w:type="dxa"/>
              <w:bottom w:w="80" w:type="dxa"/>
              <w:start w:w="120" w:type="dxa"/>
              <w:end w:w="120" w:type="dxa"/>
            </w:tcMar>
          </w:tcPr>
          <w:p>
            <w:pPr>
              <w:spacing w:after="40"/>
            </w:pPr>
            <w:r>
              <w:rPr>
                <w:rFonts w:ascii="Calibri" w:hAnsi="Calibri"/>
                <w:b w:val="0"/>
                <w:sz w:val="19"/>
              </w:rPr>
              <w:t>Owns household setup, receives first notification, claims/acknowledges/resolves incidents, may configure routines.</w:t>
            </w:r>
          </w:p>
        </w:tc>
      </w:tr>
      <w:tr>
        <w:tc>
          <w:tcPr>
            <w:tcW w:type="dxa" w:w="2088"/>
            <w:vAlign w:val="top"/>
            <w:tcMar>
              <w:top w:w="80" w:type="dxa"/>
              <w:bottom w:w="80" w:type="dxa"/>
              <w:start w:w="120" w:type="dxa"/>
              <w:end w:w="120" w:type="dxa"/>
            </w:tcMar>
          </w:tcPr>
          <w:p>
            <w:pPr>
              <w:spacing w:after="40"/>
            </w:pPr>
            <w:r>
              <w:rPr>
                <w:rFonts w:ascii="Calibri" w:hAnsi="Calibri"/>
                <w:b w:val="0"/>
                <w:sz w:val="19"/>
              </w:rPr>
              <w:t>Backup caregiver</w:t>
            </w:r>
          </w:p>
        </w:tc>
        <w:tc>
          <w:tcPr>
            <w:tcW w:type="dxa" w:w="7272"/>
            <w:vAlign w:val="top"/>
            <w:tcMar>
              <w:top w:w="80" w:type="dxa"/>
              <w:bottom w:w="80" w:type="dxa"/>
              <w:start w:w="120" w:type="dxa"/>
              <w:end w:w="120" w:type="dxa"/>
            </w:tcMar>
          </w:tcPr>
          <w:p>
            <w:pPr>
              <w:spacing w:after="40"/>
            </w:pPr>
            <w:r>
              <w:rPr>
                <w:rFonts w:ascii="Calibri" w:hAnsi="Calibri"/>
                <w:b w:val="0"/>
                <w:sz w:val="19"/>
              </w:rPr>
              <w:t>Receives escalation after the configured delay and can acknowledge or resolve.</w:t>
            </w:r>
          </w:p>
        </w:tc>
      </w:tr>
      <w:tr>
        <w:tc>
          <w:tcPr>
            <w:tcW w:type="dxa" w:w="2088"/>
            <w:vAlign w:val="top"/>
            <w:tcMar>
              <w:top w:w="80" w:type="dxa"/>
              <w:bottom w:w="80" w:type="dxa"/>
              <w:start w:w="120" w:type="dxa"/>
              <w:end w:w="120" w:type="dxa"/>
            </w:tcMar>
          </w:tcPr>
          <w:p>
            <w:pPr>
              <w:spacing w:after="40"/>
            </w:pPr>
            <w:r>
              <w:rPr>
                <w:rFonts w:ascii="Calibri" w:hAnsi="Calibri"/>
                <w:b w:val="0"/>
                <w:sz w:val="19"/>
              </w:rPr>
              <w:t>Installer/support</w:t>
            </w:r>
          </w:p>
        </w:tc>
        <w:tc>
          <w:tcPr>
            <w:tcW w:type="dxa" w:w="7272"/>
            <w:vAlign w:val="top"/>
            <w:tcMar>
              <w:top w:w="80" w:type="dxa"/>
              <w:bottom w:w="80" w:type="dxa"/>
              <w:start w:w="120" w:type="dxa"/>
              <w:end w:w="120" w:type="dxa"/>
            </w:tcMar>
          </w:tcPr>
          <w:p>
            <w:pPr>
              <w:spacing w:after="40"/>
            </w:pPr>
            <w:r>
              <w:rPr>
                <w:rFonts w:ascii="Calibri" w:hAnsi="Calibri"/>
                <w:b w:val="0"/>
                <w:sz w:val="19"/>
              </w:rPr>
              <w:t>Performs assisted provisioning, placement, coverage and notification drills; must not view unnecessary household data.</w:t>
            </w:r>
          </w:p>
        </w:tc>
      </w:tr>
      <w:tr>
        <w:tc>
          <w:tcPr>
            <w:tcW w:type="dxa" w:w="2088"/>
            <w:vAlign w:val="top"/>
            <w:tcMar>
              <w:top w:w="80" w:type="dxa"/>
              <w:bottom w:w="80" w:type="dxa"/>
              <w:start w:w="120" w:type="dxa"/>
              <w:end w:w="120" w:type="dxa"/>
            </w:tcMar>
          </w:tcPr>
          <w:p>
            <w:pPr>
              <w:spacing w:after="40"/>
            </w:pPr>
            <w:r>
              <w:rPr>
                <w:rFonts w:ascii="Calibri" w:hAnsi="Calibri"/>
                <w:b w:val="0"/>
                <w:sz w:val="19"/>
              </w:rPr>
              <w:t>Hub / nodes</w:t>
            </w:r>
          </w:p>
        </w:tc>
        <w:tc>
          <w:tcPr>
            <w:tcW w:type="dxa" w:w="7272"/>
            <w:vAlign w:val="top"/>
            <w:tcMar>
              <w:top w:w="80" w:type="dxa"/>
              <w:bottom w:w="80" w:type="dxa"/>
              <w:start w:w="120" w:type="dxa"/>
              <w:end w:w="120" w:type="dxa"/>
            </w:tcMar>
          </w:tcPr>
          <w:p>
            <w:pPr>
              <w:spacing w:after="40"/>
            </w:pPr>
            <w:r>
              <w:rPr>
                <w:rFonts w:ascii="Calibri" w:hAnsi="Calibri"/>
                <w:b w:val="0"/>
                <w:sz w:val="19"/>
              </w:rPr>
              <w:t>Sense, authenticate, persist, transport, provide local prompts and report health.</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notification provider</w:t>
            </w:r>
          </w:p>
        </w:tc>
        <w:tc>
          <w:tcPr>
            <w:tcW w:type="dxa" w:w="7272"/>
            <w:vAlign w:val="top"/>
            <w:tcMar>
              <w:top w:w="80" w:type="dxa"/>
              <w:bottom w:w="80" w:type="dxa"/>
              <w:start w:w="120" w:type="dxa"/>
              <w:end w:w="120" w:type="dxa"/>
            </w:tcMar>
          </w:tcPr>
          <w:p>
            <w:pPr>
              <w:spacing w:after="40"/>
            </w:pPr>
            <w:r>
              <w:rPr>
                <w:rFonts w:ascii="Calibri" w:hAnsi="Calibri"/>
                <w:b w:val="0"/>
                <w:sz w:val="19"/>
              </w:rPr>
              <w:t>Stores authorised records, computes read models, routes notifications and exposes delivery state.</w:t>
            </w:r>
          </w:p>
        </w:tc>
      </w:tr>
    </w:tbl>
    <w:p>
      <w:pPr>
        <w:spacing w:after="40"/>
      </w:pPr>
    </w:p>
    <w:p>
      <w:pPr>
        <w:pStyle w:val="Heading2"/>
      </w:pPr>
      <w:r>
        <w:rPr>
          <w:color w:val="000000"/>
        </w:rPr>
        <w:t>Assumptions and constraints</w:t>
      </w:r>
    </w:p>
    <w:p>
      <w:pPr>
        <w:pStyle w:val="ListBullet"/>
        <w:spacing w:after="80"/>
      </w:pPr>
      <w:r>
        <w:t>India-first assisted installation; local time zone is configured per household.</w:t>
      </w:r>
    </w:p>
    <w:p>
      <w:pPr>
        <w:pStyle w:val="ListBullet"/>
        <w:spacing w:after="80"/>
      </w:pPr>
      <w:r>
        <w:t>2.4 GHz Wi-Fi is available for hub-to-backend access; node-to-hub transport is encrypted and authenticated.</w:t>
      </w:r>
    </w:p>
    <w:p>
      <w:pPr>
        <w:pStyle w:val="ListBullet"/>
        <w:spacing w:after="80"/>
      </w:pPr>
      <w:r>
        <w:t>The product must remain useful without a camera and without a microphone.</w:t>
      </w:r>
    </w:p>
    <w:p>
      <w:pPr>
        <w:pStyle w:val="ListBullet"/>
        <w:spacing w:after="80"/>
      </w:pPr>
      <w:r>
        <w:t>Physical power, sensor placement, battery/UPS and radio coverage are installation responsibilities covered by separate hardware gates.</w:t>
      </w:r>
    </w:p>
    <w:p>
      <w:pPr>
        <w:pStyle w:val="ListBullet"/>
        <w:spacing w:after="80"/>
      </w:pPr>
      <w:r>
        <w:t>Software must distinguish “no activity observed” from “observation unavailable”.</w:t>
      </w:r>
    </w:p>
    <w:p>
      <w:pPr>
        <w:pStyle w:val="Heading1"/>
      </w:pPr>
      <w:r>
        <w:rPr>
          <w:color w:val="000000"/>
        </w:rPr>
        <w:t>3. System context and software boundaries</w:t>
      </w:r>
    </w:p>
    <w:p>
      <w:r>
        <w:t>The hub is the local state owner for node events, coverage, routine evaluation and resident interaction. The backend is the remote system of record for authorised household data, incidents, notification attempts and caregiver read models. The app is a review-and-command client; it must not invent wellbeing conclusions from missing data.</w:t>
      </w:r>
    </w:p>
    <w:tbl>
      <w:tblPr>
        <w:tblW w:type="dxa" w:w="9360"/>
        <w:jc w:val="left"/>
        <w:tblLayout w:type="fixed"/>
        <w:tblLook w:firstColumn="1" w:firstRow="1" w:lastColumn="0" w:lastRow="0" w:noHBand="0" w:noVBand="1" w:val="04A0"/>
        <w:tblInd w:w="120" w:type="dxa"/>
      </w:tblPr>
      <w:tblGrid>
        <w:gridCol w:w="2088"/>
        <w:gridCol w:w="4608"/>
        <w:gridCol w:w="2664"/>
      </w:tblGrid>
      <w:tr>
        <w:tc>
          <w:tcPr>
            <w:tcW w:type="dxa" w:w="2088"/>
            <w:vAlign w:val="top"/>
            <w:shd w:fill="E8EEF5"/>
            <w:tcMar>
              <w:top w:w="80" w:type="dxa"/>
              <w:bottom w:w="80" w:type="dxa"/>
              <w:start w:w="120" w:type="dxa"/>
              <w:end w:w="120" w:type="dxa"/>
            </w:tcMar>
          </w:tcPr>
          <w:p>
            <w:pPr>
              <w:spacing w:after="40"/>
            </w:pPr>
            <w:r>
              <w:rPr>
                <w:rFonts w:ascii="Calibri" w:hAnsi="Calibri"/>
                <w:b/>
                <w:sz w:val="19"/>
              </w:rPr>
              <w:t>Boundary</w:t>
            </w:r>
          </w:p>
        </w:tc>
        <w:tc>
          <w:tcPr>
            <w:tcW w:type="dxa" w:w="4608"/>
            <w:vAlign w:val="top"/>
            <w:shd w:fill="E8EEF5"/>
            <w:tcMar>
              <w:top w:w="80" w:type="dxa"/>
              <w:bottom w:w="80" w:type="dxa"/>
              <w:start w:w="120" w:type="dxa"/>
              <w:end w:w="120" w:type="dxa"/>
            </w:tcMar>
          </w:tcPr>
          <w:p>
            <w:pPr>
              <w:spacing w:after="40"/>
            </w:pPr>
            <w:r>
              <w:rPr>
                <w:rFonts w:ascii="Calibri" w:hAnsi="Calibri"/>
                <w:b/>
                <w:sz w:val="19"/>
              </w:rPr>
              <w:t>Interface</w:t>
            </w:r>
          </w:p>
        </w:tc>
        <w:tc>
          <w:tcPr>
            <w:tcW w:type="dxa" w:w="2664"/>
            <w:vAlign w:val="top"/>
            <w:shd w:fill="E8EEF5"/>
            <w:tcMar>
              <w:top w:w="80" w:type="dxa"/>
              <w:bottom w:w="80" w:type="dxa"/>
              <w:start w:w="120" w:type="dxa"/>
              <w:end w:w="120" w:type="dxa"/>
            </w:tcMar>
          </w:tcPr>
          <w:p>
            <w:pPr>
              <w:spacing w:after="40"/>
            </w:pPr>
            <w:r>
              <w:rPr>
                <w:rFonts w:ascii="Calibri" w:hAnsi="Calibri"/>
                <w:b/>
                <w:sz w:val="19"/>
              </w:rPr>
              <w:t>Owner / dependency</w:t>
            </w:r>
          </w:p>
        </w:tc>
      </w:tr>
      <w:tr>
        <w:tc>
          <w:tcPr>
            <w:tcW w:type="dxa" w:w="2088"/>
            <w:vAlign w:val="top"/>
            <w:tcMar>
              <w:top w:w="80" w:type="dxa"/>
              <w:bottom w:w="80" w:type="dxa"/>
              <w:start w:w="120" w:type="dxa"/>
              <w:end w:w="120" w:type="dxa"/>
            </w:tcMar>
          </w:tcPr>
          <w:p>
            <w:pPr>
              <w:spacing w:after="40"/>
            </w:pPr>
            <w:r>
              <w:rPr>
                <w:rFonts w:ascii="Calibri" w:hAnsi="Calibri"/>
                <w:b w:val="0"/>
                <w:sz w:val="19"/>
              </w:rPr>
              <w:t>Node → hub</w:t>
            </w:r>
          </w:p>
        </w:tc>
        <w:tc>
          <w:tcPr>
            <w:tcW w:type="dxa" w:w="4608"/>
            <w:vAlign w:val="top"/>
            <w:tcMar>
              <w:top w:w="80" w:type="dxa"/>
              <w:bottom w:w="80" w:type="dxa"/>
              <w:start w:w="120" w:type="dxa"/>
              <w:end w:w="120" w:type="dxa"/>
            </w:tcMar>
          </w:tcPr>
          <w:p>
            <w:pPr>
              <w:spacing w:after="40"/>
            </w:pPr>
            <w:r>
              <w:rPr>
                <w:rFonts w:ascii="Calibri" w:hAnsi="Calibri"/>
                <w:b w:val="0"/>
                <w:sz w:val="19"/>
              </w:rPr>
              <w:t>Authenticated encrypted event envelope; unique source/session/sequence; application ACK</w:t>
            </w:r>
          </w:p>
        </w:tc>
        <w:tc>
          <w:tcPr>
            <w:tcW w:type="dxa" w:w="2664"/>
            <w:vAlign w:val="top"/>
            <w:tcMar>
              <w:top w:w="80" w:type="dxa"/>
              <w:bottom w:w="80" w:type="dxa"/>
              <w:start w:w="120" w:type="dxa"/>
              <w:end w:w="120" w:type="dxa"/>
            </w:tcMar>
          </w:tcPr>
          <w:p>
            <w:pPr>
              <w:spacing w:after="40"/>
            </w:pPr>
            <w:r>
              <w:rPr>
                <w:rFonts w:ascii="Calibri" w:hAnsi="Calibri"/>
                <w:b w:val="0"/>
                <w:sz w:val="19"/>
              </w:rPr>
              <w:t>N02/N05; hub H01/H02</w:t>
            </w:r>
          </w:p>
        </w:tc>
      </w:tr>
      <w:tr>
        <w:tc>
          <w:tcPr>
            <w:tcW w:type="dxa" w:w="2088"/>
            <w:vAlign w:val="top"/>
            <w:tcMar>
              <w:top w:w="80" w:type="dxa"/>
              <w:bottom w:w="80" w:type="dxa"/>
              <w:start w:w="120" w:type="dxa"/>
              <w:end w:w="120" w:type="dxa"/>
            </w:tcMar>
          </w:tcPr>
          <w:p>
            <w:pPr>
              <w:spacing w:after="40"/>
            </w:pPr>
            <w:r>
              <w:rPr>
                <w:rFonts w:ascii="Calibri" w:hAnsi="Calibri"/>
                <w:b w:val="0"/>
                <w:sz w:val="19"/>
              </w:rPr>
              <w:t>Hub → backend</w:t>
            </w:r>
          </w:p>
        </w:tc>
        <w:tc>
          <w:tcPr>
            <w:tcW w:type="dxa" w:w="4608"/>
            <w:vAlign w:val="top"/>
            <w:tcMar>
              <w:top w:w="80" w:type="dxa"/>
              <w:bottom w:w="80" w:type="dxa"/>
              <w:start w:w="120" w:type="dxa"/>
              <w:end w:w="120" w:type="dxa"/>
            </w:tcMar>
          </w:tcPr>
          <w:p>
            <w:pPr>
              <w:spacing w:after="40"/>
            </w:pPr>
            <w:r>
              <w:rPr>
                <w:rFonts w:ascii="Calibri" w:hAnsi="Calibri"/>
                <w:b w:val="0"/>
                <w:sz w:val="19"/>
              </w:rPr>
              <w:t>TLS API/MQTT-style outbox replay; configuration and incident intents</w:t>
            </w:r>
          </w:p>
        </w:tc>
        <w:tc>
          <w:tcPr>
            <w:tcW w:type="dxa" w:w="2664"/>
            <w:vAlign w:val="top"/>
            <w:tcMar>
              <w:top w:w="80" w:type="dxa"/>
              <w:bottom w:w="80" w:type="dxa"/>
              <w:start w:w="120" w:type="dxa"/>
              <w:end w:w="120" w:type="dxa"/>
            </w:tcMar>
          </w:tcPr>
          <w:p>
            <w:pPr>
              <w:spacing w:after="40"/>
            </w:pPr>
            <w:r>
              <w:rPr>
                <w:rFonts w:ascii="Calibri" w:hAnsi="Calibri"/>
                <w:b w:val="0"/>
                <w:sz w:val="19"/>
              </w:rPr>
              <w:t>H08; backend B03/B06</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app</w:t>
            </w:r>
          </w:p>
        </w:tc>
        <w:tc>
          <w:tcPr>
            <w:tcW w:type="dxa" w:w="4608"/>
            <w:vAlign w:val="top"/>
            <w:tcMar>
              <w:top w:w="80" w:type="dxa"/>
              <w:bottom w:w="80" w:type="dxa"/>
              <w:start w:w="120" w:type="dxa"/>
              <w:end w:w="120" w:type="dxa"/>
            </w:tcMar>
          </w:tcPr>
          <w:p>
            <w:pPr>
              <w:spacing w:after="40"/>
            </w:pPr>
            <w:r>
              <w:rPr>
                <w:rFonts w:ascii="Calibri" w:hAnsi="Calibri"/>
                <w:b w:val="0"/>
                <w:sz w:val="19"/>
              </w:rPr>
              <w:t>Authenticated REST/JSON API; idempotency keys; freshness metadata</w:t>
            </w:r>
          </w:p>
        </w:tc>
        <w:tc>
          <w:tcPr>
            <w:tcW w:type="dxa" w:w="2664"/>
            <w:vAlign w:val="top"/>
            <w:tcMar>
              <w:top w:w="80" w:type="dxa"/>
              <w:bottom w:w="80" w:type="dxa"/>
              <w:start w:w="120" w:type="dxa"/>
              <w:end w:w="120" w:type="dxa"/>
            </w:tcMar>
          </w:tcPr>
          <w:p>
            <w:pPr>
              <w:spacing w:after="40"/>
            </w:pPr>
            <w:r>
              <w:rPr>
                <w:rFonts w:ascii="Calibri" w:hAnsi="Calibri"/>
                <w:b w:val="0"/>
                <w:sz w:val="19"/>
              </w:rPr>
              <w:t>B07/B08; A05</w:t>
            </w:r>
          </w:p>
        </w:tc>
      </w:tr>
      <w:tr>
        <w:tc>
          <w:tcPr>
            <w:tcW w:type="dxa" w:w="2088"/>
            <w:vAlign w:val="top"/>
            <w:tcMar>
              <w:top w:w="80" w:type="dxa"/>
              <w:bottom w:w="80" w:type="dxa"/>
              <w:start w:w="120" w:type="dxa"/>
              <w:end w:w="120" w:type="dxa"/>
            </w:tcMar>
          </w:tcPr>
          <w:p>
            <w:pPr>
              <w:spacing w:after="40"/>
            </w:pPr>
            <w:r>
              <w:rPr>
                <w:rFonts w:ascii="Calibri" w:hAnsi="Calibri"/>
                <w:b w:val="0"/>
                <w:sz w:val="19"/>
              </w:rPr>
              <w:t>Hub → resident</w:t>
            </w:r>
          </w:p>
        </w:tc>
        <w:tc>
          <w:tcPr>
            <w:tcW w:type="dxa" w:w="4608"/>
            <w:vAlign w:val="top"/>
            <w:tcMar>
              <w:top w:w="80" w:type="dxa"/>
              <w:bottom w:w="80" w:type="dxa"/>
              <w:start w:w="120" w:type="dxa"/>
              <w:end w:w="120" w:type="dxa"/>
            </w:tcMar>
          </w:tcPr>
          <w:p>
            <w:pPr>
              <w:spacing w:after="40"/>
            </w:pPr>
            <w:r>
              <w:rPr>
                <w:rFonts w:ascii="Calibri" w:hAnsi="Calibri"/>
                <w:b w:val="0"/>
                <w:sz w:val="19"/>
              </w:rPr>
              <w:t>Local display/LED/buzzer/buttons; privacy switch</w:t>
            </w:r>
          </w:p>
        </w:tc>
        <w:tc>
          <w:tcPr>
            <w:tcW w:type="dxa" w:w="2664"/>
            <w:vAlign w:val="top"/>
            <w:tcMar>
              <w:top w:w="80" w:type="dxa"/>
              <w:bottom w:w="80" w:type="dxa"/>
              <w:start w:w="120" w:type="dxa"/>
              <w:end w:w="120" w:type="dxa"/>
            </w:tcMar>
          </w:tcPr>
          <w:p>
            <w:pPr>
              <w:spacing w:after="40"/>
            </w:pPr>
            <w:r>
              <w:rPr>
                <w:rFonts w:ascii="Calibri" w:hAnsi="Calibri"/>
                <w:b w:val="0"/>
                <w:sz w:val="19"/>
              </w:rPr>
              <w:t>H06; physical I/O adapter</w:t>
            </w:r>
          </w:p>
        </w:tc>
      </w:tr>
      <w:tr>
        <w:tc>
          <w:tcPr>
            <w:tcW w:type="dxa" w:w="2088"/>
            <w:vAlign w:val="top"/>
            <w:tcMar>
              <w:top w:w="80" w:type="dxa"/>
              <w:bottom w:w="80" w:type="dxa"/>
              <w:start w:w="120" w:type="dxa"/>
              <w:end w:w="120" w:type="dxa"/>
            </w:tcMar>
          </w:tcPr>
          <w:p>
            <w:pPr>
              <w:spacing w:after="40"/>
            </w:pPr>
            <w:r>
              <w:rPr>
                <w:rFonts w:ascii="Calibri" w:hAnsi="Calibri"/>
                <w:b w:val="0"/>
                <w:sz w:val="19"/>
              </w:rPr>
              <w:t>Backend → caregiver</w:t>
            </w:r>
          </w:p>
        </w:tc>
        <w:tc>
          <w:tcPr>
            <w:tcW w:type="dxa" w:w="4608"/>
            <w:vAlign w:val="top"/>
            <w:tcMar>
              <w:top w:w="80" w:type="dxa"/>
              <w:bottom w:w="80" w:type="dxa"/>
              <w:start w:w="120" w:type="dxa"/>
              <w:end w:w="120" w:type="dxa"/>
            </w:tcMar>
          </w:tcPr>
          <w:p>
            <w:pPr>
              <w:spacing w:after="40"/>
            </w:pPr>
            <w:r>
              <w:rPr>
                <w:rFonts w:ascii="Calibri" w:hAnsi="Calibri"/>
                <w:b w:val="0"/>
                <w:sz w:val="19"/>
              </w:rPr>
              <w:t>Push/SMS/voice provider adapter with delivery state</w:t>
            </w:r>
          </w:p>
        </w:tc>
        <w:tc>
          <w:tcPr>
            <w:tcW w:type="dxa" w:w="2664"/>
            <w:vAlign w:val="top"/>
            <w:tcMar>
              <w:top w:w="80" w:type="dxa"/>
              <w:bottom w:w="80" w:type="dxa"/>
              <w:start w:w="120" w:type="dxa"/>
              <w:end w:w="120" w:type="dxa"/>
            </w:tcMar>
          </w:tcPr>
          <w:p>
            <w:pPr>
              <w:spacing w:after="40"/>
            </w:pPr>
            <w:r>
              <w:rPr>
                <w:rFonts w:ascii="Calibri" w:hAnsi="Calibri"/>
                <w:b w:val="0"/>
                <w:sz w:val="19"/>
              </w:rPr>
              <w:t>B05; external provider</w:t>
            </w:r>
          </w:p>
        </w:tc>
      </w:tr>
    </w:tbl>
    <w:p>
      <w:pPr>
        <w:spacing w:after="40"/>
      </w:pPr>
    </w:p>
    <w:p>
      <w:pPr>
        <w:pStyle w:val="Heading1"/>
      </w:pPr>
      <w:r>
        <w:rPr>
          <w:color w:val="000000"/>
        </w:rPr>
        <w:t>4. Functional requirements — household and routine</w:t>
      </w:r>
    </w:p>
    <w:p>
      <w:pPr>
        <w:pStyle w:val="Heading1"/>
      </w:pPr>
      <w:r>
        <w:rPr>
          <w:color w:val="000000"/>
        </w:rPr>
        <w:t>4.1 Household, consent and installation</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F01</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create one household profile with display name, IANA time zone, preferred language, one or two resident profiles, a primary caregiver and a distinct backup caregiver.</w:t>
            </w:r>
          </w:p>
        </w:tc>
        <w:tc>
          <w:tcPr>
            <w:tcW w:type="dxa" w:w="3355"/>
            <w:vAlign w:val="top"/>
            <w:tcMar>
              <w:top w:w="80" w:type="dxa"/>
              <w:bottom w:w="80" w:type="dxa"/>
              <w:start w:w="120" w:type="dxa"/>
              <w:end w:w="120" w:type="dxa"/>
            </w:tcMar>
          </w:tcPr>
          <w:p>
            <w:pPr>
              <w:spacing w:after="40"/>
            </w:pPr>
            <w:r>
              <w:rPr>
                <w:rFonts w:ascii="Calibri" w:hAnsi="Calibri"/>
                <w:b w:val="0"/>
                <w:sz w:val="19"/>
              </w:rPr>
              <w:t>Create-home tests reject missing consent, duplicate caregiver roles and cross-house access.</w:t>
            </w:r>
          </w:p>
        </w:tc>
      </w:tr>
      <w:tr>
        <w:tc>
          <w:tcPr>
            <w:tcW w:type="dxa" w:w="1036"/>
            <w:vAlign w:val="top"/>
            <w:tcMar>
              <w:top w:w="80" w:type="dxa"/>
              <w:bottom w:w="80" w:type="dxa"/>
              <w:start w:w="120" w:type="dxa"/>
              <w:end w:w="120" w:type="dxa"/>
            </w:tcMar>
          </w:tcPr>
          <w:p>
            <w:pPr>
              <w:spacing w:after="40"/>
            </w:pPr>
            <w:r>
              <w:rPr>
                <w:rFonts w:ascii="Calibri" w:hAnsi="Calibri"/>
                <w:b w:val="0"/>
                <w:sz w:val="19"/>
              </w:rPr>
              <w:t>F02</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present the signals collected, purpose, recipients, limitations and retention in the configured language; record consent version, method, time and actor; and honour withdrawal.</w:t>
            </w:r>
          </w:p>
        </w:tc>
        <w:tc>
          <w:tcPr>
            <w:tcW w:type="dxa" w:w="3355"/>
            <w:vAlign w:val="top"/>
            <w:tcMar>
              <w:top w:w="80" w:type="dxa"/>
              <w:bottom w:w="80" w:type="dxa"/>
              <w:start w:w="120" w:type="dxa"/>
              <w:end w:w="120" w:type="dxa"/>
            </w:tcMar>
          </w:tcPr>
          <w:p>
            <w:pPr>
              <w:spacing w:after="40"/>
            </w:pPr>
            <w:r>
              <w:rPr>
                <w:rFonts w:ascii="Calibri" w:hAnsi="Calibri"/>
                <w:b w:val="0"/>
                <w:sz w:val="19"/>
              </w:rPr>
              <w:t>Withdrawal places the household in privacy mode, stops configured observation and records an auditable state change.</w:t>
            </w:r>
          </w:p>
        </w:tc>
      </w:tr>
      <w:tr>
        <w:tc>
          <w:tcPr>
            <w:tcW w:type="dxa" w:w="1036"/>
            <w:vAlign w:val="top"/>
            <w:tcMar>
              <w:top w:w="80" w:type="dxa"/>
              <w:bottom w:w="80" w:type="dxa"/>
              <w:start w:w="120" w:type="dxa"/>
              <w:end w:w="120" w:type="dxa"/>
            </w:tcMar>
          </w:tcPr>
          <w:p>
            <w:pPr>
              <w:spacing w:after="40"/>
            </w:pPr>
            <w:r>
              <w:rPr>
                <w:rFonts w:ascii="Calibri" w:hAnsi="Calibri"/>
                <w:b w:val="0"/>
                <w:sz w:val="19"/>
              </w:rPr>
              <w:t>F03</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provision/bind the hub and nodes, validate firmware/board/capabilities, verify placement and radio coverage, and run a caregiver delivery drill before unattended use.</w:t>
            </w:r>
          </w:p>
        </w:tc>
        <w:tc>
          <w:tcPr>
            <w:tcW w:type="dxa" w:w="3355"/>
            <w:vAlign w:val="top"/>
            <w:tcMar>
              <w:top w:w="80" w:type="dxa"/>
              <w:bottom w:w="80" w:type="dxa"/>
              <w:start w:w="120" w:type="dxa"/>
              <w:end w:w="120" w:type="dxa"/>
            </w:tcMar>
          </w:tcPr>
          <w:p>
            <w:pPr>
              <w:spacing w:after="40"/>
            </w:pPr>
            <w:r>
              <w:rPr>
                <w:rFonts w:ascii="Calibri" w:hAnsi="Calibri"/>
                <w:b w:val="0"/>
                <w:sz w:val="19"/>
              </w:rPr>
              <w:t>Installation gate enumerates every missing node, button, privacy, coverage and notification check.</w:t>
            </w:r>
          </w:p>
        </w:tc>
      </w:tr>
      <w:tr>
        <w:tc>
          <w:tcPr>
            <w:tcW w:type="dxa" w:w="1036"/>
            <w:vAlign w:val="top"/>
            <w:tcMar>
              <w:top w:w="80" w:type="dxa"/>
              <w:bottom w:w="80" w:type="dxa"/>
              <w:start w:w="120" w:type="dxa"/>
              <w:end w:w="120" w:type="dxa"/>
            </w:tcMar>
          </w:tcPr>
          <w:p>
            <w:pPr>
              <w:spacing w:after="40"/>
            </w:pPr>
            <w:r>
              <w:rPr>
                <w:rFonts w:ascii="Calibri" w:hAnsi="Calibri"/>
                <w:b w:val="0"/>
                <w:sz w:val="19"/>
              </w:rPr>
              <w:t>F04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one daily morning routine with start, deadline, grace interval, qualifying locations and active mode. Configuration shall be versioned and applied only after validation.</w:t>
            </w:r>
          </w:p>
        </w:tc>
        <w:tc>
          <w:tcPr>
            <w:tcW w:type="dxa" w:w="3355"/>
            <w:vAlign w:val="top"/>
            <w:tcMar>
              <w:top w:w="80" w:type="dxa"/>
              <w:bottom w:w="80" w:type="dxa"/>
              <w:start w:w="120" w:type="dxa"/>
              <w:end w:w="120" w:type="dxa"/>
            </w:tcMar>
          </w:tcPr>
          <w:p>
            <w:pPr>
              <w:spacing w:after="40"/>
            </w:pPr>
            <w:r>
              <w:rPr>
                <w:rFonts w:ascii="Calibri" w:hAnsi="Calibri"/>
                <w:b w:val="0"/>
                <w:sz w:val="19"/>
              </w:rPr>
              <w:t>Old versions are rejected; applied version and validation errors are visible.</w:t>
            </w:r>
          </w:p>
        </w:tc>
      </w:tr>
      <w:tr>
        <w:tc>
          <w:tcPr>
            <w:tcW w:type="dxa" w:w="1036"/>
            <w:vAlign w:val="top"/>
            <w:tcMar>
              <w:top w:w="80" w:type="dxa"/>
              <w:bottom w:w="80" w:type="dxa"/>
              <w:start w:w="120" w:type="dxa"/>
              <w:end w:w="120" w:type="dxa"/>
            </w:tcMar>
          </w:tcPr>
          <w:p>
            <w:pPr>
              <w:spacing w:after="40"/>
            </w:pPr>
            <w:r>
              <w:rPr>
                <w:rFonts w:ascii="Calibri" w:hAnsi="Calibri"/>
                <w:b w:val="0"/>
                <w:sz w:val="19"/>
              </w:rPr>
              <w:t>F05</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accept qualifying movement from eligible configured sensors, record first and latest observation, and avoid converting absence of evidence into a wellbeing claim.</w:t>
            </w:r>
          </w:p>
        </w:tc>
        <w:tc>
          <w:tcPr>
            <w:tcW w:type="dxa" w:w="3355"/>
            <w:vAlign w:val="top"/>
            <w:tcMar>
              <w:top w:w="80" w:type="dxa"/>
              <w:bottom w:w="80" w:type="dxa"/>
              <w:start w:w="120" w:type="dxa"/>
              <w:end w:w="120" w:type="dxa"/>
            </w:tcMar>
          </w:tcPr>
          <w:p>
            <w:pPr>
              <w:spacing w:after="40"/>
            </w:pPr>
            <w:r>
              <w:rPr>
                <w:rFonts w:ascii="Calibri" w:hAnsi="Calibri"/>
                <w:b w:val="0"/>
                <w:sz w:val="19"/>
              </w:rPr>
              <w:t>Evidence view shows activity, age and coverage separately; duplicate events do not duplicate evidence.</w:t>
            </w:r>
          </w:p>
        </w:tc>
      </w:tr>
    </w:tbl>
    <w:p>
      <w:pPr>
        <w:spacing w:after="40"/>
      </w:pPr>
    </w:p>
    <w:p>
      <w:pPr>
        <w:pStyle w:val="Heading1"/>
      </w:pPr>
      <w:r>
        <w:rPr>
          <w:color w:val="000000"/>
        </w:rPr>
        <w:t>4.2 Resident actions and exception workflows</w:t>
      </w:r>
    </w:p>
    <w:p>
      <w:pPr>
        <w:pStyle w:val="Heading1"/>
      </w:pPr>
      <w:r>
        <w:rPr>
          <w:color w:val="000000"/>
        </w:rPr>
        <w:t>4.2 Resident actions and exception workflows</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large “I’m OK” action, confirm it locally within 500 ms, persist a separate self-check-in event and notify the caregiver view.</w:t>
            </w:r>
          </w:p>
        </w:tc>
        <w:tc>
          <w:tcPr>
            <w:tcW w:type="dxa" w:w="3355"/>
            <w:vAlign w:val="top"/>
            <w:tcMar>
              <w:top w:w="80" w:type="dxa"/>
              <w:bottom w:w="80" w:type="dxa"/>
              <w:start w:w="120" w:type="dxa"/>
              <w:end w:w="120" w:type="dxa"/>
            </w:tcMar>
          </w:tcPr>
          <w:p>
            <w:pPr>
              <w:spacing w:after="40"/>
            </w:pPr>
            <w:r>
              <w:rPr>
                <w:rFonts w:ascii="Calibri" w:hAnsi="Calibri"/>
                <w:b w:val="0"/>
                <w:sz w:val="19"/>
              </w:rPr>
              <w:t>A valid press is durable and independently visible from motion evidence.</w:t>
            </w:r>
          </w:p>
        </w:tc>
      </w:tr>
      <w:tr>
        <w:tc>
          <w:tcPr>
            <w:tcW w:type="dxa" w:w="1036"/>
            <w:vAlign w:val="top"/>
            <w:tcMar>
              <w:top w:w="80" w:type="dxa"/>
              <w:bottom w:w="80" w:type="dxa"/>
              <w:start w:w="120" w:type="dxa"/>
              <w:end w:w="120" w:type="dxa"/>
            </w:tcMar>
          </w:tcPr>
          <w:p>
            <w:pPr>
              <w:spacing w:after="40"/>
            </w:pPr>
            <w:r>
              <w:rPr>
                <w:rFonts w:ascii="Calibri" w:hAnsi="Calibri"/>
                <w:b w:val="0"/>
                <w:sz w:val="19"/>
              </w:rPr>
              <w:t>F07</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provide a distinct “Call family” action that creates a high-priority incident independent of routine windows and modes, with local confirmation and idempotency.</w:t>
            </w:r>
          </w:p>
        </w:tc>
        <w:tc>
          <w:tcPr>
            <w:tcW w:type="dxa" w:w="3355"/>
            <w:vAlign w:val="top"/>
            <w:tcMar>
              <w:top w:w="80" w:type="dxa"/>
              <w:bottom w:w="80" w:type="dxa"/>
              <w:start w:w="120" w:type="dxa"/>
              <w:end w:w="120" w:type="dxa"/>
            </w:tcMar>
          </w:tcPr>
          <w:p>
            <w:pPr>
              <w:spacing w:after="40"/>
            </w:pPr>
            <w:r>
              <w:rPr>
                <w:rFonts w:ascii="Calibri" w:hAnsi="Calibri"/>
                <w:b w:val="0"/>
                <w:sz w:val="19"/>
              </w:rPr>
              <w:t>One press creates at most one open incident for the same idempotency key.</w:t>
            </w:r>
          </w:p>
        </w:tc>
      </w:tr>
      <w:tr>
        <w:tc>
          <w:tcPr>
            <w:tcW w:type="dxa" w:w="1036"/>
            <w:vAlign w:val="top"/>
            <w:tcMar>
              <w:top w:w="80" w:type="dxa"/>
              <w:bottom w:w="80" w:type="dxa"/>
              <w:start w:w="120" w:type="dxa"/>
              <w:end w:w="120" w:type="dxa"/>
            </w:tcMar>
          </w:tcPr>
          <w:p>
            <w:pPr>
              <w:spacing w:after="40"/>
            </w:pPr>
            <w:r>
              <w:rPr>
                <w:rFonts w:ascii="Calibri" w:hAnsi="Calibri"/>
                <w:b w:val="0"/>
                <w:sz w:val="19"/>
              </w:rPr>
              <w:t>F08</w:t>
            </w:r>
          </w:p>
        </w:tc>
        <w:tc>
          <w:tcPr>
            <w:tcW w:type="dxa" w:w="4968"/>
            <w:vAlign w:val="top"/>
            <w:tcMar>
              <w:top w:w="80" w:type="dxa"/>
              <w:bottom w:w="80" w:type="dxa"/>
              <w:start w:w="120" w:type="dxa"/>
              <w:end w:w="120" w:type="dxa"/>
            </w:tcMar>
          </w:tcPr>
          <w:p>
            <w:pPr>
              <w:spacing w:after="40"/>
            </w:pPr>
            <w:r>
              <w:rPr>
                <w:rFonts w:ascii="Calibri" w:hAnsi="Calibri"/>
                <w:b w:val="0"/>
                <w:sz w:val="19"/>
              </w:rPr>
              <w:t>At the routine deadline, the hub shall distinguish covered absence from unknown observation. For trusted time and eligible coverage, it shall create one missing-activity intent; otherwise it shall create a coverage/service issue without claiming resident risk.</w:t>
            </w:r>
          </w:p>
        </w:tc>
        <w:tc>
          <w:tcPr>
            <w:tcW w:type="dxa" w:w="3355"/>
            <w:vAlign w:val="top"/>
            <w:tcMar>
              <w:top w:w="80" w:type="dxa"/>
              <w:bottom w:w="80" w:type="dxa"/>
              <w:start w:w="120" w:type="dxa"/>
              <w:end w:w="120" w:type="dxa"/>
            </w:tcMar>
          </w:tcPr>
          <w:p>
            <w:pPr>
              <w:spacing w:after="40"/>
            </w:pPr>
            <w:r>
              <w:rPr>
                <w:rFonts w:ascii="Calibri" w:hAnsi="Calibri"/>
                <w:b w:val="0"/>
                <w:sz w:val="19"/>
              </w:rPr>
              <w:t>Boundary tests cover time uncertainty, node lease gaps, privacy mode, hub offline and duplicate deadlines.</w:t>
            </w:r>
          </w:p>
        </w:tc>
      </w:tr>
      <w:tr>
        <w:tc>
          <w:tcPr>
            <w:tcW w:type="dxa" w:w="1036"/>
            <w:vAlign w:val="top"/>
            <w:tcMar>
              <w:top w:w="80" w:type="dxa"/>
              <w:bottom w:w="80" w:type="dxa"/>
              <w:start w:w="120" w:type="dxa"/>
              <w:end w:w="120" w:type="dxa"/>
            </w:tcMar>
          </w:tcPr>
          <w:p>
            <w:pPr>
              <w:spacing w:after="40"/>
            </w:pPr>
            <w:r>
              <w:rPr>
                <w:rFonts w:ascii="Calibri" w:hAnsi="Calibri"/>
                <w:b w:val="0"/>
                <w:sz w:val="19"/>
              </w:rPr>
              <w:t>F09</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record configured main-door open/close edges and known state; optional quiet-hour notices shall be opt-in, local-time bounded and explanatory.</w:t>
            </w:r>
          </w:p>
        </w:tc>
        <w:tc>
          <w:tcPr>
            <w:tcW w:type="dxa" w:w="3355"/>
            <w:vAlign w:val="top"/>
            <w:tcMar>
              <w:top w:w="80" w:type="dxa"/>
              <w:bottom w:w="80" w:type="dxa"/>
              <w:start w:w="120" w:type="dxa"/>
              <w:end w:w="120" w:type="dxa"/>
            </w:tcMar>
          </w:tcPr>
          <w:p>
            <w:pPr>
              <w:spacing w:after="40"/>
            </w:pPr>
            <w:r>
              <w:rPr>
                <w:rFonts w:ascii="Calibri" w:hAnsi="Calibri"/>
                <w:b w:val="0"/>
                <w:sz w:val="19"/>
              </w:rPr>
              <w:t>Door history is separate from routine evidence; notices are idempotent and suppressible.</w:t>
            </w:r>
          </w:p>
        </w:tc>
      </w:tr>
      <w:tr>
        <w:tc>
          <w:tcPr>
            <w:tcW w:type="dxa" w:w="1036"/>
            <w:vAlign w:val="top"/>
            <w:tcMar>
              <w:top w:w="80" w:type="dxa"/>
              <w:bottom w:w="80" w:type="dxa"/>
              <w:start w:w="120" w:type="dxa"/>
              <w:end w:w="120" w:type="dxa"/>
            </w:tcMar>
          </w:tcPr>
          <w:p>
            <w:pPr>
              <w:spacing w:after="40"/>
            </w:pPr>
            <w:r>
              <w:rPr>
                <w:rFonts w:ascii="Calibri" w:hAnsi="Calibri"/>
                <w:b w:val="0"/>
                <w:sz w:val="19"/>
              </w:rPr>
              <w:t>F10</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HOME/ACTIVE, AWAY, PAUSED, VISITOR and PRIVACY states with actor, reason, effective time and version.</w:t>
            </w:r>
          </w:p>
        </w:tc>
        <w:tc>
          <w:tcPr>
            <w:tcW w:type="dxa" w:w="3355"/>
            <w:vAlign w:val="top"/>
            <w:tcMar>
              <w:top w:w="80" w:type="dxa"/>
              <w:bottom w:w="80" w:type="dxa"/>
              <w:start w:w="120" w:type="dxa"/>
              <w:end w:w="120" w:type="dxa"/>
            </w:tcMar>
          </w:tcPr>
          <w:p>
            <w:pPr>
              <w:spacing w:after="40"/>
            </w:pPr>
            <w:r>
              <w:rPr>
                <w:rFonts w:ascii="Calibri" w:hAnsi="Calibri"/>
                <w:b w:val="0"/>
                <w:sz w:val="19"/>
              </w:rPr>
              <w:t>AWAY/PAUSED suppress routine absence; PRIVACY suppresses passive observation and is visible to caregivers.</w:t>
            </w:r>
          </w:p>
        </w:tc>
      </w:tr>
    </w:tbl>
    <w:p>
      <w:pPr>
        <w:spacing w:after="40"/>
      </w:pPr>
    </w:p>
    <w:p>
      <w:pPr>
        <w:pStyle w:val="Heading1"/>
      </w:pPr>
      <w:r>
        <w:rPr>
          <w:color w:val="000000"/>
        </w:rPr>
        <w:t>4.3 Caregiver experience and routing</w:t>
      </w:r>
    </w:p>
    <w:p>
      <w:pPr>
        <w:pStyle w:val="Heading1"/>
      </w:pPr>
      <w:r>
        <w:rPr>
          <w:color w:val="000000"/>
        </w:rPr>
        <w:t>4.3 Caregiver experience and routing</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F11</w:t>
            </w:r>
          </w:p>
        </w:tc>
        <w:tc>
          <w:tcPr>
            <w:tcW w:type="dxa" w:w="4968"/>
            <w:vAlign w:val="top"/>
            <w:tcMar>
              <w:top w:w="80" w:type="dxa"/>
              <w:bottom w:w="80" w:type="dxa"/>
              <w:start w:w="120" w:type="dxa"/>
              <w:end w:w="120" w:type="dxa"/>
            </w:tcMar>
          </w:tcPr>
          <w:p>
            <w:pPr>
              <w:spacing w:after="40"/>
            </w:pPr>
            <w:r>
              <w:rPr>
                <w:rFonts w:ascii="Calibri" w:hAnsi="Calibri"/>
                <w:b w:val="0"/>
                <w:sz w:val="19"/>
              </w:rPr>
              <w:t>The caregiver home shall show last activity, last self-check-in, observation/system coverage and open incidents as separate areas with local time and data age.</w:t>
            </w:r>
          </w:p>
        </w:tc>
        <w:tc>
          <w:tcPr>
            <w:tcW w:type="dxa" w:w="3355"/>
            <w:vAlign w:val="top"/>
            <w:tcMar>
              <w:top w:w="80" w:type="dxa"/>
              <w:bottom w:w="80" w:type="dxa"/>
              <w:start w:w="120" w:type="dxa"/>
              <w:end w:w="120" w:type="dxa"/>
            </w:tcMar>
          </w:tcPr>
          <w:p>
            <w:pPr>
              <w:spacing w:after="40"/>
            </w:pPr>
            <w:r>
              <w:rPr>
                <w:rFonts w:ascii="Calibri" w:hAnsi="Calibri"/>
                <w:b w:val="0"/>
                <w:sz w:val="19"/>
              </w:rPr>
              <w:t>Unavailable data is labelled unavailable/stale, never shown as positive wellbeing.</w:t>
            </w:r>
          </w:p>
        </w:tc>
      </w:tr>
      <w:tr>
        <w:tc>
          <w:tcPr>
            <w:tcW w:type="dxa" w:w="1036"/>
            <w:vAlign w:val="top"/>
            <w:tcMar>
              <w:top w:w="80" w:type="dxa"/>
              <w:bottom w:w="80" w:type="dxa"/>
              <w:start w:w="120" w:type="dxa"/>
              <w:end w:w="120" w:type="dxa"/>
            </w:tcMar>
          </w:tcPr>
          <w:p>
            <w:pPr>
              <w:spacing w:after="40"/>
            </w:pPr>
            <w:r>
              <w:rPr>
                <w:rFonts w:ascii="Calibri" w:hAnsi="Calibri"/>
                <w:b w:val="0"/>
                <w:sz w:val="19"/>
              </w:rPr>
              <w:t>F12</w:t>
            </w:r>
          </w:p>
        </w:tc>
        <w:tc>
          <w:tcPr>
            <w:tcW w:type="dxa" w:w="4968"/>
            <w:vAlign w:val="top"/>
            <w:tcMar>
              <w:top w:w="80" w:type="dxa"/>
              <w:bottom w:w="80" w:type="dxa"/>
              <w:start w:w="120" w:type="dxa"/>
              <w:end w:w="120" w:type="dxa"/>
            </w:tcMar>
          </w:tcPr>
          <w:p>
            <w:pPr>
              <w:spacing w:after="40"/>
            </w:pPr>
            <w:r>
              <w:rPr>
                <w:rFonts w:ascii="Calibri" w:hAnsi="Calibri"/>
                <w:b w:val="0"/>
                <w:sz w:val="19"/>
              </w:rPr>
              <w:t>A caregiver shall be able to claim, acknowledge, resolve, mark unable to reach and ask the backup caregiver; actions shall record actor and time and use a lease to prevent conflicting ownership.</w:t>
            </w:r>
          </w:p>
        </w:tc>
        <w:tc>
          <w:tcPr>
            <w:tcW w:type="dxa" w:w="3355"/>
            <w:vAlign w:val="top"/>
            <w:tcMar>
              <w:top w:w="80" w:type="dxa"/>
              <w:bottom w:w="80" w:type="dxa"/>
              <w:start w:w="120" w:type="dxa"/>
              <w:end w:w="120" w:type="dxa"/>
            </w:tcMar>
          </w:tcPr>
          <w:p>
            <w:pPr>
              <w:spacing w:after="40"/>
            </w:pPr>
            <w:r>
              <w:rPr>
                <w:rFonts w:ascii="Calibri" w:hAnsi="Calibri"/>
                <w:b w:val="0"/>
                <w:sz w:val="19"/>
              </w:rPr>
              <w:t>Concurrent caregiver tests permit one active owner and preserve the audit trail.</w:t>
            </w:r>
          </w:p>
        </w:tc>
      </w:tr>
      <w:tr>
        <w:tc>
          <w:tcPr>
            <w:tcW w:type="dxa" w:w="1036"/>
            <w:vAlign w:val="top"/>
            <w:tcMar>
              <w:top w:w="80" w:type="dxa"/>
              <w:bottom w:w="80" w:type="dxa"/>
              <w:start w:w="120" w:type="dxa"/>
              <w:end w:w="120" w:type="dxa"/>
            </w:tcMar>
          </w:tcPr>
          <w:p>
            <w:pPr>
              <w:spacing w:after="40"/>
            </w:pPr>
            <w:r>
              <w:rPr>
                <w:rFonts w:ascii="Calibri" w:hAnsi="Calibri"/>
                <w:b w:val="0"/>
                <w:sz w:val="19"/>
              </w:rPr>
              <w:t>F13</w:t>
            </w:r>
          </w:p>
        </w:tc>
        <w:tc>
          <w:tcPr>
            <w:tcW w:type="dxa" w:w="4968"/>
            <w:vAlign w:val="top"/>
            <w:tcMar>
              <w:top w:w="80" w:type="dxa"/>
              <w:bottom w:w="80" w:type="dxa"/>
              <w:start w:w="120" w:type="dxa"/>
              <w:end w:w="120" w:type="dxa"/>
            </w:tcMar>
          </w:tcPr>
          <w:p>
            <w:pPr>
              <w:spacing w:after="40"/>
            </w:pPr>
            <w:r>
              <w:rPr>
                <w:rFonts w:ascii="Calibri" w:hAnsi="Calibri"/>
                <w:b w:val="0"/>
                <w:sz w:val="19"/>
              </w:rPr>
              <w:t>A new request shall route to the primary first and to the consenting backup after a configurable default of five minutes without human acknowledgement. Delivery attempts and failures shall be visible.</w:t>
            </w:r>
          </w:p>
        </w:tc>
        <w:tc>
          <w:tcPr>
            <w:tcW w:type="dxa" w:w="3355"/>
            <w:vAlign w:val="top"/>
            <w:tcMar>
              <w:top w:w="80" w:type="dxa"/>
              <w:bottom w:w="80" w:type="dxa"/>
              <w:start w:w="120" w:type="dxa"/>
              <w:end w:w="120" w:type="dxa"/>
            </w:tcMar>
          </w:tcPr>
          <w:p>
            <w:pPr>
              <w:spacing w:after="40"/>
            </w:pPr>
            <w:r>
              <w:rPr>
                <w:rFonts w:ascii="Calibri" w:hAnsi="Calibri"/>
                <w:b w:val="0"/>
                <w:sz w:val="19"/>
              </w:rPr>
              <w:t>Provider failure does not silently mark a request delivered; fallback state is explicit.</w:t>
            </w:r>
          </w:p>
        </w:tc>
      </w:tr>
      <w:tr>
        <w:tc>
          <w:tcPr>
            <w:tcW w:type="dxa" w:w="1036"/>
            <w:vAlign w:val="top"/>
            <w:tcMar>
              <w:top w:w="80" w:type="dxa"/>
              <w:bottom w:w="80" w:type="dxa"/>
              <w:start w:w="120" w:type="dxa"/>
              <w:end w:w="120" w:type="dxa"/>
            </w:tcMar>
          </w:tcPr>
          <w:p>
            <w:pPr>
              <w:spacing w:after="40"/>
            </w:pPr>
            <w:r>
              <w:rPr>
                <w:rFonts w:ascii="Calibri" w:hAnsi="Calibri"/>
                <w:b w:val="0"/>
                <w:sz w:val="19"/>
              </w:rPr>
              <w:t>F14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support an opt-in single daily morning summary after the routine grace period, containing activity, check-in, coverage limits, modes and unresolved incidents.</w:t>
            </w:r>
          </w:p>
        </w:tc>
        <w:tc>
          <w:tcPr>
            <w:tcW w:type="dxa" w:w="3355"/>
            <w:vAlign w:val="top"/>
            <w:tcMar>
              <w:top w:w="80" w:type="dxa"/>
              <w:bottom w:w="80" w:type="dxa"/>
              <w:start w:w="120" w:type="dxa"/>
              <w:end w:w="120" w:type="dxa"/>
            </w:tcMar>
          </w:tcPr>
          <w:p>
            <w:pPr>
              <w:spacing w:after="40"/>
            </w:pPr>
            <w:r>
              <w:rPr>
                <w:rFonts w:ascii="Calibri" w:hAnsi="Calibri"/>
                <w:b w:val="0"/>
                <w:sz w:val="19"/>
              </w:rPr>
              <w:t>Default is off; one summary per local day; no summary is sent when consent is absent.</w:t>
            </w:r>
          </w:p>
        </w:tc>
      </w:tr>
    </w:tbl>
    <w:p>
      <w:pPr>
        <w:spacing w:after="40"/>
      </w:pPr>
    </w:p>
    <w:p>
      <w:pPr>
        <w:pStyle w:val="Heading1"/>
      </w:pPr>
      <w:r>
        <w:rPr>
          <w:color w:val="000000"/>
        </w:rPr>
        <w:t>5. Engineering and platform requirements</w:t>
      </w:r>
    </w:p>
    <w:p>
      <w:pPr>
        <w:pStyle w:val="Heading1"/>
      </w:pPr>
      <w:r>
        <w:rPr>
          <w:color w:val="000000"/>
        </w:rPr>
        <w:t>5.1 Node, hub and transport</w:t>
      </w:r>
    </w:p>
    <w:tbl>
      <w:tblPr>
        <w:tblW w:type="dxa" w:w="9360"/>
        <w:jc w:val="left"/>
        <w:tblLayout w:type="fixed"/>
        <w:tblLook w:firstColumn="1" w:firstRow="1" w:lastColumn="0" w:lastRow="0" w:noHBand="0" w:noVBand="1" w:val="04A0"/>
        <w:tblInd w:w="120" w:type="dxa"/>
      </w:tblPr>
      <w:tblGrid>
        <w:gridCol w:w="1036"/>
        <w:gridCol w:w="4968"/>
        <w:gridCol w:w="3355"/>
      </w:tblGrid>
      <w:tr>
        <w:tc>
          <w:tcPr>
            <w:tcW w:type="dxa" w:w="1036"/>
            <w:vAlign w:val="top"/>
            <w:shd w:fill="E8EEF5"/>
            <w:tcMar>
              <w:top w:w="80" w:type="dxa"/>
              <w:bottom w:w="80" w:type="dxa"/>
              <w:start w:w="120" w:type="dxa"/>
              <w:end w:w="120" w:type="dxa"/>
            </w:tcMar>
          </w:tcPr>
          <w:p>
            <w:pPr>
              <w:spacing w:after="40"/>
            </w:pPr>
            <w:r>
              <w:rPr>
                <w:rFonts w:ascii="Calibri" w:hAnsi="Calibri"/>
                <w:b/>
                <w:sz w:val="19"/>
              </w:rPr>
              <w:t>ID</w:t>
            </w:r>
          </w:p>
        </w:tc>
        <w:tc>
          <w:tcPr>
            <w:tcW w:type="dxa" w:w="4968"/>
            <w:vAlign w:val="top"/>
            <w:shd w:fill="E8EEF5"/>
            <w:tcMar>
              <w:top w:w="80" w:type="dxa"/>
              <w:bottom w:w="80" w:type="dxa"/>
              <w:start w:w="120" w:type="dxa"/>
              <w:end w:w="120" w:type="dxa"/>
            </w:tcMar>
          </w:tcPr>
          <w:p>
            <w:pPr>
              <w:spacing w:after="40"/>
            </w:pPr>
            <w:r>
              <w:rPr>
                <w:rFonts w:ascii="Calibri" w:hAnsi="Calibri"/>
                <w:b/>
                <w:sz w:val="19"/>
              </w:rPr>
              <w:t>Software requirement</w:t>
            </w:r>
          </w:p>
        </w:tc>
        <w:tc>
          <w:tcPr>
            <w:tcW w:type="dxa" w:w="3355"/>
            <w:vAlign w:val="top"/>
            <w:shd w:fill="E8EEF5"/>
            <w:tcMar>
              <w:top w:w="80" w:type="dxa"/>
              <w:bottom w:w="80" w:type="dxa"/>
              <w:start w:w="120" w:type="dxa"/>
              <w:end w:w="120" w:type="dxa"/>
            </w:tcMar>
          </w:tcPr>
          <w:p>
            <w:pPr>
              <w:spacing w:after="40"/>
            </w:pPr>
            <w:r>
              <w:rPr>
                <w:rFonts w:ascii="Calibri" w:hAnsi="Calibri"/>
                <w:b/>
                <w:sz w:val="19"/>
              </w:rPr>
              <w:t>Acceptance / verification</w:t>
            </w:r>
          </w:p>
        </w:tc>
      </w:tr>
      <w:tr>
        <w:tc>
          <w:tcPr>
            <w:tcW w:type="dxa" w:w="1036"/>
            <w:vAlign w:val="top"/>
            <w:tcMar>
              <w:top w:w="80" w:type="dxa"/>
              <w:bottom w:w="80" w:type="dxa"/>
              <w:start w:w="120" w:type="dxa"/>
              <w:end w:w="120" w:type="dxa"/>
            </w:tcMar>
          </w:tcPr>
          <w:p>
            <w:pPr>
              <w:spacing w:after="40"/>
            </w:pPr>
            <w:r>
              <w:rPr>
                <w:rFonts w:ascii="Calibri" w:hAnsi="Calibri"/>
                <w:b w:val="0"/>
                <w:sz w:val="19"/>
              </w:rPr>
              <w:t>E01</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report per-node heartbeat age, firmware, reset reason, battery voltage, sensor availability and applied configuration; hub power/source health shall be separate.</w:t>
            </w:r>
          </w:p>
        </w:tc>
        <w:tc>
          <w:tcPr>
            <w:tcW w:type="dxa" w:w="3355"/>
            <w:vAlign w:val="top"/>
            <w:tcMar>
              <w:top w:w="80" w:type="dxa"/>
              <w:bottom w:w="80" w:type="dxa"/>
              <w:start w:w="120" w:type="dxa"/>
              <w:end w:w="120" w:type="dxa"/>
            </w:tcMar>
          </w:tcPr>
          <w:p>
            <w:pPr>
              <w:spacing w:after="40"/>
            </w:pPr>
            <w:r>
              <w:rPr>
                <w:rFonts w:ascii="Calibri" w:hAnsi="Calibri"/>
                <w:b w:val="0"/>
                <w:sz w:val="19"/>
              </w:rPr>
              <w:t>Dashboard and support export expose health fields with freshness.</w:t>
            </w:r>
          </w:p>
        </w:tc>
      </w:tr>
      <w:tr>
        <w:tc>
          <w:tcPr>
            <w:tcW w:type="dxa" w:w="1036"/>
            <w:vAlign w:val="top"/>
            <w:tcMar>
              <w:top w:w="80" w:type="dxa"/>
              <w:bottom w:w="80" w:type="dxa"/>
              <w:start w:w="120" w:type="dxa"/>
              <w:end w:w="120" w:type="dxa"/>
            </w:tcMar>
          </w:tcPr>
          <w:p>
            <w:pPr>
              <w:spacing w:after="40"/>
            </w:pPr>
            <w:r>
              <w:rPr>
                <w:rFonts w:ascii="Calibri" w:hAnsi="Calibri"/>
                <w:b w:val="0"/>
                <w:sz w:val="19"/>
              </w:rPr>
              <w:t>E02</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use unique source/session/sequence identifiers, authenticated encrypted transport, bounded retry and explicit ACK classes. Business events shall persist before transmission.</w:t>
            </w:r>
          </w:p>
        </w:tc>
        <w:tc>
          <w:tcPr>
            <w:tcW w:type="dxa" w:w="3355"/>
            <w:vAlign w:val="top"/>
            <w:tcMar>
              <w:top w:w="80" w:type="dxa"/>
              <w:bottom w:w="80" w:type="dxa"/>
              <w:start w:w="120" w:type="dxa"/>
              <w:end w:w="120" w:type="dxa"/>
            </w:tcMar>
          </w:tcPr>
          <w:p>
            <w:pPr>
              <w:spacing w:after="40"/>
            </w:pPr>
            <w:r>
              <w:rPr>
                <w:rFonts w:ascii="Calibri" w:hAnsi="Calibri"/>
                <w:b w:val="0"/>
                <w:sz w:val="19"/>
              </w:rPr>
              <w:t>Duplicate, replay, retry and reboot tests preserve one logical event.</w:t>
            </w:r>
          </w:p>
        </w:tc>
      </w:tr>
      <w:tr>
        <w:tc>
          <w:tcPr>
            <w:tcW w:type="dxa" w:w="1036"/>
            <w:vAlign w:val="top"/>
            <w:tcMar>
              <w:top w:w="80" w:type="dxa"/>
              <w:bottom w:w="80" w:type="dxa"/>
              <w:start w:w="120" w:type="dxa"/>
              <w:end w:w="120" w:type="dxa"/>
            </w:tcMar>
          </w:tcPr>
          <w:p>
            <w:pPr>
              <w:spacing w:after="40"/>
            </w:pPr>
            <w:r>
              <w:rPr>
                <w:rFonts w:ascii="Calibri" w:hAnsi="Calibri"/>
                <w:b w:val="0"/>
                <w:sz w:val="19"/>
              </w:rPr>
              <w:t>E03</w:t>
            </w:r>
          </w:p>
        </w:tc>
        <w:tc>
          <w:tcPr>
            <w:tcW w:type="dxa" w:w="4968"/>
            <w:vAlign w:val="top"/>
            <w:tcMar>
              <w:top w:w="80" w:type="dxa"/>
              <w:bottom w:w="80" w:type="dxa"/>
              <w:start w:w="120" w:type="dxa"/>
              <w:end w:w="120" w:type="dxa"/>
            </w:tcMar>
          </w:tcPr>
          <w:p>
            <w:pPr>
              <w:spacing w:after="40"/>
            </w:pPr>
            <w:r>
              <w:rPr>
                <w:rFonts w:ascii="Calibri" w:hAnsi="Calibri"/>
                <w:b w:val="0"/>
                <w:sz w:val="19"/>
              </w:rPr>
              <w:t>While hub power, time and configuration remain valid, local sensing, routine evaluation and resident actions shall continue during WAN failure; pending intents shall replay after reconnection.</w:t>
            </w:r>
          </w:p>
        </w:tc>
        <w:tc>
          <w:tcPr>
            <w:tcW w:type="dxa" w:w="3355"/>
            <w:vAlign w:val="top"/>
            <w:tcMar>
              <w:top w:w="80" w:type="dxa"/>
              <w:bottom w:w="80" w:type="dxa"/>
              <w:start w:w="120" w:type="dxa"/>
              <w:end w:w="120" w:type="dxa"/>
            </w:tcMar>
          </w:tcPr>
          <w:p>
            <w:pPr>
              <w:spacing w:after="40"/>
            </w:pPr>
            <w:r>
              <w:rPr>
                <w:rFonts w:ascii="Calibri" w:hAnsi="Calibri"/>
                <w:b w:val="0"/>
                <w:sz w:val="19"/>
              </w:rPr>
              <w:t>WAN cut tests show local decision and later idempotent backend effects under retries.</w:t>
            </w:r>
          </w:p>
        </w:tc>
      </w:tr>
      <w:tr>
        <w:tc>
          <w:tcPr>
            <w:tcW w:type="dxa" w:w="1036"/>
            <w:vAlign w:val="top"/>
            <w:tcMar>
              <w:top w:w="80" w:type="dxa"/>
              <w:bottom w:w="80" w:type="dxa"/>
              <w:start w:w="120" w:type="dxa"/>
              <w:end w:w="120" w:type="dxa"/>
            </w:tcMar>
          </w:tcPr>
          <w:p>
            <w:pPr>
              <w:spacing w:after="40"/>
            </w:pPr>
            <w:r>
              <w:rPr>
                <w:rFonts w:ascii="Calibri" w:hAnsi="Calibri"/>
                <w:b w:val="0"/>
                <w:sz w:val="19"/>
              </w:rPr>
              <w:t>E04</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track node↔hub, hub↔backend, notification route and phone↔backend reachability independently, with freshness and coverage states.</w:t>
            </w:r>
          </w:p>
        </w:tc>
        <w:tc>
          <w:tcPr>
            <w:tcW w:type="dxa" w:w="3355"/>
            <w:vAlign w:val="top"/>
            <w:tcMar>
              <w:top w:w="80" w:type="dxa"/>
              <w:bottom w:w="80" w:type="dxa"/>
              <w:start w:w="120" w:type="dxa"/>
              <w:end w:w="120" w:type="dxa"/>
            </w:tcMar>
          </w:tcPr>
          <w:p>
            <w:pPr>
              <w:spacing w:after="40"/>
            </w:pPr>
            <w:r>
              <w:rPr>
                <w:rFonts w:ascii="Calibri" w:hAnsi="Calibri"/>
                <w:b w:val="0"/>
                <w:sz w:val="19"/>
              </w:rPr>
              <w:t>A single broken link cannot be reported as general resident risk.</w:t>
            </w:r>
          </w:p>
        </w:tc>
      </w:tr>
      <w:tr>
        <w:tc>
          <w:tcPr>
            <w:tcW w:type="dxa" w:w="1036"/>
            <w:vAlign w:val="top"/>
            <w:tcMar>
              <w:top w:w="80" w:type="dxa"/>
              <w:bottom w:w="80" w:type="dxa"/>
              <w:start w:w="120" w:type="dxa"/>
              <w:end w:w="120" w:type="dxa"/>
            </w:tcMar>
          </w:tcPr>
          <w:p>
            <w:pPr>
              <w:spacing w:after="40"/>
            </w:pPr>
            <w:r>
              <w:rPr>
                <w:rFonts w:ascii="Calibri" w:hAnsi="Calibri"/>
                <w:b w:val="0"/>
                <w:sz w:val="19"/>
              </w:rPr>
              <w:t>E05</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durably store configuration, consent/mode versions, business events, active-window state and unsent intents with bounded overflow behaviour.</w:t>
            </w:r>
          </w:p>
        </w:tc>
        <w:tc>
          <w:tcPr>
            <w:tcW w:type="dxa" w:w="3355"/>
            <w:vAlign w:val="top"/>
            <w:tcMar>
              <w:top w:w="80" w:type="dxa"/>
              <w:bottom w:w="80" w:type="dxa"/>
              <w:start w:w="120" w:type="dxa"/>
              <w:end w:w="120" w:type="dxa"/>
            </w:tcMar>
          </w:tcPr>
          <w:p>
            <w:pPr>
              <w:spacing w:after="40"/>
            </w:pPr>
            <w:r>
              <w:rPr>
                <w:rFonts w:ascii="Calibri" w:hAnsi="Calibri"/>
                <w:b w:val="0"/>
                <w:sz w:val="19"/>
              </w:rPr>
              <w:t>Power-loss/restart tests preserve ordering and surface capacity exhaustion.</w:t>
            </w:r>
          </w:p>
        </w:tc>
      </w:tr>
      <w:tr>
        <w:tc>
          <w:tcPr>
            <w:tcW w:type="dxa" w:w="1036"/>
            <w:vAlign w:val="top"/>
            <w:tcMar>
              <w:top w:w="80" w:type="dxa"/>
              <w:bottom w:w="80" w:type="dxa"/>
              <w:start w:w="120" w:type="dxa"/>
              <w:end w:w="120" w:type="dxa"/>
            </w:tcMar>
          </w:tcPr>
          <w:p>
            <w:pPr>
              <w:spacing w:after="40"/>
            </w:pPr>
            <w:r>
              <w:rPr>
                <w:rFonts w:ascii="Calibri" w:hAnsi="Calibri"/>
                <w:b w:val="0"/>
                <w:sz w:val="19"/>
              </w:rPr>
              <w:t>E06</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represent trusted wall time, monotonic elapsed time and uncertainty separately, and apply explicit boundary rules to routine decisions.</w:t>
            </w:r>
          </w:p>
        </w:tc>
        <w:tc>
          <w:tcPr>
            <w:tcW w:type="dxa" w:w="3355"/>
            <w:vAlign w:val="top"/>
            <w:tcMar>
              <w:top w:w="80" w:type="dxa"/>
              <w:bottom w:w="80" w:type="dxa"/>
              <w:start w:w="120" w:type="dxa"/>
              <w:end w:w="120" w:type="dxa"/>
            </w:tcMar>
          </w:tcPr>
          <w:p>
            <w:pPr>
              <w:spacing w:after="40"/>
            </w:pPr>
            <w:r>
              <w:rPr>
                <w:rFonts w:ascii="Calibri" w:hAnsi="Calibri"/>
                <w:b w:val="0"/>
                <w:sz w:val="19"/>
              </w:rPr>
              <w:t>Clock recovery and DST/time-zone tests produce deterministic outcomes.</w:t>
            </w:r>
          </w:p>
        </w:tc>
      </w:tr>
      <w:tr>
        <w:tc>
          <w:tcPr>
            <w:tcW w:type="dxa" w:w="1036"/>
            <w:vAlign w:val="top"/>
            <w:tcMar>
              <w:top w:w="80" w:type="dxa"/>
              <w:bottom w:w="80" w:type="dxa"/>
              <w:start w:w="120" w:type="dxa"/>
              <w:end w:w="120" w:type="dxa"/>
            </w:tcMar>
          </w:tcPr>
          <w:p>
            <w:pPr>
              <w:spacing w:after="40"/>
            </w:pPr>
            <w:r>
              <w:rPr>
                <w:rFonts w:ascii="Calibri" w:hAnsi="Calibri"/>
                <w:b w:val="0"/>
                <w:sz w:val="19"/>
              </w:rPr>
              <w:t>E07</w:t>
            </w:r>
          </w:p>
        </w:tc>
        <w:tc>
          <w:tcPr>
            <w:tcW w:type="dxa" w:w="4968"/>
            <w:vAlign w:val="top"/>
            <w:tcMar>
              <w:top w:w="80" w:type="dxa"/>
              <w:bottom w:w="80" w:type="dxa"/>
              <w:start w:w="120" w:type="dxa"/>
              <w:end w:w="120" w:type="dxa"/>
            </w:tcMar>
          </w:tcPr>
          <w:p>
            <w:pPr>
              <w:spacing w:after="40"/>
            </w:pPr>
            <w:r>
              <w:rPr>
                <w:rFonts w:ascii="Calibri" w:hAnsi="Calibri"/>
                <w:b w:val="0"/>
                <w:sz w:val="19"/>
              </w:rPr>
              <w:t>Configuration and commands shall carry IDs, schema version, target, issue time, desired/applied versions, actor and validation result; stale or wrong-target commands shall be rejected.</w:t>
            </w:r>
          </w:p>
        </w:tc>
        <w:tc>
          <w:tcPr>
            <w:tcW w:type="dxa" w:w="3355"/>
            <w:vAlign w:val="top"/>
            <w:tcMar>
              <w:top w:w="80" w:type="dxa"/>
              <w:bottom w:w="80" w:type="dxa"/>
              <w:start w:w="120" w:type="dxa"/>
              <w:end w:w="120" w:type="dxa"/>
            </w:tcMar>
          </w:tcPr>
          <w:p>
            <w:pPr>
              <w:spacing w:after="40"/>
            </w:pPr>
            <w:r>
              <w:rPr>
                <w:rFonts w:ascii="Calibri" w:hAnsi="Calibri"/>
                <w:b w:val="0"/>
                <w:sz w:val="19"/>
              </w:rPr>
              <w:t>Out-of-order, duplicate, expired and wrong-device commands are safe and auditable.</w:t>
            </w:r>
          </w:p>
        </w:tc>
      </w:tr>
      <w:tr>
        <w:tc>
          <w:tcPr>
            <w:tcW w:type="dxa" w:w="1036"/>
            <w:vAlign w:val="top"/>
            <w:tcMar>
              <w:top w:w="80" w:type="dxa"/>
              <w:bottom w:w="80" w:type="dxa"/>
              <w:start w:w="120" w:type="dxa"/>
              <w:end w:w="120" w:type="dxa"/>
            </w:tcMar>
          </w:tcPr>
          <w:p>
            <w:pPr>
              <w:spacing w:after="40"/>
            </w:pPr>
            <w:r>
              <w:rPr>
                <w:rFonts w:ascii="Calibri" w:hAnsi="Calibri"/>
                <w:b w:val="0"/>
                <w:sz w:val="19"/>
              </w:rPr>
              <w:t>E08</w:t>
            </w:r>
          </w:p>
        </w:tc>
        <w:tc>
          <w:tcPr>
            <w:tcW w:type="dxa" w:w="4968"/>
            <w:vAlign w:val="top"/>
            <w:tcMar>
              <w:top w:w="80" w:type="dxa"/>
              <w:bottom w:w="80" w:type="dxa"/>
              <w:start w:w="120" w:type="dxa"/>
              <w:end w:w="120" w:type="dxa"/>
            </w:tcMar>
          </w:tcPr>
          <w:p>
            <w:pPr>
              <w:spacing w:after="40"/>
            </w:pPr>
            <w:r>
              <w:rPr>
                <w:rFonts w:ascii="Calibri" w:hAnsi="Calibri"/>
                <w:b w:val="0"/>
                <w:sz w:val="19"/>
              </w:rPr>
              <w:t>The system shall use unique device credentials, encrypted local unicast, TLS for remote APIs, least-privilege household access and consent-aware retention.</w:t>
            </w:r>
          </w:p>
        </w:tc>
        <w:tc>
          <w:tcPr>
            <w:tcW w:type="dxa" w:w="3355"/>
            <w:vAlign w:val="top"/>
            <w:tcMar>
              <w:top w:w="80" w:type="dxa"/>
              <w:bottom w:w="80" w:type="dxa"/>
              <w:start w:w="120" w:type="dxa"/>
              <w:end w:w="120" w:type="dxa"/>
            </w:tcMar>
          </w:tcPr>
          <w:p>
            <w:pPr>
              <w:spacing w:after="40"/>
            </w:pPr>
            <w:r>
              <w:rPr>
                <w:rFonts w:ascii="Calibri" w:hAnsi="Calibri"/>
                <w:b w:val="0"/>
                <w:sz w:val="19"/>
              </w:rPr>
              <w:t>Credential rotation/revocation and tenant-isolation tests pass; no public activity endpoint exists.</w:t>
            </w:r>
          </w:p>
        </w:tc>
      </w:tr>
      <w:tr>
        <w:tc>
          <w:tcPr>
            <w:tcW w:type="dxa" w:w="1036"/>
            <w:vAlign w:val="top"/>
            <w:tcMar>
              <w:top w:w="80" w:type="dxa"/>
              <w:bottom w:w="80" w:type="dxa"/>
              <w:start w:w="120" w:type="dxa"/>
              <w:end w:w="120" w:type="dxa"/>
            </w:tcMar>
          </w:tcPr>
          <w:p>
            <w:pPr>
              <w:spacing w:after="40"/>
            </w:pPr>
            <w:r>
              <w:rPr>
                <w:rFonts w:ascii="Calibri" w:hAnsi="Calibri"/>
                <w:b w:val="0"/>
                <w:sz w:val="19"/>
              </w:rPr>
              <w:t>E09</w:t>
            </w:r>
          </w:p>
        </w:tc>
        <w:tc>
          <w:tcPr>
            <w:tcW w:type="dxa" w:w="4968"/>
            <w:vAlign w:val="top"/>
            <w:tcMar>
              <w:top w:w="80" w:type="dxa"/>
              <w:bottom w:w="80" w:type="dxa"/>
              <w:start w:w="120" w:type="dxa"/>
              <w:end w:w="120" w:type="dxa"/>
            </w:tcMar>
          </w:tcPr>
          <w:p>
            <w:pPr>
              <w:spacing w:after="40"/>
            </w:pPr>
            <w:r>
              <w:rPr>
                <w:rFonts w:ascii="Calibri" w:hAnsi="Calibri"/>
                <w:b w:val="0"/>
                <w:sz w:val="19"/>
              </w:rPr>
              <w:t>Firmware shall report version, boot health and reset reason; signed updates, watchdogs, rollback protection and recovery paths shall be supported.</w:t>
            </w:r>
          </w:p>
        </w:tc>
        <w:tc>
          <w:tcPr>
            <w:tcW w:type="dxa" w:w="3355"/>
            <w:vAlign w:val="top"/>
            <w:tcMar>
              <w:top w:w="80" w:type="dxa"/>
              <w:bottom w:w="80" w:type="dxa"/>
              <w:start w:w="120" w:type="dxa"/>
              <w:end w:w="120" w:type="dxa"/>
            </w:tcMar>
          </w:tcPr>
          <w:p>
            <w:pPr>
              <w:spacing w:after="40"/>
            </w:pPr>
            <w:r>
              <w:rPr>
                <w:rFonts w:ascii="Calibri" w:hAnsi="Calibri"/>
                <w:b w:val="0"/>
                <w:sz w:val="19"/>
              </w:rPr>
              <w:t>Unsigned/wrong-board/rollback images are rejected; watchdog recovery is visible.</w:t>
            </w:r>
          </w:p>
        </w:tc>
      </w:tr>
      <w:tr>
        <w:tc>
          <w:tcPr>
            <w:tcW w:type="dxa" w:w="1036"/>
            <w:vAlign w:val="top"/>
            <w:tcMar>
              <w:top w:w="80" w:type="dxa"/>
              <w:bottom w:w="80" w:type="dxa"/>
              <w:start w:w="120" w:type="dxa"/>
              <w:end w:w="120" w:type="dxa"/>
            </w:tcMar>
          </w:tcPr>
          <w:p>
            <w:pPr>
              <w:spacing w:after="40"/>
            </w:pPr>
            <w:r>
              <w:rPr>
                <w:rFonts w:ascii="Calibri" w:hAnsi="Calibri"/>
                <w:b w:val="0"/>
                <w:sz w:val="19"/>
              </w:rPr>
              <w:t>E10</w:t>
            </w:r>
          </w:p>
        </w:tc>
        <w:tc>
          <w:tcPr>
            <w:tcW w:type="dxa" w:w="4968"/>
            <w:vAlign w:val="top"/>
            <w:tcMar>
              <w:top w:w="80" w:type="dxa"/>
              <w:bottom w:w="80" w:type="dxa"/>
              <w:start w:w="120" w:type="dxa"/>
              <w:end w:w="120" w:type="dxa"/>
            </w:tcMar>
          </w:tcPr>
          <w:p>
            <w:pPr>
              <w:spacing w:after="40"/>
            </w:pPr>
            <w:r>
              <w:rPr>
                <w:rFonts w:ascii="Calibri" w:hAnsi="Calibri"/>
                <w:b w:val="0"/>
                <w:sz w:val="19"/>
              </w:rPr>
              <w:t>Support diagnostics shall expose versions, reset causes, freshness, lease gaps, queue watermarks, retry/error counts and notification attempts without exposing secrets or raw household payloads.</w:t>
            </w:r>
          </w:p>
        </w:tc>
        <w:tc>
          <w:tcPr>
            <w:tcW w:type="dxa" w:w="3355"/>
            <w:vAlign w:val="top"/>
            <w:tcMar>
              <w:top w:w="80" w:type="dxa"/>
              <w:bottom w:w="80" w:type="dxa"/>
              <w:start w:w="120" w:type="dxa"/>
              <w:end w:w="120" w:type="dxa"/>
            </w:tcMar>
          </w:tcPr>
          <w:p>
            <w:pPr>
              <w:spacing w:after="40"/>
            </w:pPr>
            <w:r>
              <w:rPr>
                <w:rFonts w:ascii="Calibri" w:hAnsi="Calibri"/>
                <w:b w:val="0"/>
                <w:sz w:val="19"/>
              </w:rPr>
              <w:t>Production ERROR and development TRACE profiles pass bounded-log and privacy checks.</w:t>
            </w:r>
          </w:p>
        </w:tc>
      </w:tr>
    </w:tbl>
    <w:p>
      <w:pPr>
        <w:spacing w:after="40"/>
      </w:pPr>
    </w:p>
    <w:p>
      <w:pPr>
        <w:pStyle w:val="Heading1"/>
      </w:pPr>
      <w:r>
        <w:rPr>
          <w:color w:val="000000"/>
        </w:rPr>
        <w:t>6. Data and interface requirements</w:t>
      </w:r>
    </w:p>
    <w:p>
      <w:pPr>
        <w:pStyle w:val="Heading2"/>
      </w:pPr>
      <w:r>
        <w:rPr>
          <w:color w:val="000000"/>
        </w:rPr>
        <w:t>6.1 Canonical entities</w:t>
      </w:r>
    </w:p>
    <w:tbl>
      <w:tblPr>
        <w:tblW w:type="dxa" w:w="9360"/>
        <w:jc w:val="left"/>
        <w:tblLayout w:type="fixed"/>
        <w:tblLook w:firstColumn="1" w:firstRow="1" w:lastColumn="0" w:lastRow="0" w:noHBand="0" w:noVBand="1" w:val="04A0"/>
        <w:tblInd w:w="120" w:type="dxa"/>
      </w:tblPr>
      <w:tblGrid>
        <w:gridCol w:w="1872"/>
        <w:gridCol w:w="7488"/>
      </w:tblGrid>
      <w:tr>
        <w:tc>
          <w:tcPr>
            <w:tcW w:type="dxa" w:w="1872"/>
            <w:vAlign w:val="top"/>
            <w:shd w:fill="E8EEF5"/>
            <w:tcMar>
              <w:top w:w="80" w:type="dxa"/>
              <w:bottom w:w="80" w:type="dxa"/>
              <w:start w:w="120" w:type="dxa"/>
              <w:end w:w="120" w:type="dxa"/>
            </w:tcMar>
          </w:tcPr>
          <w:p>
            <w:pPr>
              <w:spacing w:after="40"/>
            </w:pPr>
            <w:r>
              <w:rPr>
                <w:rFonts w:ascii="Calibri" w:hAnsi="Calibri"/>
                <w:b/>
                <w:sz w:val="19"/>
              </w:rPr>
              <w:t>Entity</w:t>
            </w:r>
          </w:p>
        </w:tc>
        <w:tc>
          <w:tcPr>
            <w:tcW w:type="dxa" w:w="7488"/>
            <w:vAlign w:val="top"/>
            <w:shd w:fill="E8EEF5"/>
            <w:tcMar>
              <w:top w:w="80" w:type="dxa"/>
              <w:bottom w:w="80" w:type="dxa"/>
              <w:start w:w="120" w:type="dxa"/>
              <w:end w:w="120" w:type="dxa"/>
            </w:tcMar>
          </w:tcPr>
          <w:p>
            <w:pPr>
              <w:spacing w:after="40"/>
            </w:pPr>
            <w:r>
              <w:rPr>
                <w:rFonts w:ascii="Calibri" w:hAnsi="Calibri"/>
                <w:b/>
                <w:sz w:val="19"/>
              </w:rPr>
              <w:t>Required fields / rules</w:t>
            </w:r>
          </w:p>
        </w:tc>
      </w:tr>
      <w:tr>
        <w:tc>
          <w:tcPr>
            <w:tcW w:type="dxa" w:w="1872"/>
            <w:vAlign w:val="top"/>
            <w:tcMar>
              <w:top w:w="80" w:type="dxa"/>
              <w:bottom w:w="80" w:type="dxa"/>
              <w:start w:w="120" w:type="dxa"/>
              <w:end w:w="120" w:type="dxa"/>
            </w:tcMar>
          </w:tcPr>
          <w:p>
            <w:pPr>
              <w:spacing w:after="40"/>
            </w:pPr>
            <w:r>
              <w:rPr>
                <w:rFonts w:ascii="Calibri" w:hAnsi="Calibri"/>
                <w:b w:val="0"/>
                <w:sz w:val="19"/>
              </w:rPr>
              <w:t>Household</w:t>
            </w:r>
          </w:p>
        </w:tc>
        <w:tc>
          <w:tcPr>
            <w:tcW w:type="dxa" w:w="7488"/>
            <w:vAlign w:val="top"/>
            <w:tcMar>
              <w:top w:w="80" w:type="dxa"/>
              <w:bottom w:w="80" w:type="dxa"/>
              <w:start w:w="120" w:type="dxa"/>
              <w:end w:w="120" w:type="dxa"/>
            </w:tcMar>
          </w:tcPr>
          <w:p>
            <w:pPr>
              <w:spacing w:after="40"/>
            </w:pPr>
            <w:r>
              <w:rPr>
                <w:rFonts w:ascii="Calibri" w:hAnsi="Calibri"/>
                <w:b w:val="0"/>
                <w:sz w:val="19"/>
              </w:rPr>
              <w:t>home_id, display name, IANA time zone, language, mode/version, consent state, retention policy.</w:t>
            </w:r>
          </w:p>
        </w:tc>
      </w:tr>
      <w:tr>
        <w:tc>
          <w:tcPr>
            <w:tcW w:type="dxa" w:w="1872"/>
            <w:vAlign w:val="top"/>
            <w:tcMar>
              <w:top w:w="80" w:type="dxa"/>
              <w:bottom w:w="80" w:type="dxa"/>
              <w:start w:w="120" w:type="dxa"/>
              <w:end w:w="120" w:type="dxa"/>
            </w:tcMar>
          </w:tcPr>
          <w:p>
            <w:pPr>
              <w:spacing w:after="40"/>
            </w:pPr>
            <w:r>
              <w:rPr>
                <w:rFonts w:ascii="Calibri" w:hAnsi="Calibri"/>
                <w:b w:val="0"/>
                <w:sz w:val="19"/>
              </w:rPr>
              <w:t>Resident / caregiver</w:t>
            </w:r>
          </w:p>
        </w:tc>
        <w:tc>
          <w:tcPr>
            <w:tcW w:type="dxa" w:w="7488"/>
            <w:vAlign w:val="top"/>
            <w:tcMar>
              <w:top w:w="80" w:type="dxa"/>
              <w:bottom w:w="80" w:type="dxa"/>
              <w:start w:w="120" w:type="dxa"/>
              <w:end w:w="120" w:type="dxa"/>
            </w:tcMar>
          </w:tcPr>
          <w:p>
            <w:pPr>
              <w:spacing w:after="40"/>
            </w:pPr>
            <w:r>
              <w:rPr>
                <w:rFonts w:ascii="Calibri" w:hAnsi="Calibri"/>
                <w:b w:val="0"/>
                <w:sz w:val="19"/>
              </w:rPr>
              <w:t>Stable ID, role, consent/notification preference, status; access is household-scoped.</w:t>
            </w:r>
          </w:p>
        </w:tc>
      </w:tr>
      <w:tr>
        <w:tc>
          <w:tcPr>
            <w:tcW w:type="dxa" w:w="1872"/>
            <w:vAlign w:val="top"/>
            <w:tcMar>
              <w:top w:w="80" w:type="dxa"/>
              <w:bottom w:w="80" w:type="dxa"/>
              <w:start w:w="120" w:type="dxa"/>
              <w:end w:w="120" w:type="dxa"/>
            </w:tcMar>
          </w:tcPr>
          <w:p>
            <w:pPr>
              <w:spacing w:after="40"/>
            </w:pPr>
            <w:r>
              <w:rPr>
                <w:rFonts w:ascii="Calibri" w:hAnsi="Calibri"/>
                <w:b w:val="0"/>
                <w:sz w:val="19"/>
              </w:rPr>
              <w:t>Device</w:t>
            </w:r>
          </w:p>
        </w:tc>
        <w:tc>
          <w:tcPr>
            <w:tcW w:type="dxa" w:w="7488"/>
            <w:vAlign w:val="top"/>
            <w:tcMar>
              <w:top w:w="80" w:type="dxa"/>
              <w:bottom w:w="80" w:type="dxa"/>
              <w:start w:w="120" w:type="dxa"/>
              <w:end w:w="120" w:type="dxa"/>
            </w:tcMar>
          </w:tcPr>
          <w:p>
            <w:pPr>
              <w:spacing w:after="40"/>
            </w:pPr>
            <w:r>
              <w:rPr>
                <w:rFonts w:ascii="Calibri" w:hAnsi="Calibri"/>
                <w:b w:val="0"/>
                <w:sz w:val="19"/>
              </w:rPr>
              <w:t>device_id, board profile, capability profile, credential reference, firmware, config versions, health/freshness.</w:t>
            </w:r>
          </w:p>
        </w:tc>
      </w:tr>
      <w:tr>
        <w:tc>
          <w:tcPr>
            <w:tcW w:type="dxa" w:w="1872"/>
            <w:vAlign w:val="top"/>
            <w:tcMar>
              <w:top w:w="80" w:type="dxa"/>
              <w:bottom w:w="80" w:type="dxa"/>
              <w:start w:w="120" w:type="dxa"/>
              <w:end w:w="120" w:type="dxa"/>
            </w:tcMar>
          </w:tcPr>
          <w:p>
            <w:pPr>
              <w:spacing w:after="40"/>
            </w:pPr>
            <w:r>
              <w:rPr>
                <w:rFonts w:ascii="Calibri" w:hAnsi="Calibri"/>
                <w:b w:val="0"/>
                <w:sz w:val="19"/>
              </w:rPr>
              <w:t>Event</w:t>
            </w:r>
          </w:p>
        </w:tc>
        <w:tc>
          <w:tcPr>
            <w:tcW w:type="dxa" w:w="7488"/>
            <w:vAlign w:val="top"/>
            <w:tcMar>
              <w:top w:w="80" w:type="dxa"/>
              <w:bottom w:w="80" w:type="dxa"/>
              <w:start w:w="120" w:type="dxa"/>
              <w:end w:w="120" w:type="dxa"/>
            </w:tcMar>
          </w:tcPr>
          <w:p>
            <w:pPr>
              <w:spacing w:after="40"/>
            </w:pPr>
            <w:r>
              <w:rPr>
                <w:rFonts w:ascii="Calibri" w:hAnsi="Calibri"/>
                <w:b w:val="0"/>
                <w:sz w:val="19"/>
              </w:rPr>
              <w:t>source_id, session_id, sequence, kind, location, occurred_at, received_at, uncertainty, battery, test flag.</w:t>
            </w:r>
          </w:p>
        </w:tc>
      </w:tr>
      <w:tr>
        <w:tc>
          <w:tcPr>
            <w:tcW w:type="dxa" w:w="1872"/>
            <w:vAlign w:val="top"/>
            <w:tcMar>
              <w:top w:w="80" w:type="dxa"/>
              <w:bottom w:w="80" w:type="dxa"/>
              <w:start w:w="120" w:type="dxa"/>
              <w:end w:w="120" w:type="dxa"/>
            </w:tcMar>
          </w:tcPr>
          <w:p>
            <w:pPr>
              <w:spacing w:after="40"/>
            </w:pPr>
            <w:r>
              <w:rPr>
                <w:rFonts w:ascii="Calibri" w:hAnsi="Calibri"/>
                <w:b w:val="0"/>
                <w:sz w:val="19"/>
              </w:rPr>
              <w:t>Incident</w:t>
            </w:r>
          </w:p>
        </w:tc>
        <w:tc>
          <w:tcPr>
            <w:tcW w:type="dxa" w:w="7488"/>
            <w:vAlign w:val="top"/>
            <w:tcMar>
              <w:top w:w="80" w:type="dxa"/>
              <w:bottom w:w="80" w:type="dxa"/>
              <w:start w:w="120" w:type="dxa"/>
              <w:end w:w="120" w:type="dxa"/>
            </w:tcMar>
          </w:tcPr>
          <w:p>
            <w:pPr>
              <w:spacing w:after="40"/>
            </w:pPr>
            <w:r>
              <w:rPr>
                <w:rFonts w:ascii="Calibri" w:hAnsi="Calibri"/>
                <w:b w:val="0"/>
                <w:sz w:val="19"/>
              </w:rPr>
              <w:t>incident_id, type, evidence state, priority, owner lease, acknowledgement/resolution history, delivery attempts.</w:t>
            </w:r>
          </w:p>
        </w:tc>
      </w:tr>
      <w:tr>
        <w:tc>
          <w:tcPr>
            <w:tcW w:type="dxa" w:w="1872"/>
            <w:vAlign w:val="top"/>
            <w:tcMar>
              <w:top w:w="80" w:type="dxa"/>
              <w:bottom w:w="80" w:type="dxa"/>
              <w:start w:w="120" w:type="dxa"/>
              <w:end w:w="120" w:type="dxa"/>
            </w:tcMar>
          </w:tcPr>
          <w:p>
            <w:pPr>
              <w:spacing w:after="40"/>
            </w:pPr>
            <w:r>
              <w:rPr>
                <w:rFonts w:ascii="Calibri" w:hAnsi="Calibri"/>
                <w:b w:val="0"/>
                <w:sz w:val="19"/>
              </w:rPr>
              <w:t>Command</w:t>
            </w:r>
          </w:p>
        </w:tc>
        <w:tc>
          <w:tcPr>
            <w:tcW w:type="dxa" w:w="7488"/>
            <w:vAlign w:val="top"/>
            <w:tcMar>
              <w:top w:w="80" w:type="dxa"/>
              <w:bottom w:w="80" w:type="dxa"/>
              <w:start w:w="120" w:type="dxa"/>
              <w:end w:w="120" w:type="dxa"/>
            </w:tcMar>
          </w:tcPr>
          <w:p>
            <w:pPr>
              <w:spacing w:after="40"/>
            </w:pPr>
            <w:r>
              <w:rPr>
                <w:rFonts w:ascii="Calibri" w:hAnsi="Calibri"/>
                <w:b w:val="0"/>
                <w:sz w:val="19"/>
              </w:rPr>
              <w:t>command_id, target, schema version, actor, issue/effective time, desired version, validation/application result.</w:t>
            </w:r>
          </w:p>
        </w:tc>
      </w:tr>
    </w:tbl>
    <w:p>
      <w:pPr>
        <w:spacing w:after="40"/>
      </w:pPr>
    </w:p>
    <w:p>
      <w:pPr>
        <w:pStyle w:val="Heading2"/>
      </w:pPr>
      <w:r>
        <w:rPr>
          <w:color w:val="000000"/>
        </w:rPr>
        <w:t>6.2 Transport and API rules</w:t>
      </w:r>
    </w:p>
    <w:p>
      <w:pPr>
        <w:pStyle w:val="ListBullet"/>
        <w:spacing w:after="80"/>
      </w:pPr>
      <w:r>
        <w:t>Every business event is idempotent by source/session/sequence and backend ingestion is safe to retry.</w:t>
      </w:r>
    </w:p>
    <w:p>
      <w:pPr>
        <w:pStyle w:val="ListBullet"/>
        <w:spacing w:after="80"/>
      </w:pPr>
      <w:r>
        <w:t>Durable ACK means the hub has committed the event; volatile receipt never retires a business event from node storage.</w:t>
      </w:r>
    </w:p>
    <w:p>
      <w:pPr>
        <w:pStyle w:val="ListBullet"/>
        <w:spacing w:after="80"/>
      </w:pPr>
      <w:r>
        <w:t>Commands and notification requests carry idempotency keys; duplicate submissions return the original outcome.</w:t>
      </w:r>
    </w:p>
    <w:p>
      <w:pPr>
        <w:pStyle w:val="ListBullet"/>
        <w:spacing w:after="80"/>
      </w:pPr>
      <w:r>
        <w:t>API responses include state, freshness/age, coverage and error code; they do not imply health from missing data.</w:t>
      </w:r>
    </w:p>
    <w:p>
      <w:pPr>
        <w:pStyle w:val="ListBullet"/>
        <w:spacing w:after="80"/>
      </w:pPr>
      <w:r>
        <w:t>Transport payloads are schema-versioned and validated before entering state-owning workers.</w:t>
      </w:r>
    </w:p>
    <w:p>
      <w:pPr>
        <w:pStyle w:val="Heading1"/>
      </w:pPr>
      <w:r>
        <w:rPr>
          <w:color w:val="000000"/>
        </w:rPr>
        <w:t>7. Non-functional requirements</w:t>
      </w:r>
    </w:p>
    <w:tbl>
      <w:tblPr>
        <w:tblW w:type="dxa" w:w="9360"/>
        <w:jc w:val="left"/>
        <w:tblLayout w:type="fixed"/>
        <w:tblLook w:firstColumn="1" w:firstRow="1" w:lastColumn="0" w:lastRow="0" w:noHBand="0" w:noVBand="1" w:val="04A0"/>
        <w:tblInd w:w="120" w:type="dxa"/>
      </w:tblPr>
      <w:tblGrid>
        <w:gridCol w:w="1368"/>
        <w:gridCol w:w="4320"/>
        <w:gridCol w:w="3671"/>
      </w:tblGrid>
      <w:tr>
        <w:tc>
          <w:tcPr>
            <w:tcW w:type="dxa" w:w="1368"/>
            <w:vAlign w:val="top"/>
            <w:shd w:fill="E8EEF5"/>
            <w:tcMar>
              <w:top w:w="80" w:type="dxa"/>
              <w:bottom w:w="80" w:type="dxa"/>
              <w:start w:w="120" w:type="dxa"/>
              <w:end w:w="120" w:type="dxa"/>
            </w:tcMar>
          </w:tcPr>
          <w:p>
            <w:pPr>
              <w:spacing w:after="40"/>
            </w:pPr>
            <w:r>
              <w:rPr>
                <w:rFonts w:ascii="Calibri" w:hAnsi="Calibri"/>
                <w:b/>
                <w:sz w:val="19"/>
              </w:rPr>
              <w:t>ID</w:t>
            </w:r>
          </w:p>
        </w:tc>
        <w:tc>
          <w:tcPr>
            <w:tcW w:type="dxa" w:w="4320"/>
            <w:vAlign w:val="top"/>
            <w:shd w:fill="E8EEF5"/>
            <w:tcMar>
              <w:top w:w="80" w:type="dxa"/>
              <w:bottom w:w="80" w:type="dxa"/>
              <w:start w:w="120" w:type="dxa"/>
              <w:end w:w="120" w:type="dxa"/>
            </w:tcMar>
          </w:tcPr>
          <w:p>
            <w:pPr>
              <w:spacing w:after="40"/>
            </w:pPr>
            <w:r>
              <w:rPr>
                <w:rFonts w:ascii="Calibri" w:hAnsi="Calibri"/>
                <w:b/>
                <w:sz w:val="19"/>
              </w:rPr>
              <w:t>Quality requirement</w:t>
            </w:r>
          </w:p>
        </w:tc>
        <w:tc>
          <w:tcPr>
            <w:tcW w:type="dxa" w:w="3671"/>
            <w:vAlign w:val="top"/>
            <w:shd w:fill="E8EEF5"/>
            <w:tcMar>
              <w:top w:w="80" w:type="dxa"/>
              <w:bottom w:w="80" w:type="dxa"/>
              <w:start w:w="120" w:type="dxa"/>
              <w:end w:w="120" w:type="dxa"/>
            </w:tcMar>
          </w:tcPr>
          <w:p>
            <w:pPr>
              <w:spacing w:after="40"/>
            </w:pPr>
            <w:r>
              <w:rPr>
                <w:rFonts w:ascii="Calibri" w:hAnsi="Calibri"/>
                <w:b/>
                <w:sz w:val="19"/>
              </w:rPr>
              <w:t>Target / acceptance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NFR-01</w:t>
            </w:r>
          </w:p>
        </w:tc>
        <w:tc>
          <w:tcPr>
            <w:tcW w:type="dxa" w:w="4320"/>
            <w:vAlign w:val="top"/>
            <w:tcMar>
              <w:top w:w="80" w:type="dxa"/>
              <w:bottom w:w="80" w:type="dxa"/>
              <w:start w:w="120" w:type="dxa"/>
              <w:end w:w="120" w:type="dxa"/>
            </w:tcMar>
          </w:tcPr>
          <w:p>
            <w:pPr>
              <w:spacing w:after="40"/>
            </w:pPr>
            <w:r>
              <w:rPr>
                <w:rFonts w:ascii="Calibri" w:hAnsi="Calibri"/>
                <w:b w:val="0"/>
                <w:sz w:val="19"/>
              </w:rPr>
              <w:t>Safety of interpretation</w:t>
            </w:r>
          </w:p>
        </w:tc>
        <w:tc>
          <w:tcPr>
            <w:tcW w:type="dxa" w:w="3671"/>
            <w:vAlign w:val="top"/>
            <w:tcMar>
              <w:top w:w="80" w:type="dxa"/>
              <w:bottom w:w="80" w:type="dxa"/>
              <w:start w:w="120" w:type="dxa"/>
              <w:end w:w="120" w:type="dxa"/>
            </w:tcMar>
          </w:tcPr>
          <w:p>
            <w:pPr>
              <w:spacing w:after="40"/>
            </w:pPr>
            <w:r>
              <w:rPr>
                <w:rFonts w:ascii="Calibri" w:hAnsi="Calibri"/>
                <w:b w:val="0"/>
                <w:sz w:val="19"/>
              </w:rPr>
              <w:t>No fall, medical, emergency-dispatch or wellbeing claim from P0 evidence.</w:t>
            </w:r>
          </w:p>
        </w:tc>
      </w:tr>
      <w:tr>
        <w:tc>
          <w:tcPr>
            <w:tcW w:type="dxa" w:w="1368"/>
            <w:vAlign w:val="top"/>
            <w:tcMar>
              <w:top w:w="80" w:type="dxa"/>
              <w:bottom w:w="80" w:type="dxa"/>
              <w:start w:w="120" w:type="dxa"/>
              <w:end w:w="120" w:type="dxa"/>
            </w:tcMar>
          </w:tcPr>
          <w:p>
            <w:pPr>
              <w:spacing w:after="40"/>
            </w:pPr>
            <w:r>
              <w:rPr>
                <w:rFonts w:ascii="Calibri" w:hAnsi="Calibri"/>
                <w:b w:val="0"/>
                <w:sz w:val="19"/>
              </w:rPr>
              <w:t>NFR-02</w:t>
            </w:r>
          </w:p>
        </w:tc>
        <w:tc>
          <w:tcPr>
            <w:tcW w:type="dxa" w:w="4320"/>
            <w:vAlign w:val="top"/>
            <w:tcMar>
              <w:top w:w="80" w:type="dxa"/>
              <w:bottom w:w="80" w:type="dxa"/>
              <w:start w:w="120" w:type="dxa"/>
              <w:end w:w="120" w:type="dxa"/>
            </w:tcMar>
          </w:tcPr>
          <w:p>
            <w:pPr>
              <w:spacing w:after="40"/>
            </w:pPr>
            <w:r>
              <w:rPr>
                <w:rFonts w:ascii="Calibri" w:hAnsi="Calibri"/>
                <w:b w:val="0"/>
                <w:sz w:val="19"/>
              </w:rPr>
              <w:t>Responsiveness</w:t>
            </w:r>
          </w:p>
        </w:tc>
        <w:tc>
          <w:tcPr>
            <w:tcW w:type="dxa" w:w="3671"/>
            <w:vAlign w:val="top"/>
            <w:tcMar>
              <w:top w:w="80" w:type="dxa"/>
              <w:bottom w:w="80" w:type="dxa"/>
              <w:start w:w="120" w:type="dxa"/>
              <w:end w:w="120" w:type="dxa"/>
            </w:tcMar>
          </w:tcPr>
          <w:p>
            <w:pPr>
              <w:spacing w:after="40"/>
            </w:pPr>
            <w:r>
              <w:rPr>
                <w:rFonts w:ascii="Calibri" w:hAnsi="Calibri"/>
                <w:b w:val="0"/>
                <w:sz w:val="19"/>
              </w:rPr>
              <w:t>Local valid button confirmation within 500 ms; dashboard displays data age.</w:t>
            </w:r>
          </w:p>
        </w:tc>
      </w:tr>
      <w:tr>
        <w:tc>
          <w:tcPr>
            <w:tcW w:type="dxa" w:w="1368"/>
            <w:vAlign w:val="top"/>
            <w:tcMar>
              <w:top w:w="80" w:type="dxa"/>
              <w:bottom w:w="80" w:type="dxa"/>
              <w:start w:w="120" w:type="dxa"/>
              <w:end w:w="120" w:type="dxa"/>
            </w:tcMar>
          </w:tcPr>
          <w:p>
            <w:pPr>
              <w:spacing w:after="40"/>
            </w:pPr>
            <w:r>
              <w:rPr>
                <w:rFonts w:ascii="Calibri" w:hAnsi="Calibri"/>
                <w:b w:val="0"/>
                <w:sz w:val="19"/>
              </w:rPr>
              <w:t>NFR-03</w:t>
            </w:r>
          </w:p>
        </w:tc>
        <w:tc>
          <w:tcPr>
            <w:tcW w:type="dxa" w:w="4320"/>
            <w:vAlign w:val="top"/>
            <w:tcMar>
              <w:top w:w="80" w:type="dxa"/>
              <w:bottom w:w="80" w:type="dxa"/>
              <w:start w:w="120" w:type="dxa"/>
              <w:end w:w="120" w:type="dxa"/>
            </w:tcMar>
          </w:tcPr>
          <w:p>
            <w:pPr>
              <w:spacing w:after="40"/>
            </w:pPr>
            <w:r>
              <w:rPr>
                <w:rFonts w:ascii="Calibri" w:hAnsi="Calibri"/>
                <w:b w:val="0"/>
                <w:sz w:val="19"/>
              </w:rPr>
              <w:t>Availability</w:t>
            </w:r>
          </w:p>
        </w:tc>
        <w:tc>
          <w:tcPr>
            <w:tcW w:type="dxa" w:w="3671"/>
            <w:vAlign w:val="top"/>
            <w:tcMar>
              <w:top w:w="80" w:type="dxa"/>
              <w:bottom w:w="80" w:type="dxa"/>
              <w:start w:w="120" w:type="dxa"/>
              <w:end w:w="120" w:type="dxa"/>
            </w:tcMar>
          </w:tcPr>
          <w:p>
            <w:pPr>
              <w:spacing w:after="40"/>
            </w:pPr>
            <w:r>
              <w:rPr>
                <w:rFonts w:ascii="Calibri" w:hAnsi="Calibri"/>
                <w:b w:val="0"/>
                <w:sz w:val="19"/>
              </w:rPr>
              <w:t>Local operation during WAN outage; recovery replays unsent events without duplication.</w:t>
            </w:r>
          </w:p>
        </w:tc>
      </w:tr>
      <w:tr>
        <w:tc>
          <w:tcPr>
            <w:tcW w:type="dxa" w:w="1368"/>
            <w:vAlign w:val="top"/>
            <w:tcMar>
              <w:top w:w="80" w:type="dxa"/>
              <w:bottom w:w="80" w:type="dxa"/>
              <w:start w:w="120" w:type="dxa"/>
              <w:end w:w="120" w:type="dxa"/>
            </w:tcMar>
          </w:tcPr>
          <w:p>
            <w:pPr>
              <w:spacing w:after="40"/>
            </w:pPr>
            <w:r>
              <w:rPr>
                <w:rFonts w:ascii="Calibri" w:hAnsi="Calibri"/>
                <w:b w:val="0"/>
                <w:sz w:val="19"/>
              </w:rPr>
              <w:t>NFR-04</w:t>
            </w:r>
          </w:p>
        </w:tc>
        <w:tc>
          <w:tcPr>
            <w:tcW w:type="dxa" w:w="4320"/>
            <w:vAlign w:val="top"/>
            <w:tcMar>
              <w:top w:w="80" w:type="dxa"/>
              <w:bottom w:w="80" w:type="dxa"/>
              <w:start w:w="120" w:type="dxa"/>
              <w:end w:w="120" w:type="dxa"/>
            </w:tcMar>
          </w:tcPr>
          <w:p>
            <w:pPr>
              <w:spacing w:after="40"/>
            </w:pPr>
            <w:r>
              <w:rPr>
                <w:rFonts w:ascii="Calibri" w:hAnsi="Calibri"/>
                <w:b w:val="0"/>
                <w:sz w:val="19"/>
              </w:rPr>
              <w:t>Performance</w:t>
            </w:r>
          </w:p>
        </w:tc>
        <w:tc>
          <w:tcPr>
            <w:tcW w:type="dxa" w:w="3671"/>
            <w:vAlign w:val="top"/>
            <w:tcMar>
              <w:top w:w="80" w:type="dxa"/>
              <w:bottom w:w="80" w:type="dxa"/>
              <w:start w:w="120" w:type="dxa"/>
              <w:end w:w="120" w:type="dxa"/>
            </w:tcMar>
          </w:tcPr>
          <w:p>
            <w:pPr>
              <w:spacing w:after="40"/>
            </w:pPr>
            <w:r>
              <w:rPr>
                <w:rFonts w:ascii="Calibri" w:hAnsi="Calibri"/>
                <w:b w:val="0"/>
                <w:sz w:val="19"/>
              </w:rPr>
              <w:t>State-owner queues are bounded; no unbounded retry or blocking work in radio callback.</w:t>
            </w:r>
          </w:p>
        </w:tc>
      </w:tr>
      <w:tr>
        <w:tc>
          <w:tcPr>
            <w:tcW w:type="dxa" w:w="1368"/>
            <w:vAlign w:val="top"/>
            <w:tcMar>
              <w:top w:w="80" w:type="dxa"/>
              <w:bottom w:w="80" w:type="dxa"/>
              <w:start w:w="120" w:type="dxa"/>
              <w:end w:w="120" w:type="dxa"/>
            </w:tcMar>
          </w:tcPr>
          <w:p>
            <w:pPr>
              <w:spacing w:after="40"/>
            </w:pPr>
            <w:r>
              <w:rPr>
                <w:rFonts w:ascii="Calibri" w:hAnsi="Calibri"/>
                <w:b w:val="0"/>
                <w:sz w:val="19"/>
              </w:rPr>
              <w:t>NFR-05</w:t>
            </w:r>
          </w:p>
        </w:tc>
        <w:tc>
          <w:tcPr>
            <w:tcW w:type="dxa" w:w="4320"/>
            <w:vAlign w:val="top"/>
            <w:tcMar>
              <w:top w:w="80" w:type="dxa"/>
              <w:bottom w:w="80" w:type="dxa"/>
              <w:start w:w="120" w:type="dxa"/>
              <w:end w:w="120" w:type="dxa"/>
            </w:tcMar>
          </w:tcPr>
          <w:p>
            <w:pPr>
              <w:spacing w:after="40"/>
            </w:pPr>
            <w:r>
              <w:rPr>
                <w:rFonts w:ascii="Calibri" w:hAnsi="Calibri"/>
                <w:b w:val="0"/>
                <w:sz w:val="19"/>
              </w:rPr>
              <w:t>Resource use</w:t>
            </w:r>
          </w:p>
        </w:tc>
        <w:tc>
          <w:tcPr>
            <w:tcW w:type="dxa" w:w="3671"/>
            <w:vAlign w:val="top"/>
            <w:tcMar>
              <w:top w:w="80" w:type="dxa"/>
              <w:bottom w:w="80" w:type="dxa"/>
              <w:start w:w="120" w:type="dxa"/>
              <w:end w:w="120" w:type="dxa"/>
            </w:tcMar>
          </w:tcPr>
          <w:p>
            <w:pPr>
              <w:spacing w:after="40"/>
            </w:pPr>
            <w:r>
              <w:rPr>
                <w:rFonts w:ascii="Calibri" w:hAnsi="Calibri"/>
                <w:b w:val="0"/>
                <w:sz w:val="19"/>
              </w:rPr>
              <w:t>Measure RAM/flash/CPU/battery on actual ESP32 hardware; fail release if agreed budgets are exceeded.</w:t>
            </w:r>
          </w:p>
        </w:tc>
      </w:tr>
      <w:tr>
        <w:tc>
          <w:tcPr>
            <w:tcW w:type="dxa" w:w="1368"/>
            <w:vAlign w:val="top"/>
            <w:tcMar>
              <w:top w:w="80" w:type="dxa"/>
              <w:bottom w:w="80" w:type="dxa"/>
              <w:start w:w="120" w:type="dxa"/>
              <w:end w:w="120" w:type="dxa"/>
            </w:tcMar>
          </w:tcPr>
          <w:p>
            <w:pPr>
              <w:spacing w:after="40"/>
            </w:pPr>
            <w:r>
              <w:rPr>
                <w:rFonts w:ascii="Calibri" w:hAnsi="Calibri"/>
                <w:b w:val="0"/>
                <w:sz w:val="19"/>
              </w:rPr>
              <w:t>NFR-06</w:t>
            </w:r>
          </w:p>
        </w:tc>
        <w:tc>
          <w:tcPr>
            <w:tcW w:type="dxa" w:w="4320"/>
            <w:vAlign w:val="top"/>
            <w:tcMar>
              <w:top w:w="80" w:type="dxa"/>
              <w:bottom w:w="80" w:type="dxa"/>
              <w:start w:w="120" w:type="dxa"/>
              <w:end w:w="120" w:type="dxa"/>
            </w:tcMar>
          </w:tcPr>
          <w:p>
            <w:pPr>
              <w:spacing w:after="40"/>
            </w:pPr>
            <w:r>
              <w:rPr>
                <w:rFonts w:ascii="Calibri" w:hAnsi="Calibri"/>
                <w:b w:val="0"/>
                <w:sz w:val="19"/>
              </w:rPr>
              <w:t>Security</w:t>
            </w:r>
          </w:p>
        </w:tc>
        <w:tc>
          <w:tcPr>
            <w:tcW w:type="dxa" w:w="3671"/>
            <w:vAlign w:val="top"/>
            <w:tcMar>
              <w:top w:w="80" w:type="dxa"/>
              <w:bottom w:w="80" w:type="dxa"/>
              <w:start w:w="120" w:type="dxa"/>
              <w:end w:w="120" w:type="dxa"/>
            </w:tcMar>
          </w:tcPr>
          <w:p>
            <w:pPr>
              <w:spacing w:after="40"/>
            </w:pPr>
            <w:r>
              <w:rPr>
                <w:rFonts w:ascii="Calibri" w:hAnsi="Calibri"/>
                <w:b w:val="0"/>
                <w:sz w:val="19"/>
              </w:rPr>
              <w:t>Unique credentials, encrypted/authenticated transport, signed OTA and least-privilege access.</w:t>
            </w:r>
          </w:p>
        </w:tc>
      </w:tr>
      <w:tr>
        <w:tc>
          <w:tcPr>
            <w:tcW w:type="dxa" w:w="1368"/>
            <w:vAlign w:val="top"/>
            <w:tcMar>
              <w:top w:w="80" w:type="dxa"/>
              <w:bottom w:w="80" w:type="dxa"/>
              <w:start w:w="120" w:type="dxa"/>
              <w:end w:w="120" w:type="dxa"/>
            </w:tcMar>
          </w:tcPr>
          <w:p>
            <w:pPr>
              <w:spacing w:after="40"/>
            </w:pPr>
            <w:r>
              <w:rPr>
                <w:rFonts w:ascii="Calibri" w:hAnsi="Calibri"/>
                <w:b w:val="0"/>
                <w:sz w:val="19"/>
              </w:rPr>
              <w:t>NFR-07</w:t>
            </w:r>
          </w:p>
        </w:tc>
        <w:tc>
          <w:tcPr>
            <w:tcW w:type="dxa" w:w="4320"/>
            <w:vAlign w:val="top"/>
            <w:tcMar>
              <w:top w:w="80" w:type="dxa"/>
              <w:bottom w:w="80" w:type="dxa"/>
              <w:start w:w="120" w:type="dxa"/>
              <w:end w:w="120" w:type="dxa"/>
            </w:tcMar>
          </w:tcPr>
          <w:p>
            <w:pPr>
              <w:spacing w:after="40"/>
            </w:pPr>
            <w:r>
              <w:rPr>
                <w:rFonts w:ascii="Calibri" w:hAnsi="Calibri"/>
                <w:b w:val="0"/>
                <w:sz w:val="19"/>
              </w:rPr>
              <w:t>Privacy</w:t>
            </w:r>
          </w:p>
        </w:tc>
        <w:tc>
          <w:tcPr>
            <w:tcW w:type="dxa" w:w="3671"/>
            <w:vAlign w:val="top"/>
            <w:tcMar>
              <w:top w:w="80" w:type="dxa"/>
              <w:bottom w:w="80" w:type="dxa"/>
              <w:start w:w="120" w:type="dxa"/>
              <w:end w:w="120" w:type="dxa"/>
            </w:tcMar>
          </w:tcPr>
          <w:p>
            <w:pPr>
              <w:spacing w:after="40"/>
            </w:pPr>
            <w:r>
              <w:rPr>
                <w:rFonts w:ascii="Calibri" w:hAnsi="Calibri"/>
                <w:b w:val="0"/>
                <w:sz w:val="19"/>
              </w:rPr>
              <w:t>Camera-free/no always-on listening P0; consent withdrawal is effective and auditable.</w:t>
            </w:r>
          </w:p>
        </w:tc>
      </w:tr>
      <w:tr>
        <w:tc>
          <w:tcPr>
            <w:tcW w:type="dxa" w:w="1368"/>
            <w:vAlign w:val="top"/>
            <w:tcMar>
              <w:top w:w="80" w:type="dxa"/>
              <w:bottom w:w="80" w:type="dxa"/>
              <w:start w:w="120" w:type="dxa"/>
              <w:end w:w="120" w:type="dxa"/>
            </w:tcMar>
          </w:tcPr>
          <w:p>
            <w:pPr>
              <w:spacing w:after="40"/>
            </w:pPr>
            <w:r>
              <w:rPr>
                <w:rFonts w:ascii="Calibri" w:hAnsi="Calibri"/>
                <w:b w:val="0"/>
                <w:sz w:val="19"/>
              </w:rPr>
              <w:t>NFR-08</w:t>
            </w:r>
          </w:p>
        </w:tc>
        <w:tc>
          <w:tcPr>
            <w:tcW w:type="dxa" w:w="4320"/>
            <w:vAlign w:val="top"/>
            <w:tcMar>
              <w:top w:w="80" w:type="dxa"/>
              <w:bottom w:w="80" w:type="dxa"/>
              <w:start w:w="120" w:type="dxa"/>
              <w:end w:w="120" w:type="dxa"/>
            </w:tcMar>
          </w:tcPr>
          <w:p>
            <w:pPr>
              <w:spacing w:after="40"/>
            </w:pPr>
            <w:r>
              <w:rPr>
                <w:rFonts w:ascii="Calibri" w:hAnsi="Calibri"/>
                <w:b w:val="0"/>
                <w:sz w:val="19"/>
              </w:rPr>
              <w:t>Maintainability</w:t>
            </w:r>
          </w:p>
        </w:tc>
        <w:tc>
          <w:tcPr>
            <w:tcW w:type="dxa" w:w="3671"/>
            <w:vAlign w:val="top"/>
            <w:tcMar>
              <w:top w:w="80" w:type="dxa"/>
              <w:bottom w:w="80" w:type="dxa"/>
              <w:start w:w="120" w:type="dxa"/>
              <w:end w:w="120" w:type="dxa"/>
            </w:tcMar>
          </w:tcPr>
          <w:p>
            <w:pPr>
              <w:spacing w:after="40"/>
            </w:pPr>
            <w:r>
              <w:rPr>
                <w:rFonts w:ascii="Calibri" w:hAnsi="Calibri"/>
                <w:b w:val="0"/>
                <w:sz w:val="19"/>
              </w:rPr>
              <w:t>Module IDs, contracts, deterministic rules, automated tests and reproducible builds.</w:t>
            </w:r>
          </w:p>
        </w:tc>
      </w:tr>
      <w:tr>
        <w:tc>
          <w:tcPr>
            <w:tcW w:type="dxa" w:w="1368"/>
            <w:vAlign w:val="top"/>
            <w:tcMar>
              <w:top w:w="80" w:type="dxa"/>
              <w:bottom w:w="80" w:type="dxa"/>
              <w:start w:w="120" w:type="dxa"/>
              <w:end w:w="120" w:type="dxa"/>
            </w:tcMar>
          </w:tcPr>
          <w:p>
            <w:pPr>
              <w:spacing w:after="40"/>
            </w:pPr>
            <w:r>
              <w:rPr>
                <w:rFonts w:ascii="Calibri" w:hAnsi="Calibri"/>
                <w:b w:val="0"/>
                <w:sz w:val="19"/>
              </w:rPr>
              <w:t>NFR-09</w:t>
            </w:r>
          </w:p>
        </w:tc>
        <w:tc>
          <w:tcPr>
            <w:tcW w:type="dxa" w:w="4320"/>
            <w:vAlign w:val="top"/>
            <w:tcMar>
              <w:top w:w="80" w:type="dxa"/>
              <w:bottom w:w="80" w:type="dxa"/>
              <w:start w:w="120" w:type="dxa"/>
              <w:end w:w="120" w:type="dxa"/>
            </w:tcMar>
          </w:tcPr>
          <w:p>
            <w:pPr>
              <w:spacing w:after="40"/>
            </w:pPr>
            <w:r>
              <w:rPr>
                <w:rFonts w:ascii="Calibri" w:hAnsi="Calibri"/>
                <w:b w:val="0"/>
                <w:sz w:val="19"/>
              </w:rPr>
              <w:t>Supportability</w:t>
            </w:r>
          </w:p>
        </w:tc>
        <w:tc>
          <w:tcPr>
            <w:tcW w:type="dxa" w:w="3671"/>
            <w:vAlign w:val="top"/>
            <w:tcMar>
              <w:top w:w="80" w:type="dxa"/>
              <w:bottom w:w="80" w:type="dxa"/>
              <w:start w:w="120" w:type="dxa"/>
              <w:end w:w="120" w:type="dxa"/>
            </w:tcMar>
          </w:tcPr>
          <w:p>
            <w:pPr>
              <w:spacing w:after="40"/>
            </w:pPr>
            <w:r>
              <w:rPr>
                <w:rFonts w:ascii="Calibri" w:hAnsi="Calibri"/>
                <w:b w:val="0"/>
                <w:sz w:val="19"/>
              </w:rPr>
              <w:t>Bounded structured `.txt` diagnostics; ERROR always; TRACE build-gated; no secrets.</w:t>
            </w:r>
          </w:p>
        </w:tc>
      </w:tr>
      <w:tr>
        <w:tc>
          <w:tcPr>
            <w:tcW w:type="dxa" w:w="1368"/>
            <w:vAlign w:val="top"/>
            <w:tcMar>
              <w:top w:w="80" w:type="dxa"/>
              <w:bottom w:w="80" w:type="dxa"/>
              <w:start w:w="120" w:type="dxa"/>
              <w:end w:w="120" w:type="dxa"/>
            </w:tcMar>
          </w:tcPr>
          <w:p>
            <w:pPr>
              <w:spacing w:after="40"/>
            </w:pPr>
            <w:r>
              <w:rPr>
                <w:rFonts w:ascii="Calibri" w:hAnsi="Calibri"/>
                <w:b w:val="0"/>
                <w:sz w:val="19"/>
              </w:rPr>
              <w:t>NFR-10</w:t>
            </w:r>
          </w:p>
        </w:tc>
        <w:tc>
          <w:tcPr>
            <w:tcW w:type="dxa" w:w="4320"/>
            <w:vAlign w:val="top"/>
            <w:tcMar>
              <w:top w:w="80" w:type="dxa"/>
              <w:bottom w:w="80" w:type="dxa"/>
              <w:start w:w="120" w:type="dxa"/>
              <w:end w:w="120" w:type="dxa"/>
            </w:tcMar>
          </w:tcPr>
          <w:p>
            <w:pPr>
              <w:spacing w:after="40"/>
            </w:pPr>
            <w:r>
              <w:rPr>
                <w:rFonts w:ascii="Calibri" w:hAnsi="Calibri"/>
                <w:b w:val="0"/>
                <w:sz w:val="19"/>
              </w:rPr>
              <w:t>Accessibility</w:t>
            </w:r>
          </w:p>
        </w:tc>
        <w:tc>
          <w:tcPr>
            <w:tcW w:type="dxa" w:w="3671"/>
            <w:vAlign w:val="top"/>
            <w:tcMar>
              <w:top w:w="80" w:type="dxa"/>
              <w:bottom w:w="80" w:type="dxa"/>
              <w:start w:w="120" w:type="dxa"/>
              <w:end w:w="120" w:type="dxa"/>
            </w:tcMar>
          </w:tcPr>
          <w:p>
            <w:pPr>
              <w:spacing w:after="40"/>
            </w:pPr>
            <w:r>
              <w:rPr>
                <w:rFonts w:ascii="Calibri" w:hAnsi="Calibri"/>
                <w:b w:val="0"/>
                <w:sz w:val="19"/>
              </w:rPr>
              <w:t>Large resident actions, clear labels, visible local state and caregiver-readable uncertainty.</w:t>
            </w:r>
          </w:p>
        </w:tc>
      </w:tr>
    </w:tbl>
    <w:p>
      <w:pPr>
        <w:spacing w:after="40"/>
      </w:pPr>
    </w:p>
    <w:p>
      <w:pPr>
        <w:pStyle w:val="Heading1"/>
      </w:pPr>
      <w:r>
        <w:rPr>
          <w:color w:val="000000"/>
        </w:rPr>
        <w:t>8. Privacy, security and consent requirements</w:t>
      </w:r>
    </w:p>
    <w:p>
      <w:pPr>
        <w:pStyle w:val="ListBullet"/>
        <w:spacing w:after="80"/>
      </w:pPr>
      <w:r>
        <w:t>Resident consent is required before passive observation; withdrawal enters PRIVACY and stops configured passive collection.</w:t>
      </w:r>
    </w:p>
    <w:p>
      <w:pPr>
        <w:pStyle w:val="ListBullet"/>
        <w:spacing w:after="80"/>
      </w:pPr>
      <w:r>
        <w:t>The P0 default has no camera, microphone, speech recognition or audio upload. Any future sensor must have a separate consent and retention decision.</w:t>
      </w:r>
    </w:p>
    <w:p>
      <w:pPr>
        <w:pStyle w:val="ListBullet"/>
        <w:spacing w:after="80"/>
      </w:pPr>
      <w:r>
        <w:t>Caregiver access is tenant-scoped. A caregiver may see only households for which an active role exists.</w:t>
      </w:r>
    </w:p>
    <w:p>
      <w:pPr>
        <w:pStyle w:val="ListBullet"/>
        <w:spacing w:after="80"/>
      </w:pPr>
      <w:r>
        <w:t>Secrets are stored by reference, never in logs, exports, test fixtures or UI error messages.</w:t>
      </w:r>
    </w:p>
    <w:p>
      <w:pPr>
        <w:pStyle w:val="ListBullet"/>
        <w:spacing w:after="80"/>
      </w:pPr>
      <w:r>
        <w:t>Support tooling uses minimum necessary data and records support access; test events are visibly marked and never create production incidents.</w:t>
      </w:r>
    </w:p>
    <w:p>
      <w:pPr>
        <w:pStyle w:val="ListBullet"/>
        <w:spacing w:after="80"/>
      </w:pPr>
      <w:r>
        <w:t>Retention and deletion are explicit configuration, with deletion/revocation reflected in backend and device state.</w:t>
      </w:r>
    </w:p>
    <w:p>
      <w:pPr>
        <w:pStyle w:val="Heading1"/>
      </w:pPr>
      <w:r>
        <w:rPr>
          <w:color w:val="000000"/>
        </w:rPr>
        <w:t>9. Logging and diagnostics requirements</w:t>
      </w:r>
    </w:p>
    <w:p>
      <w:r>
        <w:t>The implementation uses a common structured record: level, category, module, event and bounded detail. ERROR is always retained for critical flow breaks; TRACE is build/deployment gated and shows development call flow. Host/backend files rotate at 128 KiB; browser memory is limited to 128 records. Logging failure must never block product logic.</w:t>
      </w:r>
    </w:p>
    <w:tbl>
      <w:tblPr>
        <w:tblW w:type="dxa" w:w="9360"/>
        <w:jc w:val="left"/>
        <w:tblLayout w:type="fixed"/>
        <w:tblLook w:firstColumn="1" w:firstRow="1" w:lastColumn="0" w:lastRow="0" w:noHBand="0" w:noVBand="1" w:val="04A0"/>
        <w:tblInd w:w="120" w:type="dxa"/>
      </w:tblPr>
      <w:tblGrid>
        <w:gridCol w:w="1944"/>
        <w:gridCol w:w="7416"/>
      </w:tblGrid>
      <w:tr>
        <w:tc>
          <w:tcPr>
            <w:tcW w:type="dxa" w:w="1944"/>
            <w:vAlign w:val="top"/>
            <w:shd w:fill="E8EEF5"/>
            <w:tcMar>
              <w:top w:w="80" w:type="dxa"/>
              <w:bottom w:w="80" w:type="dxa"/>
              <w:start w:w="120" w:type="dxa"/>
              <w:end w:w="120" w:type="dxa"/>
            </w:tcMar>
          </w:tcPr>
          <w:p>
            <w:pPr>
              <w:spacing w:after="40"/>
            </w:pPr>
            <w:r>
              <w:rPr>
                <w:rFonts w:ascii="Calibri" w:hAnsi="Calibri"/>
                <w:b/>
                <w:sz w:val="19"/>
              </w:rPr>
              <w:t>Requirement</w:t>
            </w:r>
          </w:p>
        </w:tc>
        <w:tc>
          <w:tcPr>
            <w:tcW w:type="dxa" w:w="7416"/>
            <w:vAlign w:val="top"/>
            <w:shd w:fill="E8EEF5"/>
            <w:tcMar>
              <w:top w:w="80" w:type="dxa"/>
              <w:bottom w:w="80" w:type="dxa"/>
              <w:start w:w="120" w:type="dxa"/>
              <w:end w:w="120" w:type="dxa"/>
            </w:tcMar>
          </w:tcPr>
          <w:p>
            <w:pPr>
              <w:spacing w:after="40"/>
            </w:pPr>
            <w:r>
              <w:rPr>
                <w:rFonts w:ascii="Calibri" w:hAnsi="Calibri"/>
                <w:b/>
                <w:sz w:val="19"/>
              </w:rPr>
              <w:t>Implementation / verification</w:t>
            </w:r>
          </w:p>
        </w:tc>
      </w:tr>
      <w:tr>
        <w:tc>
          <w:tcPr>
            <w:tcW w:type="dxa" w:w="1944"/>
            <w:vAlign w:val="top"/>
            <w:tcMar>
              <w:top w:w="80" w:type="dxa"/>
              <w:bottom w:w="80" w:type="dxa"/>
              <w:start w:w="120" w:type="dxa"/>
              <w:end w:w="120" w:type="dxa"/>
            </w:tcMar>
          </w:tcPr>
          <w:p>
            <w:pPr>
              <w:spacing w:after="40"/>
            </w:pPr>
            <w:r>
              <w:rPr>
                <w:rFonts w:ascii="Calibri" w:hAnsi="Calibri"/>
                <w:b w:val="0"/>
                <w:sz w:val="19"/>
              </w:rPr>
              <w:t>ERROR always</w:t>
            </w:r>
          </w:p>
        </w:tc>
        <w:tc>
          <w:tcPr>
            <w:tcW w:type="dxa" w:w="7416"/>
            <w:vAlign w:val="top"/>
            <w:tcMar>
              <w:top w:w="80" w:type="dxa"/>
              <w:bottom w:w="80" w:type="dxa"/>
              <w:start w:w="120" w:type="dxa"/>
              <w:end w:w="120" w:type="dxa"/>
            </w:tcMar>
          </w:tcPr>
          <w:p>
            <w:pPr>
              <w:spacing w:after="40"/>
            </w:pPr>
            <w:r>
              <w:rPr>
                <w:rFonts w:ascii="Calibri" w:hAnsi="Calibri"/>
                <w:b w:val="0"/>
                <w:sz w:val="19"/>
              </w:rPr>
              <w:t>C++ GS_ERROR and backend/app error paths; forced-error tests confirm retention.</w:t>
            </w:r>
          </w:p>
        </w:tc>
      </w:tr>
      <w:tr>
        <w:tc>
          <w:tcPr>
            <w:tcW w:type="dxa" w:w="1944"/>
            <w:vAlign w:val="top"/>
            <w:tcMar>
              <w:top w:w="80" w:type="dxa"/>
              <w:bottom w:w="80" w:type="dxa"/>
              <w:start w:w="120" w:type="dxa"/>
              <w:end w:w="120" w:type="dxa"/>
            </w:tcMar>
          </w:tcPr>
          <w:p>
            <w:pPr>
              <w:spacing w:after="40"/>
            </w:pPr>
            <w:r>
              <w:rPr>
                <w:rFonts w:ascii="Calibri" w:hAnsi="Calibri"/>
                <w:b w:val="0"/>
                <w:sz w:val="19"/>
              </w:rPr>
              <w:t>TRACE optional</w:t>
            </w:r>
          </w:p>
        </w:tc>
        <w:tc>
          <w:tcPr>
            <w:tcW w:type="dxa" w:w="7416"/>
            <w:vAlign w:val="top"/>
            <w:tcMar>
              <w:top w:w="80" w:type="dxa"/>
              <w:bottom w:w="80" w:type="dxa"/>
              <w:start w:w="120" w:type="dxa"/>
              <w:end w:w="120" w:type="dxa"/>
            </w:tcMar>
          </w:tcPr>
          <w:p>
            <w:pPr>
              <w:spacing w:after="40"/>
            </w:pPr>
            <w:r>
              <w:rPr>
                <w:rFonts w:ascii="Calibri" w:hAnsi="Calibri"/>
                <w:b w:val="0"/>
                <w:sz w:val="19"/>
              </w:rPr>
              <w:t>GS_ENABLE_TRACE for C++; GS_TRACE for backend; __GS_TRACE__ build injection for app.</w:t>
            </w:r>
          </w:p>
        </w:tc>
      </w:tr>
      <w:tr>
        <w:tc>
          <w:tcPr>
            <w:tcW w:type="dxa" w:w="1944"/>
            <w:vAlign w:val="top"/>
            <w:tcMar>
              <w:top w:w="80" w:type="dxa"/>
              <w:bottom w:w="80" w:type="dxa"/>
              <w:start w:w="120" w:type="dxa"/>
              <w:end w:w="120" w:type="dxa"/>
            </w:tcMar>
          </w:tcPr>
          <w:p>
            <w:pPr>
              <w:spacing w:after="40"/>
            </w:pPr>
            <w:r>
              <w:rPr>
                <w:rFonts w:ascii="Calibri" w:hAnsi="Calibri"/>
                <w:b w:val="0"/>
                <w:sz w:val="19"/>
              </w:rPr>
              <w:t>Low memory</w:t>
            </w:r>
          </w:p>
        </w:tc>
        <w:tc>
          <w:tcPr>
            <w:tcW w:type="dxa" w:w="7416"/>
            <w:vAlign w:val="top"/>
            <w:tcMar>
              <w:top w:w="80" w:type="dxa"/>
              <w:bottom w:w="80" w:type="dxa"/>
              <w:start w:w="120" w:type="dxa"/>
              <w:end w:w="120" w:type="dxa"/>
            </w:tcMar>
          </w:tcPr>
          <w:p>
            <w:pPr>
              <w:spacing w:after="40"/>
            </w:pPr>
            <w:r>
              <w:rPr>
                <w:rFonts w:ascii="Calibri" w:hAnsi="Calibri"/>
                <w:b w:val="0"/>
                <w:sz w:val="19"/>
              </w:rPr>
              <w:t>Fixed C++ stack buffer; bounded ring/rotation; no resident payloads or credentials.</w:t>
            </w:r>
          </w:p>
        </w:tc>
      </w:tr>
      <w:tr>
        <w:tc>
          <w:tcPr>
            <w:tcW w:type="dxa" w:w="1944"/>
            <w:vAlign w:val="top"/>
            <w:tcMar>
              <w:top w:w="80" w:type="dxa"/>
              <w:bottom w:w="80" w:type="dxa"/>
              <w:start w:w="120" w:type="dxa"/>
              <w:end w:w="120" w:type="dxa"/>
            </w:tcMar>
          </w:tcPr>
          <w:p>
            <w:pPr>
              <w:spacing w:after="40"/>
            </w:pPr>
            <w:r>
              <w:rPr>
                <w:rFonts w:ascii="Calibri" w:hAnsi="Calibri"/>
                <w:b w:val="0"/>
                <w:sz w:val="19"/>
              </w:rPr>
              <w:t>Fault analysis</w:t>
            </w:r>
          </w:p>
        </w:tc>
        <w:tc>
          <w:tcPr>
            <w:tcW w:type="dxa" w:w="7416"/>
            <w:vAlign w:val="top"/>
            <w:tcMar>
              <w:top w:w="80" w:type="dxa"/>
              <w:bottom w:w="80" w:type="dxa"/>
              <w:start w:w="120" w:type="dxa"/>
              <w:end w:w="120" w:type="dxa"/>
            </w:tcMar>
          </w:tcPr>
          <w:p>
            <w:pPr>
              <w:spacing w:after="40"/>
            </w:pPr>
            <w:r>
              <w:rPr>
                <w:rFonts w:ascii="Calibri" w:hAnsi="Calibri"/>
                <w:b w:val="0"/>
                <w:sz w:val="19"/>
              </w:rPr>
              <w:t>tools/logs/analyze_logs.py validates records; sanitizer tests address memory faults separately.</w:t>
            </w:r>
          </w:p>
        </w:tc>
      </w:tr>
      <w:tr>
        <w:tc>
          <w:tcPr>
            <w:tcW w:type="dxa" w:w="1944"/>
            <w:vAlign w:val="top"/>
            <w:tcMar>
              <w:top w:w="80" w:type="dxa"/>
              <w:bottom w:w="80" w:type="dxa"/>
              <w:start w:w="120" w:type="dxa"/>
              <w:end w:w="120" w:type="dxa"/>
            </w:tcMar>
          </w:tcPr>
          <w:p>
            <w:pPr>
              <w:spacing w:after="40"/>
            </w:pPr>
            <w:r>
              <w:rPr>
                <w:rFonts w:ascii="Calibri" w:hAnsi="Calibri"/>
                <w:b w:val="0"/>
                <w:sz w:val="19"/>
              </w:rPr>
              <w:t>Hardware pending</w:t>
            </w:r>
          </w:p>
        </w:tc>
        <w:tc>
          <w:tcPr>
            <w:tcW w:type="dxa" w:w="7416"/>
            <w:vAlign w:val="top"/>
            <w:tcMar>
              <w:top w:w="80" w:type="dxa"/>
              <w:bottom w:w="80" w:type="dxa"/>
              <w:start w:w="120" w:type="dxa"/>
              <w:end w:w="120" w:type="dxa"/>
            </w:tcMar>
          </w:tcPr>
          <w:p>
            <w:pPr>
              <w:spacing w:after="40"/>
            </w:pPr>
            <w:r>
              <w:rPr>
                <w:rFonts w:ascii="Calibri" w:hAnsi="Calibri"/>
                <w:b w:val="0"/>
                <w:sz w:val="19"/>
              </w:rPr>
              <w:t>ESP-IDF sink, FreeRTOS concurrent writes, flash wear, brown-out, watchdog/panic and coredump retrieval require board validation.</w:t>
            </w:r>
          </w:p>
        </w:tc>
      </w:tr>
    </w:tbl>
    <w:p>
      <w:pPr>
        <w:spacing w:after="40"/>
      </w:pPr>
    </w:p>
    <w:p>
      <w:pPr>
        <w:pStyle w:val="Heading1"/>
      </w:pPr>
      <w:r>
        <w:rPr>
          <w:color w:val="000000"/>
        </w:rPr>
        <w:t>10. Verification and release criteria</w:t>
      </w:r>
    </w:p>
    <w:p>
      <w:pPr>
        <w:pStyle w:val="Heading2"/>
      </w:pPr>
      <w:r>
        <w:rPr>
          <w:color w:val="000000"/>
        </w:rPr>
        <w:t>Host/software exit criteria</w:t>
      </w:r>
    </w:p>
    <w:p>
      <w:pPr>
        <w:pStyle w:val="ListBullet"/>
        <w:spacing w:after="80"/>
      </w:pPr>
      <w:r>
        <w:t>All F01–F14 and E01–E10 requirement tests pass, including negative and boundary cases.</w:t>
      </w:r>
    </w:p>
    <w:p>
      <w:pPr>
        <w:pStyle w:val="ListBullet"/>
        <w:spacing w:after="80"/>
      </w:pPr>
      <w:r>
        <w:t>C++ production, trace and sanitizer profiles pass; backend and app tests pass; contracts are validated.</w:t>
      </w:r>
    </w:p>
    <w:p>
      <w:pPr>
        <w:pStyle w:val="ListBullet"/>
        <w:spacing w:after="80"/>
      </w:pPr>
      <w:r>
        <w:t>Production diagnostic sample contains no TRACE; development sample contains structured traces across module groups.</w:t>
      </w:r>
    </w:p>
    <w:p>
      <w:pPr>
        <w:pStyle w:val="ListBullet"/>
        <w:spacing w:after="80"/>
      </w:pPr>
      <w:r>
        <w:t>No test fixture or diagnostic record contains secrets, resident names or raw household event payloads.</w:t>
      </w:r>
    </w:p>
    <w:p>
      <w:pPr>
        <w:pStyle w:val="ListBullet"/>
        <w:spacing w:after="80"/>
      </w:pPr>
      <w:r>
        <w:t>Build and test commands are reproducible from a clean checkout.</w:t>
      </w:r>
    </w:p>
    <w:p>
      <w:pPr>
        <w:pStyle w:val="Heading2"/>
      </w:pPr>
      <w:r>
        <w:rPr>
          <w:color w:val="000000"/>
        </w:rPr>
        <w:t>Physical pilot/commercial gates</w:t>
      </w:r>
    </w:p>
    <w:p>
      <w:pPr>
        <w:pStyle w:val="ListBullet"/>
        <w:spacing w:after="80"/>
      </w:pPr>
      <w:r>
        <w:t>One hub plus four C3 nodes pass installation, placement, radio, button, privacy and notification drills in the target home.</w:t>
      </w:r>
    </w:p>
    <w:p>
      <w:pPr>
        <w:pStyle w:val="ListBullet"/>
        <w:spacing w:after="80"/>
      </w:pPr>
      <w:r>
        <w:t>Power/UPS, battery, brown-out, reboot, flash-wear, watchdog and measured RAM/flash/CPU/battery targets pass on the selected hardware.</w:t>
      </w:r>
    </w:p>
    <w:p>
      <w:pPr>
        <w:pStyle w:val="ListBullet"/>
        <w:spacing w:after="80"/>
      </w:pPr>
      <w:r>
        <w:t>WAN outage, router outage, node offline, hub offline and notification-provider failure are clearly separated in UI and support logs.</w:t>
      </w:r>
    </w:p>
    <w:p>
      <w:pPr>
        <w:pStyle w:val="ListBullet"/>
        <w:spacing w:after="80"/>
      </w:pPr>
      <w:r>
        <w:t>Consent, retention, OTA signing, rollback, credential revocation and support access are reviewed before unattended pilot.</w:t>
      </w:r>
    </w:p>
    <w:p>
      <w:pPr>
        <w:pStyle w:val="ListBullet"/>
        <w:spacing w:after="80"/>
      </w:pPr>
      <w:r>
        <w:t>Caregiver and resident usability tests confirm that “no activity” and “coverage unavailable” are not confused.</w:t>
      </w:r>
    </w:p>
    <w:p>
      <w:pPr>
        <w:pStyle w:val="Heading1"/>
      </w:pPr>
      <w:r>
        <w:rPr>
          <w:color w:val="000000"/>
        </w:rPr>
        <w:t>11. Traceability and implementation status</w:t>
      </w:r>
    </w:p>
    <w:tbl>
      <w:tblPr>
        <w:tblW w:type="dxa" w:w="9360"/>
        <w:jc w:val="left"/>
        <w:tblLayout w:type="fixed"/>
        <w:tblLook w:firstColumn="1" w:firstRow="1" w:lastColumn="0" w:lastRow="0" w:noHBand="0" w:noVBand="1" w:val="04A0"/>
        <w:tblInd w:w="120" w:type="dxa"/>
      </w:tblPr>
      <w:tblGrid>
        <w:gridCol w:w="1800"/>
        <w:gridCol w:w="4536"/>
        <w:gridCol w:w="3024"/>
      </w:tblGrid>
      <w:tr>
        <w:tc>
          <w:tcPr>
            <w:tcW w:type="dxa" w:w="1800"/>
            <w:vAlign w:val="top"/>
            <w:shd w:fill="E8EEF5"/>
            <w:tcMar>
              <w:top w:w="80" w:type="dxa"/>
              <w:bottom w:w="80" w:type="dxa"/>
              <w:start w:w="120" w:type="dxa"/>
              <w:end w:w="120" w:type="dxa"/>
            </w:tcMar>
          </w:tcPr>
          <w:p>
            <w:pPr>
              <w:spacing w:after="40"/>
            </w:pPr>
            <w:r>
              <w:rPr>
                <w:rFonts w:ascii="Calibri" w:hAnsi="Calibri"/>
                <w:b/>
                <w:sz w:val="19"/>
              </w:rPr>
              <w:t>Requirement group</w:t>
            </w:r>
          </w:p>
        </w:tc>
        <w:tc>
          <w:tcPr>
            <w:tcW w:type="dxa" w:w="4536"/>
            <w:vAlign w:val="top"/>
            <w:shd w:fill="E8EEF5"/>
            <w:tcMar>
              <w:top w:w="80" w:type="dxa"/>
              <w:bottom w:w="80" w:type="dxa"/>
              <w:start w:w="120" w:type="dxa"/>
              <w:end w:w="120" w:type="dxa"/>
            </w:tcMar>
          </w:tcPr>
          <w:p>
            <w:pPr>
              <w:spacing w:after="40"/>
            </w:pPr>
            <w:r>
              <w:rPr>
                <w:rFonts w:ascii="Calibri" w:hAnsi="Calibri"/>
                <w:b/>
                <w:sz w:val="19"/>
              </w:rPr>
              <w:t>Primary modules / artefacts</w:t>
            </w:r>
          </w:p>
        </w:tc>
        <w:tc>
          <w:tcPr>
            <w:tcW w:type="dxa" w:w="3024"/>
            <w:vAlign w:val="top"/>
            <w:shd w:fill="E8EEF5"/>
            <w:tcMar>
              <w:top w:w="80" w:type="dxa"/>
              <w:bottom w:w="80" w:type="dxa"/>
              <w:start w:w="120" w:type="dxa"/>
              <w:end w:w="120" w:type="dxa"/>
            </w:tcMar>
          </w:tcPr>
          <w:p>
            <w:pPr>
              <w:spacing w:after="40"/>
            </w:pPr>
            <w:r>
              <w:rPr>
                <w:rFonts w:ascii="Calibri" w:hAnsi="Calibri"/>
                <w:b/>
                <w:sz w:val="19"/>
              </w:rPr>
              <w:t>Current state</w:t>
            </w:r>
          </w:p>
        </w:tc>
      </w:tr>
      <w:tr>
        <w:tc>
          <w:tcPr>
            <w:tcW w:type="dxa" w:w="1800"/>
            <w:vAlign w:val="top"/>
            <w:tcMar>
              <w:top w:w="80" w:type="dxa"/>
              <w:bottom w:w="80" w:type="dxa"/>
              <w:start w:w="120" w:type="dxa"/>
              <w:end w:w="120" w:type="dxa"/>
            </w:tcMar>
          </w:tcPr>
          <w:p>
            <w:pPr>
              <w:spacing w:after="40"/>
            </w:pPr>
            <w:r>
              <w:rPr>
                <w:rFonts w:ascii="Calibri" w:hAnsi="Calibri"/>
                <w:b w:val="0"/>
                <w:sz w:val="19"/>
              </w:rPr>
              <w:t>F01–F14</w:t>
            </w:r>
          </w:p>
        </w:tc>
        <w:tc>
          <w:tcPr>
            <w:tcW w:type="dxa" w:w="4536"/>
            <w:vAlign w:val="top"/>
            <w:tcMar>
              <w:top w:w="80" w:type="dxa"/>
              <w:bottom w:w="80" w:type="dxa"/>
              <w:start w:w="120" w:type="dxa"/>
              <w:end w:w="120" w:type="dxa"/>
            </w:tcMar>
          </w:tcPr>
          <w:p>
            <w:pPr>
              <w:spacing w:after="40"/>
            </w:pPr>
            <w:r>
              <w:rPr>
                <w:rFonts w:ascii="Calibri" w:hAnsi="Calibri"/>
                <w:b w:val="0"/>
                <w:sz w:val="19"/>
              </w:rPr>
              <w:t>Node N01–N05; hub H01–H08; backend B01–B08; app A01–A05; S01–S03</w:t>
            </w:r>
          </w:p>
        </w:tc>
        <w:tc>
          <w:tcPr>
            <w:tcW w:type="dxa" w:w="3024"/>
            <w:vAlign w:val="top"/>
            <w:tcMar>
              <w:top w:w="80" w:type="dxa"/>
              <w:bottom w:w="80" w:type="dxa"/>
              <w:start w:w="120" w:type="dxa"/>
              <w:end w:w="120" w:type="dxa"/>
            </w:tcMar>
          </w:tcPr>
          <w:p>
            <w:pPr>
              <w:spacing w:after="40"/>
            </w:pPr>
            <w:r>
              <w:rPr>
                <w:rFonts w:ascii="Calibri" w:hAnsi="Calibri"/>
                <w:b w:val="0"/>
                <w:sz w:val="19"/>
              </w:rPr>
              <w:t>Hardware-independent reference implementation and host tests available.</w:t>
            </w:r>
          </w:p>
        </w:tc>
      </w:tr>
      <w:tr>
        <w:tc>
          <w:tcPr>
            <w:tcW w:type="dxa" w:w="1800"/>
            <w:vAlign w:val="top"/>
            <w:tcMar>
              <w:top w:w="80" w:type="dxa"/>
              <w:bottom w:w="80" w:type="dxa"/>
              <w:start w:w="120" w:type="dxa"/>
              <w:end w:w="120" w:type="dxa"/>
            </w:tcMar>
          </w:tcPr>
          <w:p>
            <w:pPr>
              <w:spacing w:after="40"/>
            </w:pPr>
            <w:r>
              <w:rPr>
                <w:rFonts w:ascii="Calibri" w:hAnsi="Calibri"/>
                <w:b w:val="0"/>
                <w:sz w:val="19"/>
              </w:rPr>
              <w:t>E01–E10</w:t>
            </w:r>
          </w:p>
        </w:tc>
        <w:tc>
          <w:tcPr>
            <w:tcW w:type="dxa" w:w="4536"/>
            <w:vAlign w:val="top"/>
            <w:tcMar>
              <w:top w:w="80" w:type="dxa"/>
              <w:bottom w:w="80" w:type="dxa"/>
              <w:start w:w="120" w:type="dxa"/>
              <w:end w:w="120" w:type="dxa"/>
            </w:tcMar>
          </w:tcPr>
          <w:p>
            <w:pPr>
              <w:spacing w:after="40"/>
            </w:pPr>
            <w:r>
              <w:rPr>
                <w:rFonts w:ascii="Calibri" w:hAnsi="Calibri"/>
                <w:b w:val="0"/>
                <w:sz w:val="19"/>
              </w:rPr>
              <w:t>Firmware runtime, contracts, storage, security, operations</w:t>
            </w:r>
          </w:p>
        </w:tc>
        <w:tc>
          <w:tcPr>
            <w:tcW w:type="dxa" w:w="3024"/>
            <w:vAlign w:val="top"/>
            <w:tcMar>
              <w:top w:w="80" w:type="dxa"/>
              <w:bottom w:w="80" w:type="dxa"/>
              <w:start w:w="120" w:type="dxa"/>
              <w:end w:w="120" w:type="dxa"/>
            </w:tcMar>
          </w:tcPr>
          <w:p>
            <w:pPr>
              <w:spacing w:after="40"/>
            </w:pPr>
            <w:r>
              <w:rPr>
                <w:rFonts w:ascii="Calibri" w:hAnsi="Calibri"/>
                <w:b w:val="0"/>
                <w:sz w:val="19"/>
              </w:rPr>
              <w:t>Host implementation available; physical integration and resource measurements pending.</w:t>
            </w:r>
          </w:p>
        </w:tc>
      </w:tr>
      <w:tr>
        <w:tc>
          <w:tcPr>
            <w:tcW w:type="dxa" w:w="1800"/>
            <w:vAlign w:val="top"/>
            <w:tcMar>
              <w:top w:w="80" w:type="dxa"/>
              <w:bottom w:w="80" w:type="dxa"/>
              <w:start w:w="120" w:type="dxa"/>
              <w:end w:w="120" w:type="dxa"/>
            </w:tcMar>
          </w:tcPr>
          <w:p>
            <w:pPr>
              <w:spacing w:after="40"/>
            </w:pPr>
            <w:r>
              <w:rPr>
                <w:rFonts w:ascii="Calibri" w:hAnsi="Calibri"/>
                <w:b w:val="0"/>
                <w:sz w:val="19"/>
              </w:rPr>
              <w:t>Diagnostics</w:t>
            </w:r>
          </w:p>
        </w:tc>
        <w:tc>
          <w:tcPr>
            <w:tcW w:type="dxa" w:w="4536"/>
            <w:vAlign w:val="top"/>
            <w:tcMar>
              <w:top w:w="80" w:type="dxa"/>
              <w:bottom w:w="80" w:type="dxa"/>
              <w:start w:w="120" w:type="dxa"/>
              <w:end w:w="120" w:type="dxa"/>
            </w:tcMar>
          </w:tcPr>
          <w:p>
            <w:pPr>
              <w:spacing w:after="40"/>
            </w:pPr>
            <w:r>
              <w:rPr>
                <w:rFonts w:ascii="Calibri" w:hAnsi="Calibri"/>
                <w:b w:val="0"/>
                <w:sz w:val="19"/>
              </w:rPr>
              <w:t>shared logging, host sink, backend logging_config, app logging, log analyzer</w:t>
            </w:r>
          </w:p>
        </w:tc>
        <w:tc>
          <w:tcPr>
            <w:tcW w:type="dxa" w:w="3024"/>
            <w:vAlign w:val="top"/>
            <w:tcMar>
              <w:top w:w="80" w:type="dxa"/>
              <w:bottom w:w="80" w:type="dxa"/>
              <w:start w:w="120" w:type="dxa"/>
              <w:end w:w="120" w:type="dxa"/>
            </w:tcMar>
          </w:tcPr>
          <w:p>
            <w:pPr>
              <w:spacing w:after="40"/>
            </w:pPr>
            <w:r>
              <w:rPr>
                <w:rFonts w:ascii="Calibri" w:hAnsi="Calibri"/>
                <w:b w:val="0"/>
                <w:sz w:val="19"/>
              </w:rPr>
              <w:t>Implemented and host-verified in v1.1 source package.</w:t>
            </w:r>
          </w:p>
        </w:tc>
      </w:tr>
      <w:tr>
        <w:tc>
          <w:tcPr>
            <w:tcW w:type="dxa" w:w="1800"/>
            <w:vAlign w:val="top"/>
            <w:tcMar>
              <w:top w:w="80" w:type="dxa"/>
              <w:bottom w:w="80" w:type="dxa"/>
              <w:start w:w="120" w:type="dxa"/>
              <w:end w:w="120" w:type="dxa"/>
            </w:tcMar>
          </w:tcPr>
          <w:p>
            <w:pPr>
              <w:spacing w:after="40"/>
            </w:pPr>
            <w:r>
              <w:rPr>
                <w:rFonts w:ascii="Calibri" w:hAnsi="Calibri"/>
                <w:b w:val="0"/>
                <w:sz w:val="19"/>
              </w:rPr>
              <w:t>Documents</w:t>
            </w:r>
          </w:p>
        </w:tc>
        <w:tc>
          <w:tcPr>
            <w:tcW w:type="dxa" w:w="4536"/>
            <w:vAlign w:val="top"/>
            <w:tcMar>
              <w:top w:w="80" w:type="dxa"/>
              <w:bottom w:w="80" w:type="dxa"/>
              <w:start w:w="120" w:type="dxa"/>
              <w:end w:w="120" w:type="dxa"/>
            </w:tcMar>
          </w:tcPr>
          <w:p>
            <w:pPr>
              <w:spacing w:after="40"/>
            </w:pPr>
            <w:r>
              <w:rPr>
                <w:rFonts w:ascii="Calibri" w:hAnsi="Calibri"/>
                <w:b w:val="0"/>
                <w:sz w:val="19"/>
              </w:rPr>
              <w:t>P0 requirements/design v1.3; LLD v1.1; UML/sequence/architecture artefacts</w:t>
            </w:r>
          </w:p>
        </w:tc>
        <w:tc>
          <w:tcPr>
            <w:tcW w:type="dxa" w:w="3024"/>
            <w:vAlign w:val="top"/>
            <w:tcMar>
              <w:top w:w="80" w:type="dxa"/>
              <w:bottom w:w="80" w:type="dxa"/>
              <w:start w:w="120" w:type="dxa"/>
              <w:end w:w="120" w:type="dxa"/>
            </w:tcMar>
          </w:tcPr>
          <w:p>
            <w:pPr>
              <w:spacing w:after="40"/>
            </w:pPr>
            <w:r>
              <w:rPr>
                <w:rFonts w:ascii="Calibri" w:hAnsi="Calibri"/>
                <w:b w:val="0"/>
                <w:sz w:val="19"/>
              </w:rPr>
              <w:t>Maintained separately; this SRD is the software requirement authority.</w:t>
            </w:r>
          </w:p>
        </w:tc>
      </w:tr>
    </w:tbl>
    <w:p>
      <w:pPr>
        <w:spacing w:after="40"/>
      </w:pPr>
    </w:p>
    <w:p>
      <w:pPr>
        <w:pStyle w:val="Heading1"/>
      </w:pPr>
      <w:r>
        <w:rPr>
          <w:color w:val="000000"/>
        </w:rPr>
        <w:t>12. P1/P2 enhancement boundary</w:t>
      </w:r>
    </w:p>
    <w:p>
      <w:r>
        <w:t>Potential future work includes temperature/humidity context experiments, smoke/fire-specific certified hardware, external-camera event adapters, additional routines, multilingual prerecorded prompts, optional professional response service, fall-detection research and carefully consented audio/AI features. Each requires a new threat, privacy, reliability, liability and acceptance review; none is implied by this SRD.</w:t>
      </w:r>
    </w:p>
    <w:p>
      <w:pPr>
        <w:pStyle w:val="Heading1"/>
      </w:pPr>
      <w:r>
        <w:rPr>
          <w:color w:val="000000"/>
        </w:rPr>
        <w:t>Appendix A. Glossary</w:t>
      </w:r>
    </w:p>
    <w:tbl>
      <w:tblPr>
        <w:tblW w:type="dxa" w:w="9360"/>
        <w:jc w:val="left"/>
        <w:tblLayout w:type="fixed"/>
        <w:tblLook w:firstColumn="1" w:firstRow="1" w:lastColumn="0" w:lastRow="0" w:noHBand="0" w:noVBand="1" w:val="04A0"/>
        <w:tblInd w:w="120" w:type="dxa"/>
      </w:tblPr>
      <w:tblGrid>
        <w:gridCol w:w="2232"/>
        <w:gridCol w:w="7128"/>
      </w:tblGrid>
      <w:tr>
        <w:tc>
          <w:tcPr>
            <w:tcW w:type="dxa" w:w="2232"/>
            <w:vAlign w:val="top"/>
            <w:shd w:fill="E8EEF5"/>
            <w:tcMar>
              <w:top w:w="80" w:type="dxa"/>
              <w:bottom w:w="80" w:type="dxa"/>
              <w:start w:w="120" w:type="dxa"/>
              <w:end w:w="120" w:type="dxa"/>
            </w:tcMar>
          </w:tcPr>
          <w:p>
            <w:pPr>
              <w:spacing w:after="40"/>
            </w:pPr>
            <w:r>
              <w:rPr>
                <w:rFonts w:ascii="Calibri" w:hAnsi="Calibri"/>
                <w:b/>
                <w:sz w:val="19"/>
              </w:rPr>
              <w:t>Term</w:t>
            </w:r>
          </w:p>
        </w:tc>
        <w:tc>
          <w:tcPr>
            <w:tcW w:type="dxa" w:w="7128"/>
            <w:vAlign w:val="top"/>
            <w:shd w:fill="E8EEF5"/>
            <w:tcMar>
              <w:top w:w="80" w:type="dxa"/>
              <w:bottom w:w="80" w:type="dxa"/>
              <w:start w:w="120" w:type="dxa"/>
              <w:end w:w="120" w:type="dxa"/>
            </w:tcMar>
          </w:tcPr>
          <w:p>
            <w:pPr>
              <w:spacing w:after="40"/>
            </w:pPr>
            <w:r>
              <w:rPr>
                <w:rFonts w:ascii="Calibri" w:hAnsi="Calibri"/>
                <w:b/>
                <w:sz w:val="19"/>
              </w:rPr>
              <w:t>Meaning</w:t>
            </w:r>
          </w:p>
        </w:tc>
      </w:tr>
      <w:tr>
        <w:tc>
          <w:tcPr>
            <w:tcW w:type="dxa" w:w="2232"/>
            <w:vAlign w:val="top"/>
            <w:tcMar>
              <w:top w:w="80" w:type="dxa"/>
              <w:bottom w:w="80" w:type="dxa"/>
              <w:start w:w="120" w:type="dxa"/>
              <w:end w:w="120" w:type="dxa"/>
            </w:tcMar>
          </w:tcPr>
          <w:p>
            <w:pPr>
              <w:spacing w:after="40"/>
            </w:pPr>
            <w:r>
              <w:rPr>
                <w:rFonts w:ascii="Calibri" w:hAnsi="Calibri"/>
                <w:b w:val="0"/>
                <w:sz w:val="19"/>
              </w:rPr>
              <w:t>Activity evidence</w:t>
            </w:r>
          </w:p>
        </w:tc>
        <w:tc>
          <w:tcPr>
            <w:tcW w:type="dxa" w:w="7128"/>
            <w:vAlign w:val="top"/>
            <w:tcMar>
              <w:top w:w="80" w:type="dxa"/>
              <w:bottom w:w="80" w:type="dxa"/>
              <w:start w:w="120" w:type="dxa"/>
              <w:end w:w="120" w:type="dxa"/>
            </w:tcMar>
          </w:tcPr>
          <w:p>
            <w:pPr>
              <w:spacing w:after="40"/>
            </w:pPr>
            <w:r>
              <w:rPr>
                <w:rFonts w:ascii="Calibri" w:hAnsi="Calibri"/>
                <w:b w:val="0"/>
                <w:sz w:val="19"/>
              </w:rPr>
              <w:t>A qualifying sensor event observed within a configured window; it is not a wellbeing conclusion.</w:t>
            </w:r>
          </w:p>
        </w:tc>
      </w:tr>
      <w:tr>
        <w:tc>
          <w:tcPr>
            <w:tcW w:type="dxa" w:w="2232"/>
            <w:vAlign w:val="top"/>
            <w:tcMar>
              <w:top w:w="80" w:type="dxa"/>
              <w:bottom w:w="80" w:type="dxa"/>
              <w:start w:w="120" w:type="dxa"/>
              <w:end w:w="120" w:type="dxa"/>
            </w:tcMar>
          </w:tcPr>
          <w:p>
            <w:pPr>
              <w:spacing w:after="40"/>
            </w:pPr>
            <w:r>
              <w:rPr>
                <w:rFonts w:ascii="Calibri" w:hAnsi="Calibri"/>
                <w:b w:val="0"/>
                <w:sz w:val="19"/>
              </w:rPr>
              <w:t>Coverage</w:t>
            </w:r>
          </w:p>
        </w:tc>
        <w:tc>
          <w:tcPr>
            <w:tcW w:type="dxa" w:w="7128"/>
            <w:vAlign w:val="top"/>
            <w:tcMar>
              <w:top w:w="80" w:type="dxa"/>
              <w:bottom w:w="80" w:type="dxa"/>
              <w:start w:w="120" w:type="dxa"/>
              <w:end w:w="120" w:type="dxa"/>
            </w:tcMar>
          </w:tcPr>
          <w:p>
            <w:pPr>
              <w:spacing w:after="40"/>
            </w:pPr>
            <w:r>
              <w:rPr>
                <w:rFonts w:ascii="Calibri" w:hAnsi="Calibri"/>
                <w:b w:val="0"/>
                <w:sz w:val="19"/>
              </w:rPr>
              <w:t>Whether configured sensors/hub/time are sufficiently reachable and valid to interpret absence.</w:t>
            </w:r>
          </w:p>
        </w:tc>
      </w:tr>
      <w:tr>
        <w:tc>
          <w:tcPr>
            <w:tcW w:type="dxa" w:w="2232"/>
            <w:vAlign w:val="top"/>
            <w:tcMar>
              <w:top w:w="80" w:type="dxa"/>
              <w:bottom w:w="80" w:type="dxa"/>
              <w:start w:w="120" w:type="dxa"/>
              <w:end w:w="120" w:type="dxa"/>
            </w:tcMar>
          </w:tcPr>
          <w:p>
            <w:pPr>
              <w:spacing w:after="40"/>
            </w:pPr>
            <w:r>
              <w:rPr>
                <w:rFonts w:ascii="Calibri" w:hAnsi="Calibri"/>
                <w:b w:val="0"/>
                <w:sz w:val="19"/>
              </w:rPr>
              <w:t>Durable ACK</w:t>
            </w:r>
          </w:p>
        </w:tc>
        <w:tc>
          <w:tcPr>
            <w:tcW w:type="dxa" w:w="7128"/>
            <w:vAlign w:val="top"/>
            <w:tcMar>
              <w:top w:w="80" w:type="dxa"/>
              <w:bottom w:w="80" w:type="dxa"/>
              <w:start w:w="120" w:type="dxa"/>
              <w:end w:w="120" w:type="dxa"/>
            </w:tcMar>
          </w:tcPr>
          <w:p>
            <w:pPr>
              <w:spacing w:after="40"/>
            </w:pPr>
            <w:r>
              <w:rPr>
                <w:rFonts w:ascii="Calibri" w:hAnsi="Calibri"/>
                <w:b w:val="0"/>
                <w:sz w:val="19"/>
              </w:rPr>
              <w:t>Application acknowledgement after the receiving state owner has committed an event.</w:t>
            </w:r>
          </w:p>
        </w:tc>
      </w:tr>
      <w:tr>
        <w:tc>
          <w:tcPr>
            <w:tcW w:type="dxa" w:w="2232"/>
            <w:vAlign w:val="top"/>
            <w:tcMar>
              <w:top w:w="80" w:type="dxa"/>
              <w:bottom w:w="80" w:type="dxa"/>
              <w:start w:w="120" w:type="dxa"/>
              <w:end w:w="120" w:type="dxa"/>
            </w:tcMar>
          </w:tcPr>
          <w:p>
            <w:pPr>
              <w:spacing w:after="40"/>
            </w:pPr>
            <w:r>
              <w:rPr>
                <w:rFonts w:ascii="Calibri" w:hAnsi="Calibri"/>
                <w:b w:val="0"/>
                <w:sz w:val="19"/>
              </w:rPr>
              <w:t>Grace interval</w:t>
            </w:r>
          </w:p>
        </w:tc>
        <w:tc>
          <w:tcPr>
            <w:tcW w:type="dxa" w:w="7128"/>
            <w:vAlign w:val="top"/>
            <w:tcMar>
              <w:top w:w="80" w:type="dxa"/>
              <w:bottom w:w="80" w:type="dxa"/>
              <w:start w:w="120" w:type="dxa"/>
              <w:end w:w="120" w:type="dxa"/>
            </w:tcMar>
          </w:tcPr>
          <w:p>
            <w:pPr>
              <w:spacing w:after="40"/>
            </w:pPr>
            <w:r>
              <w:rPr>
                <w:rFonts w:ascii="Calibri" w:hAnsi="Calibri"/>
                <w:b w:val="0"/>
                <w:sz w:val="19"/>
              </w:rPr>
              <w:t>Configured period after a routine deadline before absence handling is finalised.</w:t>
            </w:r>
          </w:p>
        </w:tc>
      </w:tr>
      <w:tr>
        <w:tc>
          <w:tcPr>
            <w:tcW w:type="dxa" w:w="2232"/>
            <w:vAlign w:val="top"/>
            <w:tcMar>
              <w:top w:w="80" w:type="dxa"/>
              <w:bottom w:w="80" w:type="dxa"/>
              <w:start w:w="120" w:type="dxa"/>
              <w:end w:w="120" w:type="dxa"/>
            </w:tcMar>
          </w:tcPr>
          <w:p>
            <w:pPr>
              <w:spacing w:after="40"/>
            </w:pPr>
            <w:r>
              <w:rPr>
                <w:rFonts w:ascii="Calibri" w:hAnsi="Calibri"/>
                <w:b w:val="0"/>
                <w:sz w:val="19"/>
              </w:rPr>
              <w:t>Privacy mode</w:t>
            </w:r>
          </w:p>
        </w:tc>
        <w:tc>
          <w:tcPr>
            <w:tcW w:type="dxa" w:w="7128"/>
            <w:vAlign w:val="top"/>
            <w:tcMar>
              <w:top w:w="80" w:type="dxa"/>
              <w:bottom w:w="80" w:type="dxa"/>
              <w:start w:w="120" w:type="dxa"/>
              <w:end w:w="120" w:type="dxa"/>
            </w:tcMar>
          </w:tcPr>
          <w:p>
            <w:pPr>
              <w:spacing w:after="40"/>
            </w:pPr>
            <w:r>
              <w:rPr>
                <w:rFonts w:ascii="Calibri" w:hAnsi="Calibri"/>
                <w:b w:val="0"/>
                <w:sz w:val="19"/>
              </w:rPr>
              <w:t>Resident-controlled state that suppresses configured passive observation.</w:t>
            </w:r>
          </w:p>
        </w:tc>
      </w:tr>
      <w:tr>
        <w:tc>
          <w:tcPr>
            <w:tcW w:type="dxa" w:w="2232"/>
            <w:vAlign w:val="top"/>
            <w:tcMar>
              <w:top w:w="80" w:type="dxa"/>
              <w:bottom w:w="80" w:type="dxa"/>
              <w:start w:w="120" w:type="dxa"/>
              <w:end w:w="120" w:type="dxa"/>
            </w:tcMar>
          </w:tcPr>
          <w:p>
            <w:pPr>
              <w:spacing w:after="40"/>
            </w:pPr>
            <w:r>
              <w:rPr>
                <w:rFonts w:ascii="Calibri" w:hAnsi="Calibri"/>
                <w:b w:val="0"/>
                <w:sz w:val="19"/>
              </w:rPr>
              <w:t>P0</w:t>
            </w:r>
          </w:p>
        </w:tc>
        <w:tc>
          <w:tcPr>
            <w:tcW w:type="dxa" w:w="7128"/>
            <w:vAlign w:val="top"/>
            <w:tcMar>
              <w:top w:w="80" w:type="dxa"/>
              <w:bottom w:w="80" w:type="dxa"/>
              <w:start w:w="120" w:type="dxa"/>
              <w:end w:w="120" w:type="dxa"/>
            </w:tcMar>
          </w:tcPr>
          <w:p>
            <w:pPr>
              <w:spacing w:after="40"/>
            </w:pPr>
            <w:r>
              <w:rPr>
                <w:rFonts w:ascii="Calibri" w:hAnsi="Calibri"/>
                <w:b w:val="0"/>
                <w:sz w:val="19"/>
              </w:rPr>
              <w:t>First-launch requirements required for a trustworthy prototype/pilot; P1/P2 are excluded unless stated.</w:t>
            </w:r>
          </w:p>
        </w:tc>
      </w:tr>
    </w:tbl>
    <w:p>
      <w:pPr>
        <w:spacing w:after="40"/>
      </w:pPr>
    </w:p>
    <w:p>
      <w:pPr>
        <w:pStyle w:val="Heading1"/>
      </w:pPr>
      <w:r>
        <w:rPr>
          <w:color w:val="000000"/>
        </w:rPr>
        <w:t>Detailed requirement interpretation and acceptance examples</w:t>
      </w:r>
    </w:p>
    <w:p>
      <w:pPr>
        <w:pStyle w:val="Heading2"/>
      </w:pPr>
      <w:r>
        <w:rPr>
          <w:color w:val="000000"/>
        </w:rPr>
        <w:t>F01 Household profile and caregiver roles</w:t>
      </w:r>
    </w:p>
    <w:p>
      <w:r>
        <w:rPr>
          <w:b/>
        </w:rPr>
        <w:t xml:space="preserve">Meaning. </w:t>
      </w:r>
      <w:r>
        <w:t>A household is the access boundary for every device, event and caregiver action. A resident is the person being observed; a caregiver is a person allowed to view or act on that household. These are different roles even when the same family member performs setup.</w:t>
      </w:r>
    </w:p>
    <w:p>
      <w:r>
        <w:rPr>
          <w:b/>
        </w:rPr>
        <w:t xml:space="preserve">Worked example. </w:t>
      </w:r>
      <w:r>
        <w:t>For example, Rahul creates home H1 for two consenting residents and assigns two different caregiver accounts. An account belonging only to H2 must not read H1, even if it knows an H1 event identifier.</w:t>
      </w:r>
    </w:p>
    <w:p>
      <w:r>
        <w:rPr>
          <w:b/>
        </w:rPr>
        <w:t xml:space="preserve">Reference implementation boundary. </w:t>
      </w:r>
      <w:r>
        <w:t>Python services and JavaScript form models exist. Production login, database transactions and complete resident-profile/consent evidence are not established by those tests. The local HTTP demo uses a development identity mechanism and must not be exposed as production authentication.</w:t>
      </w:r>
    </w:p>
    <w:p>
      <w:r>
        <w:rPr>
          <w:b/>
        </w:rPr>
        <w:t xml:space="preserve">Acceptance experiment. </w:t>
      </w:r>
      <w:r>
        <w:t>Create a valid household, repeat the same creation request, try a missing-consent draft, assign the same primary and backup, and attempt cross-house access. Check both returned errors and stored membership records.</w:t>
      </w:r>
    </w:p>
    <w:p>
      <w:r>
        <w:rPr>
          <w:b/>
        </w:rPr>
        <w:t xml:space="preserve">Participants and traceability. </w:t>
      </w:r>
      <w:r>
        <w:t>B01, B02, A01, S01. Source paths and test references are in the traceability register. See diagrams/sequences/png and diagrams/sequences/uml for the corresponding F01 flow.</w:t>
      </w:r>
    </w:p>
    <w:p>
      <w:pPr>
        <w:pStyle w:val="Heading2"/>
      </w:pPr>
      <w:r>
        <w:rPr>
          <w:color w:val="000000"/>
        </w:rPr>
        <w:t>F02 Resident consent and privacy controls</w:t>
      </w:r>
    </w:p>
    <w:p>
      <w:r>
        <w:rPr>
          <w:b/>
        </w:rPr>
        <w:t xml:space="preserve">Meaning. </w:t>
      </w:r>
      <w:r>
        <w:t>Consent explains what is collected, why, who receives it and how to stop it. Privacy mode must affect collection and processing, not merely hide a dashboard card. AI consent is separate from permission to observe motion.</w:t>
      </w:r>
    </w:p>
    <w:p>
      <w:r>
        <w:rPr>
          <w:b/>
        </w:rPr>
        <w:t xml:space="preserve">Worked example. </w:t>
      </w:r>
      <w:r>
        <w:t>A resident turns privacy on during a family visit. The caregiver should see observation paused. A later PIR event must not be interpreted as an ordinary monitored event. Turning privacy off does not reconstruct activity that was deliberately unobserved.</w:t>
      </w:r>
    </w:p>
    <w:p>
      <w:r>
        <w:rPr>
          <w:b/>
        </w:rPr>
        <w:t xml:space="preserve">Reference implementation boundary. </w:t>
      </w:r>
      <w:r>
        <w:t>The backend mode mutation and a hub passive-event policy are present in the host model. End-to-end node stop, deletion/retention enforcement, physical privacy control and live AI cancellation propagation remain integration work.</w:t>
      </w:r>
    </w:p>
    <w:p>
      <w:r>
        <w:rPr>
          <w:b/>
        </w:rPr>
        <w:t xml:space="preserve">Acceptance experiment. </w:t>
      </w:r>
      <w:r>
        <w:t>During an active routine, withdraw consent and send passive events before and after application acknowledgement. Confirm visible privacy state, no false absence incident and no resumption without a deliberate new state transition.</w:t>
      </w:r>
    </w:p>
    <w:p>
      <w:r>
        <w:rPr>
          <w:b/>
        </w:rPr>
        <w:t xml:space="preserve">Participants and traceability. </w:t>
      </w:r>
      <w:r>
        <w:t>B02, H06, H07, A01, B08. Source paths and test references are in the traceability register. See diagrams/sequences/png and diagrams/sequences/uml for the corresponding F02 flow.</w:t>
      </w:r>
    </w:p>
    <w:p>
      <w:pPr>
        <w:pStyle w:val="Heading2"/>
      </w:pPr>
      <w:r>
        <w:rPr>
          <w:color w:val="000000"/>
        </w:rPr>
        <w:t>F03 Kit provisioning and installation verification</w:t>
      </w:r>
    </w:p>
    <w:p>
      <w:r>
        <w:rPr>
          <w:b/>
        </w:rPr>
        <w:t xml:space="preserve">Meaning. </w:t>
      </w:r>
      <w:r>
        <w:t>Provisioning binds the physical kit to the correct home and names the place each node observes. Installation verification proves that a connected device also detects the intended movement. A heartbeat alone cannot prove correct placement.</w:t>
      </w:r>
    </w:p>
    <w:p>
      <w:r>
        <w:rPr>
          <w:b/>
        </w:rPr>
        <w:t xml:space="preserve">Worked example. </w:t>
      </w:r>
      <w:r>
        <w:t>NODE-KT is paired to H1 but its PIR faces a hot window. Radio tests may pass while the sensor produces misleading evidence. The installation checklist must therefore include both communications and a real walk test.</w:t>
      </w:r>
    </w:p>
    <w:p>
      <w:r>
        <w:rPr>
          <w:b/>
        </w:rPr>
        <w:t xml:space="preserve">Reference implementation boundary. </w:t>
      </w:r>
      <w:r>
        <w:t>Configuration validators and checklist scaffolds exist. A secure claim service, ESP-NOW pairing, factory keys, serial provisioning and verified physical evidence do not yet exist as an integrated system.</w:t>
      </w:r>
    </w:p>
    <w:p>
      <w:r>
        <w:rPr>
          <w:b/>
        </w:rPr>
        <w:t xml:space="preserve">Acceptance experiment. </w:t>
      </w:r>
      <w:r>
        <w:t>Reject duplicate node IDs and wrong-board configuration. Walk each intended path, disconnect one sensor, test every resident button and perform a real notification drill before enabling unattended alerts.</w:t>
      </w:r>
    </w:p>
    <w:p>
      <w:r>
        <w:rPr>
          <w:b/>
        </w:rPr>
        <w:t xml:space="preserve">Participants and traceability. </w:t>
      </w:r>
      <w:r>
        <w:t>N04, H07, B06, A01, S03, T02. Source paths and test references are in the traceability register. See diagrams/sequences/png and diagrams/sequences/uml for the corresponding F03 flow.</w:t>
      </w:r>
    </w:p>
    <w:p>
      <w:pPr>
        <w:pStyle w:val="Heading2"/>
      </w:pPr>
      <w:r>
        <w:rPr>
          <w:color w:val="000000"/>
        </w:rPr>
        <w:t>F04 Configurable morning routine</w:t>
      </w:r>
    </w:p>
    <w:p>
      <w:r>
        <w:rPr>
          <w:b/>
        </w:rPr>
        <w:t xml:space="preserve">Meaning. </w:t>
      </w:r>
      <w:r>
        <w:t>A morning routine is a configured interval and a rule for interpreting household evidence. It is not a prediction of when a particular parent must wake. The same daily schedule can be adjusted after a shadow trial.</w:t>
      </w:r>
    </w:p>
    <w:p>
      <w:r>
        <w:rPr>
          <w:b/>
        </w:rPr>
        <w:t xml:space="preserve">Worked example. </w:t>
      </w:r>
      <w:r>
        <w:t>For illustration, watch from 05:30 to 10:00 and finish the grace period at 10:10. These are editable trial values. A configuration saved on the phone at 09:00 is still pending until the hub reports the applied version.</w:t>
      </w:r>
    </w:p>
    <w:p>
      <w:r>
        <w:rPr>
          <w:b/>
        </w:rPr>
        <w:t xml:space="preserve">Reference implementation boundary. </w:t>
      </w:r>
      <w:r>
        <w:t>Reference validators and a window reducer exist. The current C++ routine receives absolute epoch boundaries; a production scheduler must convert local dates and time zones and persist window transitions. Legacy capability flags do not all enforce behaviour.</w:t>
      </w:r>
    </w:p>
    <w:p>
      <w:r>
        <w:rPr>
          <w:b/>
        </w:rPr>
        <w:t xml:space="preserve">Acceptance experiment. </w:t>
      </w:r>
      <w:r>
        <w:t>Apply an increasing version, reject an older one, simulate a time-zone boundary and a mid-window update, and inspect desired versus applied state. Do not mark the schedule active just because the API accepted it.</w:t>
      </w:r>
    </w:p>
    <w:p>
      <w:r>
        <w:rPr>
          <w:b/>
        </w:rPr>
        <w:t xml:space="preserve">Participants and traceability. </w:t>
      </w:r>
      <w:r>
        <w:t>A03, B06, H07, H03, H05, S02. Source paths and test references are in the traceability register. See diagrams/sequences/png and diagrams/sequences/uml for the corresponding F04 flow.</w:t>
      </w:r>
    </w:p>
    <w:p>
      <w:pPr>
        <w:pStyle w:val="Heading2"/>
      </w:pPr>
      <w:r>
        <w:rPr>
          <w:color w:val="000000"/>
        </w:rPr>
        <w:t>F05 Morning activity evidence</w:t>
      </w:r>
    </w:p>
    <w:p>
      <w:r>
        <w:rPr>
          <w:b/>
        </w:rPr>
        <w:t xml:space="preserve">Meaning. </w:t>
      </w:r>
      <w:r>
        <w:t>Activity evidence is a qualified motion or permitted door event within the configured window. It shows that movement was observed somewhere eligible. It does not identify mother or father and does not establish that either person is well.</w:t>
      </w:r>
    </w:p>
    <w:p>
      <w:r>
        <w:rPr>
          <w:b/>
        </w:rPr>
        <w:t xml:space="preserve">Worked example. </w:t>
      </w:r>
      <w:r>
        <w:t>Mother enters the pooja area while father stays in Room 2. The household has activity evidence, but the system cannot conclude that father moved. Sitting still for fifteen minutes can produce no additional PIR edges.</w:t>
      </w:r>
    </w:p>
    <w:p>
      <w:r>
        <w:rPr>
          <w:b/>
        </w:rPr>
        <w:t xml:space="preserve">Reference implementation boundary. </w:t>
      </w:r>
      <w:r>
        <w:t>Two-zone, kitchen-session and pooja-duration examples in the earlier deployment guide are historical hypotheses, not implemented algorithms. The host reducer also retains evidence IDs in a vector; bounded deduplication and historical coverage intervals remain open work.</w:t>
      </w:r>
    </w:p>
    <w:p>
      <w:r>
        <w:rPr>
          <w:b/>
        </w:rPr>
        <w:t xml:space="preserve">Acceptance experiment. </w:t>
      </w:r>
      <w:r>
        <w:t>Replay allowed/disallowed locations, test events, out-of-window events and duplicate event IDs. Check household wording and separate coverage. A new replay test must expose duplicate evidence IDs rather than assuming journal deduplication protects the reducer.</w:t>
      </w:r>
    </w:p>
    <w:p>
      <w:r>
        <w:rPr>
          <w:b/>
        </w:rPr>
        <w:t xml:space="preserve">Participants and traceability. </w:t>
      </w:r>
      <w:r>
        <w:t>N01, H01, H02, H05, S02, B07, A02. Source paths and test references are in the traceability register. See diagrams/sequences/png and diagrams/sequences/uml for the corresponding F05 flow.</w:t>
      </w:r>
    </w:p>
    <w:p>
      <w:pPr>
        <w:pStyle w:val="Heading2"/>
      </w:pPr>
      <w:r>
        <w:rPr>
          <w:color w:val="000000"/>
        </w:rPr>
        <w:t>F06 Explicit I’m OK check-in</w:t>
      </w:r>
    </w:p>
    <w:p>
      <w:r>
        <w:rPr>
          <w:b/>
        </w:rPr>
        <w:t xml:space="preserve">Meaning. </w:t>
      </w:r>
      <w:r>
        <w:t>An explicit I am OK action is a resident statement recorded separately from passive motion. It should be possible without a phone and should give immediate, understandable local feedback.</w:t>
      </w:r>
    </w:p>
    <w:p>
      <w:r>
        <w:rPr>
          <w:b/>
        </w:rPr>
        <w:t xml:space="preserve">Worked example. </w:t>
      </w:r>
      <w:r>
        <w:t>A parent wakes late and presses OK. The display may say that the check-in was saved locally; if the internet is down it must not say the family has already received it.</w:t>
      </w:r>
    </w:p>
    <w:p>
      <w:r>
        <w:rPr>
          <w:b/>
        </w:rPr>
        <w:t xml:space="preserve">Reference implementation boundary. </w:t>
      </w:r>
      <w:r>
        <w:t>Event construction and rule handling exist. The current reducer ignores OK while in suppressed modes and outside its configured activity interval. The product-level requirement to retain manual actions independently still requires complete runtime wiring and a reviewed grace-period policy.</w:t>
      </w:r>
    </w:p>
    <w:p>
      <w:r>
        <w:rPr>
          <w:b/>
        </w:rPr>
        <w:t xml:space="preserve">Acceptance experiment. </w:t>
      </w:r>
      <w:r>
        <w:t>Test press, bounce, held button, WAN outage and reboot between save and send. Measure the 500 ms local confirmation target on hardware. Verify that a caregiver acknowledgement cannot masquerade as resident OK.</w:t>
      </w:r>
    </w:p>
    <w:p>
      <w:r>
        <w:rPr>
          <w:b/>
        </w:rPr>
        <w:t xml:space="preserve">Participants and traceability. </w:t>
      </w:r>
      <w:r>
        <w:t>H06, H02, H05, S02, B07, A02. Source paths and test references are in the traceability register. See diagrams/sequences/png and diagrams/sequences/uml for the corresponding F06 flow.</w:t>
      </w:r>
    </w:p>
    <w:p>
      <w:pPr>
        <w:pStyle w:val="Heading2"/>
      </w:pPr>
      <w:r>
        <w:rPr>
          <w:color w:val="000000"/>
        </w:rPr>
        <w:t>F07 Call family request</w:t>
      </w:r>
    </w:p>
    <w:p>
      <w:r>
        <w:rPr>
          <w:b/>
        </w:rPr>
        <w:t xml:space="preserve">Meaning. </w:t>
      </w:r>
      <w:r>
        <w:t>Call family means the resident is requesting human contact. It is separate from missing routine evidence, carries higher routing importance and must not wait for the next morning deadline.</w:t>
      </w:r>
    </w:p>
    <w:p>
      <w:r>
        <w:rPr>
          <w:b/>
        </w:rPr>
        <w:t xml:space="preserve">Worked example. </w:t>
      </w:r>
      <w:r>
        <w:t>At 15:00, father presses Call family while the internet is unavailable. The local response should explain that the request is saved and remote contact is unavailable, rather than implying someone is on the way.</w:t>
      </w:r>
    </w:p>
    <w:p>
      <w:r>
        <w:rPr>
          <w:b/>
        </w:rPr>
        <w:t xml:space="preserve">Reference implementation boundary. </w:t>
      </w:r>
      <w:r>
        <w:t>The backend composition handles CALL_FAMILY and schedules jobs. End-to-end button-to-backend mapping and real provider delivery are pending. This is not automatic emergency dispatch or a guaranteed emergency response service.</w:t>
      </w:r>
    </w:p>
    <w:p>
      <w:r>
        <w:rPr>
          <w:b/>
        </w:rPr>
        <w:t xml:space="preserve">Acceptance experiment. </w:t>
      </w:r>
      <w:r>
        <w:t>Send the same request twice and verify one incident and one job per recipient/stage. Exercise WAN loss, reboot, provider rejection and a caregiver acknowledgement that cancels pending backup routing.</w:t>
      </w:r>
    </w:p>
    <w:p>
      <w:r>
        <w:rPr>
          <w:b/>
        </w:rPr>
        <w:t xml:space="preserve">Participants and traceability. </w:t>
      </w:r>
      <w:r>
        <w:t>H06, H02, H05, B04, B05, A04. Source paths and test references are in the traceability register. See diagrams/sequences/png and diagrams/sequences/uml for the corresponding F07 flow.</w:t>
      </w:r>
    </w:p>
    <w:p>
      <w:pPr>
        <w:pStyle w:val="Heading2"/>
      </w:pPr>
      <w:r>
        <w:rPr>
          <w:color w:val="000000"/>
        </w:rPr>
        <w:t>F08 Missing morning activity workflow</w:t>
      </w:r>
    </w:p>
    <w:p>
      <w:r>
        <w:rPr>
          <w:b/>
        </w:rPr>
        <w:t xml:space="preserve">Meaning. </w:t>
      </w:r>
      <w:r>
        <w:t>Missing activity is meaningful only when the system had a usable opportunity to observe it. An unknown sensor, an untrusted clock or an intentional pause must not become a resident-risk assertion.</w:t>
      </w:r>
    </w:p>
    <w:p>
      <w:r>
        <w:rPr>
          <w:b/>
        </w:rPr>
        <w:t xml:space="preserve">Worked example. </w:t>
      </w:r>
      <w:r>
        <w:t>At 10:10 there is no qualifying event. If required nodes are healthy and time is trusted, create one missing-morning intent. If NODE-KT is offline, show coverage unavailable instead. Neither outcome proves a medical emergency.</w:t>
      </w:r>
    </w:p>
    <w:p>
      <w:r>
        <w:rPr>
          <w:b/>
        </w:rPr>
        <w:t xml:space="preserve">Reference implementation boundary. </w:t>
      </w:r>
      <w:r>
        <w:t>The host reducer returns an intent/reason. It does not implement the full local prompt then wait then notify orchestration, nor automatically publish a technical service incident. Current-state coverage cannot establish full-window coverage; that gap must close before reliable live absence alerts.</w:t>
      </w:r>
    </w:p>
    <w:p>
      <w:r>
        <w:rPr>
          <w:b/>
        </w:rPr>
        <w:t xml:space="preserve">Acceptance experiment. </w:t>
      </w:r>
      <w:r>
        <w:t>Run covered quiet, evidence present, node missing, clock invalid, privacy, away, visitor and repeated-deadline cases. Restart mid-window and confirm persisted eligibility and duplicate suppression before accepting the hardware implementation.</w:t>
      </w:r>
    </w:p>
    <w:p>
      <w:r>
        <w:rPr>
          <w:b/>
        </w:rPr>
        <w:t xml:space="preserve">Participants and traceability. </w:t>
      </w:r>
      <w:r>
        <w:t>H03, H04, H05, S02, B04, B05. Source paths and test references are in the traceability register. See diagrams/sequences/png and diagrams/sequences/uml for the corresponding F08 flow.</w:t>
      </w:r>
    </w:p>
    <w:p>
      <w:pPr>
        <w:pStyle w:val="Heading2"/>
      </w:pPr>
      <w:r>
        <w:rPr>
          <w:color w:val="000000"/>
        </w:rPr>
        <w:t>F09 Main-door history and quiet notice</w:t>
      </w:r>
    </w:p>
    <w:p>
      <w:r>
        <w:rPr>
          <w:b/>
        </w:rPr>
        <w:t xml:space="preserve">Meaning. </w:t>
      </w:r>
      <w:r>
        <w:t>A reed contact reports that a door opened or closed. One contact or one PIR cannot determine who crossed the door or in which direction. A quiet-hour notice is an optional explanatory advisory, not an intrusion conclusion.</w:t>
      </w:r>
    </w:p>
    <w:p>
      <w:r>
        <w:rPr>
          <w:b/>
        </w:rPr>
        <w:t xml:space="preserve">Worked example. </w:t>
      </w:r>
      <w:r>
        <w:t>The main door opens at 22:00. A caregiver may see a door event if permitted, but the product must not say that a parent left home or that a stranger entered.</w:t>
      </w:r>
    </w:p>
    <w:p>
      <w:r>
        <w:rPr>
          <w:b/>
        </w:rPr>
        <w:t xml:space="preserve">Reference implementation boundary. </w:t>
      </w:r>
      <w:r>
        <w:t>The notice helper accepts a caller-supplied within_quiet_hours boolean. Computing local-time policy, enforcing user opt-in and routing the complete door flow are not established by that helper.</w:t>
      </w:r>
    </w:p>
    <w:p>
      <w:r>
        <w:rPr>
          <w:b/>
        </w:rPr>
        <w:t xml:space="preserve">Acceptance experiment. </w:t>
      </w:r>
      <w:r>
        <w:t>Test bounce, initial open state, repeat delivery, quiet policy off, policy boundary and test-tagged data. Inspect the notice label for direction or identity claims.</w:t>
      </w:r>
    </w:p>
    <w:p>
      <w:r>
        <w:rPr>
          <w:b/>
        </w:rPr>
        <w:t xml:space="preserve">Participants and traceability. </w:t>
      </w:r>
      <w:r>
        <w:t>N01, H05, S02, B07, B05, A02. Source paths and test references are in the traceability register. See diagrams/sequences/png and diagrams/sequences/uml for the corresponding F09 flow.</w:t>
      </w:r>
    </w:p>
    <w:p>
      <w:pPr>
        <w:pStyle w:val="Heading2"/>
      </w:pPr>
      <w:r>
        <w:rPr>
          <w:color w:val="000000"/>
        </w:rPr>
        <w:t>F10 Away, pause and visitor modes</w:t>
      </w:r>
    </w:p>
    <w:p>
      <w:r>
        <w:rPr>
          <w:b/>
        </w:rPr>
        <w:t xml:space="preserve">Meaning. </w:t>
      </w:r>
      <w:r>
        <w:t>Modes explain why routine interpretation changes. AWAY means absence is expected; PAUSED means temporarily suspend routine handling; PRIVACY controls passive observation. VISITOR warns that observed movement may belong to someone else.</w:t>
      </w:r>
    </w:p>
    <w:p>
      <w:r>
        <w:rPr>
          <w:b/>
        </w:rPr>
        <w:t xml:space="preserve">Worked example. </w:t>
      </w:r>
      <w:r>
        <w:t>Both parents go out and set AWAY. The deadline should not generate a missing-morning incident. A visitor moving in the kitchen must not be presented as proof of either parent moving.</w:t>
      </w:r>
    </w:p>
    <w:p>
      <w:r>
        <w:rPr>
          <w:b/>
        </w:rPr>
        <w:t xml:space="preserve">Reference implementation boundary. </w:t>
      </w:r>
      <w:r>
        <w:t>The reducer suppresses absence unless mode is Home. Visitor can collect evidence but still suppresses deadline creation. Device propagation, audit detail and recovery of effective mode need integrated validation.</w:t>
      </w:r>
    </w:p>
    <w:p>
      <w:r>
        <w:rPr>
          <w:b/>
        </w:rPr>
        <w:t xml:space="preserve">Acceptance experiment. </w:t>
      </w:r>
      <w:r>
        <w:t>Change each mode before, during and after a window; repeat an old command and reboot. Confirm that collection policy, absence eligibility and displayed mode agree.</w:t>
      </w:r>
    </w:p>
    <w:p>
      <w:r>
        <w:rPr>
          <w:b/>
        </w:rPr>
        <w:t xml:space="preserve">Participants and traceability. </w:t>
      </w:r>
      <w:r>
        <w:t>A03, B02, H07, H06, H05, S02. Source paths and test references are in the traceability register. See diagrams/sequences/png and diagrams/sequences/uml for the corresponding F10 flow.</w:t>
      </w:r>
    </w:p>
    <w:p>
      <w:pPr>
        <w:pStyle w:val="Heading2"/>
      </w:pPr>
      <w:r>
        <w:rPr>
          <w:color w:val="000000"/>
        </w:rPr>
        <w:t>F11 Caregiver dashboard and timeline</w:t>
      </w:r>
    </w:p>
    <w:p>
      <w:r>
        <w:rPr>
          <w:b/>
        </w:rPr>
        <w:t xml:space="preserve">Meaning. </w:t>
      </w:r>
      <w:r>
        <w:t>The dashboard is an explanation of observations and service condition. Last movement, resident OK, sensor availability, hub connectivity and an open family request are separate facts.</w:t>
      </w:r>
    </w:p>
    <w:p>
      <w:r>
        <w:rPr>
          <w:b/>
        </w:rPr>
        <w:t xml:space="preserve">Worked example. </w:t>
      </w:r>
      <w:r>
        <w:t>A screen may legitimately show activity at 08:10 and hub offline since 08:30. Hiding either fact would mislead the caregiver. Never turn an old cached card into a green live-status indicator.</w:t>
      </w:r>
    </w:p>
    <w:p>
      <w:r>
        <w:rPr>
          <w:b/>
        </w:rPr>
        <w:t xml:space="preserve">Reference implementation boundary. </w:t>
      </w:r>
      <w:r>
        <w:t>View-model helpers and a browser demonstration exist. The complete secured caregiver application, accessible screens, live refresh and supported-phone testing remain pending.</w:t>
      </w:r>
    </w:p>
    <w:p>
      <w:r>
        <w:rPr>
          <w:b/>
        </w:rPr>
        <w:t xml:space="preserve">Acceptance experiment. </w:t>
      </w:r>
      <w:r>
        <w:t>Load fresh, stale, never-seen and disconnected snapshots; change phone time; try H2 credentials for H1; verify that labels remain understandable on a small mobile screen.</w:t>
      </w:r>
    </w:p>
    <w:p>
      <w:r>
        <w:rPr>
          <w:b/>
        </w:rPr>
        <w:t xml:space="preserve">Participants and traceability. </w:t>
      </w:r>
      <w:r>
        <w:t>B07, B08, A02, A05. Source paths and test references are in the traceability register. See diagrams/sequences/png and diagrams/sequences/uml for the corresponding F11 flow.</w:t>
      </w:r>
    </w:p>
    <w:p>
      <w:pPr>
        <w:pStyle w:val="Heading2"/>
      </w:pPr>
      <w:r>
        <w:rPr>
          <w:color w:val="000000"/>
        </w:rPr>
        <w:t>F12 Acknowledgement and resolution</w:t>
      </w:r>
    </w:p>
    <w:p>
      <w:r>
        <w:rPr>
          <w:b/>
        </w:rPr>
        <w:t xml:space="preserve">Meaning. </w:t>
      </w:r>
      <w:r>
        <w:t>Claim means one caregiver is taking responsibility for following up. Acknowledge means a human has seen and accepted the request. Resolve means the follow-up is deliberately closed. None is the same as provider delivery.</w:t>
      </w:r>
    </w:p>
    <w:p>
      <w:r>
        <w:rPr>
          <w:b/>
        </w:rPr>
        <w:t xml:space="preserve">Worked example. </w:t>
      </w:r>
      <w:r>
        <w:t>Rahul claims an incident for five minutes. A second caregiver tries to claim during that lease and sees a conflict. After the lease expires, the backup may take over. A resident OK remains a separate recorded action.</w:t>
      </w:r>
    </w:p>
    <w:p>
      <w:r>
        <w:rPr>
          <w:b/>
        </w:rPr>
        <w:t xml:space="preserve">Reference implementation boundary. </w:t>
      </w:r>
      <w:r>
        <w:t>Claim/acknowledge/resolve methods exist. The present permission check uses read access for mutation and needs a stricter production action policy. Unable-to-reach/handoff and atomic database concurrency are not complete.</w:t>
      </w:r>
    </w:p>
    <w:p>
      <w:r>
        <w:rPr>
          <w:b/>
        </w:rPr>
        <w:t xml:space="preserve">Acceptance experiment. </w:t>
      </w:r>
      <w:r>
        <w:t>Race two claims, expire a lease, try cross-house access, repeat acknowledgement and resolve a closed incident. Verify authorised action permissions and notification cancellation in a transaction-level test.</w:t>
      </w:r>
    </w:p>
    <w:p>
      <w:r>
        <w:rPr>
          <w:b/>
        </w:rPr>
        <w:t xml:space="preserve">Participants and traceability. </w:t>
      </w:r>
      <w:r>
        <w:t>B04, B07, B05, A04, H08. Source paths and test references are in the traceability register. See diagrams/sequences/png and diagrams/sequences/uml for the corresponding F12 flow.</w:t>
      </w:r>
    </w:p>
    <w:p>
      <w:pPr>
        <w:pStyle w:val="Heading2"/>
      </w:pPr>
      <w:r>
        <w:rPr>
          <w:color w:val="000000"/>
        </w:rPr>
        <w:t>F13 Backup routing and delivery visibility</w:t>
      </w:r>
    </w:p>
    <w:p>
      <w:r>
        <w:rPr>
          <w:b/>
        </w:rPr>
        <w:t xml:space="preserve">Meaning. </w:t>
      </w:r>
      <w:r>
        <w:t>Routing is the plan for contacting primary and backup caregivers and reporting what actually happened. A push or SMS provider accepting a request is not evidence that a human read it.</w:t>
      </w:r>
    </w:p>
    <w:p>
      <w:r>
        <w:rPr>
          <w:b/>
        </w:rPr>
        <w:t xml:space="preserve">Worked example. </w:t>
      </w:r>
      <w:r>
        <w:t>The primary receives a job at 10:10. With no human acknowledgement, a backup job becomes due at 10:15 using the reference five-minute delay. If the primary acknowledges at 10:13, an unsent backup job should be cancelled.</w:t>
      </w:r>
    </w:p>
    <w:p>
      <w:r>
        <w:rPr>
          <w:b/>
        </w:rPr>
        <w:t xml:space="preserve">Reference implementation boundary. </w:t>
      </w:r>
      <w:r>
        <w:t>Scheduling and delivery-state helpers exist in memory. Real providers, durable worker claims, retry after FAILED, receipt callbacks, rate limits and route-exhaustion handling need implementation.</w:t>
      </w:r>
    </w:p>
    <w:p>
      <w:r>
        <w:rPr>
          <w:b/>
        </w:rPr>
        <w:t xml:space="preserve">Acceptance experiment. </w:t>
      </w:r>
      <w:r>
        <w:t>Use a fake provider that accepts, rejects and times out. Crash a worker after sending but before saving the result. Verify idempotency and clear uncertain-delivery status instead of claiming guaranteed exactly-once notification.</w:t>
      </w:r>
    </w:p>
    <w:p>
      <w:r>
        <w:rPr>
          <w:b/>
        </w:rPr>
        <w:t xml:space="preserve">Participants and traceability. </w:t>
      </w:r>
      <w:r>
        <w:t>B05, B04, B08, A04, A05. Source paths and test references are in the traceability register. See diagrams/sequences/png and diagrams/sequences/uml for the corresponding F13 flow.</w:t>
      </w:r>
    </w:p>
    <w:p>
      <w:pPr>
        <w:pStyle w:val="Heading2"/>
      </w:pPr>
      <w:r>
        <w:rPr>
          <w:color w:val="000000"/>
        </w:rPr>
        <w:t>F14 Opt-in daily morning summary</w:t>
      </w:r>
    </w:p>
    <w:p>
      <w:r>
        <w:rPr>
          <w:b/>
        </w:rPr>
        <w:t xml:space="preserve">Meaning. </w:t>
      </w:r>
      <w:r>
        <w:t>A daily summary is an optional recap after the window, not another urgent alert. It should include the evidence and its limits, the active mode and unresolved requests.</w:t>
      </w:r>
    </w:p>
    <w:p>
      <w:r>
        <w:rPr>
          <w:b/>
        </w:rPr>
        <w:t xml:space="preserve">Worked example. </w:t>
      </w:r>
      <w:r>
        <w:t>A caregiver opts in to one morning summary. A day with an offline kitchen node should say observation incomplete. An older event from yesterday must not cause today to be reported as active.</w:t>
      </w:r>
    </w:p>
    <w:p>
      <w:r>
        <w:rPr>
          <w:b/>
        </w:rPr>
        <w:t xml:space="preserve">Reference implementation boundary. </w:t>
      </w:r>
      <w:r>
        <w:t>The current helper scans all retained home events instead of filtering the requested local date/window. It also relies on caller-supplied flags and does not itself enforce consent. It is a host scaffold, not a ready scheduled report.</w:t>
      </w:r>
    </w:p>
    <w:p>
      <w:r>
        <w:rPr>
          <w:b/>
        </w:rPr>
        <w:t xml:space="preserve">Acceptance experiment. </w:t>
      </w:r>
      <w:r>
        <w:t>Test no opt-in, no consent, events only from yesterday, partial coverage, repeated scheduling and policy change on the same date. Decide whether a policy revision should update or resend before implementing production routing.</w:t>
      </w:r>
    </w:p>
    <w:p>
      <w:r>
        <w:rPr>
          <w:b/>
        </w:rPr>
        <w:t xml:space="preserve">Participants and traceability. </w:t>
      </w:r>
      <w:r>
        <w:t>B05, B07, A03, A02. Source paths and test references are in the traceability register. See diagrams/sequences/png and diagrams/sequences/uml for the corresponding F14 flow.</w:t>
      </w:r>
    </w:p>
    <w:p>
      <w:pPr>
        <w:pStyle w:val="Heading2"/>
      </w:pPr>
      <w:r>
        <w:rPr>
          <w:color w:val="000000"/>
        </w:rPr>
        <w:t>E01 Node health, battery and coverage</w:t>
      </w:r>
    </w:p>
    <w:p>
      <w:r>
        <w:rPr>
          <w:b/>
        </w:rPr>
        <w:t xml:space="preserve">Meaning. </w:t>
      </w:r>
      <w:r>
        <w:t>Health telemetry tells whether the device and observation path can be trusted. It must not be mixed with resident activity. A responsive MCU can still have a disconnected or poorly aimed sensor.</w:t>
      </w:r>
    </w:p>
    <w:p>
      <w:r>
        <w:rPr>
          <w:b/>
        </w:rPr>
        <w:t xml:space="preserve">Worked example. </w:t>
      </w:r>
      <w:r>
        <w:t>NODE-B1 sends heartbeats but its PIR wire is disconnected. The future fault/status model must be able to show sensor unavailable while radio connectivity remains good.</w:t>
      </w:r>
    </w:p>
    <w:p>
      <w:r>
        <w:rPr>
          <w:b/>
        </w:rPr>
        <w:t xml:space="preserve">Reference implementation boundary. </w:t>
      </w:r>
      <w:r>
        <w:t>The host default is a 60-second heartbeat configuration and a 190-second hub lease. Earlier 15/35-minute deployment values were different trial proposals. Do not mix them. Coverage currently checks contact/fault, not a complete battery and historical-interval policy.</w:t>
      </w:r>
    </w:p>
    <w:p>
      <w:r>
        <w:rPr>
          <w:b/>
        </w:rPr>
        <w:t xml:space="preserve">Acceptance experiment. </w:t>
      </w:r>
      <w:r>
        <w:t>Test never-seen, fresh, expired, explicit sensor fault and uncalibrated voltage. Measure battery impact and packet loss before freezing heartbeat intervals.</w:t>
      </w:r>
    </w:p>
    <w:p>
      <w:r>
        <w:rPr>
          <w:b/>
        </w:rPr>
        <w:t xml:space="preserve">Participants and traceability. </w:t>
      </w:r>
      <w:r>
        <w:t>N03, N02, H04, B08, A02. Source paths and test references are in the traceability register. See diagrams/sequences/png and diagrams/sequences/uml for the corresponding E01 flow.</w:t>
      </w:r>
    </w:p>
    <w:p>
      <w:pPr>
        <w:pStyle w:val="Heading2"/>
      </w:pPr>
      <w:r>
        <w:rPr>
          <w:color w:val="000000"/>
        </w:rPr>
        <w:t>E02 Reliable transport and duplicate handling</w:t>
      </w:r>
    </w:p>
    <w:p>
      <w:r>
        <w:rPr>
          <w:b/>
        </w:rPr>
        <w:t xml:space="preserve">Meaning. </w:t>
      </w:r>
      <w:r>
        <w:t>Reliable transport means retries do not create new business events and a sender does not delete evidence merely because a radio packet was received. Application acknowledgement and transport success are different layers.</w:t>
      </w:r>
    </w:p>
    <w:p>
      <w:r>
        <w:rPr>
          <w:b/>
        </w:rPr>
        <w:t xml:space="preserve">Worked example. </w:t>
      </w:r>
      <w:r>
        <w:t>The hub stores an event but its ACK is lost. The node retries the same source/session/sequence. The hub recognises the event and returns the appropriate acknowledgement without creating a second backend incident.</w:t>
      </w:r>
    </w:p>
    <w:p>
      <w:r>
        <w:rPr>
          <w:b/>
        </w:rPr>
        <w:t xml:space="preserve">Reference implementation boundary. </w:t>
      </w:r>
      <w:r>
        <w:t>In-memory retention and ACK semantics exist; encrypted radio, authenticated sessions across reboot and real durable flash do not. HubRuntime currently reapplies duplicates to the reducer, so effect-level deduplication is an explicit gap.</w:t>
      </w:r>
    </w:p>
    <w:p>
      <w:r>
        <w:rPr>
          <w:b/>
        </w:rPr>
        <w:t xml:space="preserve">Acceptance experiment. </w:t>
      </w:r>
      <w:r>
        <w:t>Inject lost packet, lost ACK, duplicate packet, reordered packet, peer mismatch and receiver-full conditions. Examine both event counts and side effects such as evidence IDs and notification jobs.</w:t>
      </w:r>
    </w:p>
    <w:p>
      <w:r>
        <w:rPr>
          <w:b/>
        </w:rPr>
        <w:t xml:space="preserve">Participants and traceability. </w:t>
      </w:r>
      <w:r>
        <w:t>N02, N05, H01, H02, H08, B03, S01. Source paths and test references are in the traceability register. See diagrams/sequences/png and diagrams/sequences/uml for the corresponding E02 flow.</w:t>
      </w:r>
    </w:p>
    <w:p>
      <w:pPr>
        <w:pStyle w:val="Heading2"/>
      </w:pPr>
      <w:r>
        <w:rPr>
          <w:color w:val="000000"/>
        </w:rPr>
        <w:t>E03 Local operation during internet failure</w:t>
      </w:r>
    </w:p>
    <w:p>
      <w:r>
        <w:rPr>
          <w:b/>
        </w:rPr>
        <w:t xml:space="preserve">Meaning. </w:t>
      </w:r>
      <w:r>
        <w:t>Offline operation means the home can continue supported local work when the wide-area internet is unavailable. It does not mean a remote caregiver can receive a new alert without any working outbound connection.</w:t>
      </w:r>
    </w:p>
    <w:p>
      <w:r>
        <w:rPr>
          <w:b/>
        </w:rPr>
        <w:t xml:space="preserve">Worked example. </w:t>
      </w:r>
      <w:r>
        <w:t>The internet cable fails while the router and hub still have power. Local sensor events can continue in the target design; remote notifications are queued. If the router itself loses power, radio/channel recovery needs separate testing.</w:t>
      </w:r>
    </w:p>
    <w:p>
      <w:r>
        <w:rPr>
          <w:b/>
        </w:rPr>
        <w:t xml:space="preserve">Reference implementation boundary. </w:t>
      </w:r>
      <w:r>
        <w:t>Host components can simulate disconnection and replay. Real flash, ESP-NOW/Wi-Fi coexistence, channel changes and local UI integration remain open. The home router needs its own power backup for remote access during mains loss.</w:t>
      </w:r>
    </w:p>
    <w:p>
      <w:r>
        <w:rPr>
          <w:b/>
        </w:rPr>
        <w:t xml:space="preserve">Acceptance experiment. </w:t>
      </w:r>
      <w:r>
        <w:t>Separate WAN cut, router off, hub reboot and node off. Check the correct status for each, and verify replay without erasing the observation gap.</w:t>
      </w:r>
    </w:p>
    <w:p>
      <w:r>
        <w:rPr>
          <w:b/>
        </w:rPr>
        <w:t xml:space="preserve">Participants and traceability. </w:t>
      </w:r>
      <w:r>
        <w:t>H03, H04, H05, H06, H02, H08. Source paths and test references are in the traceability register. See diagrams/sequences/png and diagrams/sequences/uml for the corresponding E03 flow.</w:t>
      </w:r>
    </w:p>
    <w:p>
      <w:pPr>
        <w:pStyle w:val="Heading2"/>
      </w:pPr>
      <w:r>
        <w:rPr>
          <w:color w:val="000000"/>
        </w:rPr>
        <w:t>E04 Hub/cloud/app connectivity and freshness</w:t>
      </w:r>
    </w:p>
    <w:p>
      <w:r>
        <w:rPr>
          <w:b/>
        </w:rPr>
        <w:t xml:space="preserve">Meaning. </w:t>
      </w:r>
      <w:r>
        <w:t>Freshness is about when a fact was last observed at a specific boundary. Node-to-hub, hub-to-server, server-to-provider and phone-to-server each need their own status.</w:t>
      </w:r>
    </w:p>
    <w:p>
      <w:r>
        <w:rPr>
          <w:b/>
        </w:rPr>
        <w:t xml:space="preserve">Worked example. </w:t>
      </w:r>
      <w:r>
        <w:t>The phone is offline but the hub and server are communicating. A cached dashboard should say its view is stale, rather than label the household sensor network offline.</w:t>
      </w:r>
    </w:p>
    <w:p>
      <w:r>
        <w:rPr>
          <w:b/>
        </w:rPr>
        <w:t xml:space="preserve">Reference implementation boundary. </w:t>
      </w:r>
      <w:r>
        <w:t>Independent host representations exist. Production heartbeats, authenticated timestamps, streaming refresh and durable stale-state recovery require integration.</w:t>
      </w:r>
    </w:p>
    <w:p>
      <w:r>
        <w:rPr>
          <w:b/>
        </w:rPr>
        <w:t xml:space="preserve">Acceptance experiment. </w:t>
      </w:r>
      <w:r>
        <w:t>Break one boundary at a time and verify that the other statuses remain correct. Confirm that broker retained online state is not used as the sole liveness proof.</w:t>
      </w:r>
    </w:p>
    <w:p>
      <w:r>
        <w:rPr>
          <w:b/>
        </w:rPr>
        <w:t xml:space="preserve">Participants and traceability. </w:t>
      </w:r>
      <w:r>
        <w:t>H08, B08, B07, A05, A02. Source paths and test references are in the traceability register. See diagrams/sequences/png and diagrams/sequences/uml for the corresponding E04 flow.</w:t>
      </w:r>
    </w:p>
    <w:p>
      <w:pPr>
        <w:pStyle w:val="Heading2"/>
      </w:pPr>
      <w:r>
        <w:rPr>
          <w:color w:val="000000"/>
        </w:rPr>
        <w:t>E05 Persistence, recovery and bounded storage</w:t>
      </w:r>
    </w:p>
    <w:p>
      <w:r>
        <w:rPr>
          <w:b/>
        </w:rPr>
        <w:t xml:space="preserve">Meaning. </w:t>
      </w:r>
      <w:r>
        <w:t>Persistence must survive the failure it claims to tolerate. A C++ deque or Python dictionary is useful for testing order and identity, but loses all content when the process stops.</w:t>
      </w:r>
    </w:p>
    <w:p>
      <w:r>
        <w:rPr>
          <w:b/>
        </w:rPr>
        <w:t xml:space="preserve">Worked example. </w:t>
      </w:r>
      <w:r>
        <w:t>Power fails after flash data bytes are written but before a commit marker. Recovery must ignore the incomplete tail, preserve earlier records and avoid acknowledging an event that was never durably committed.</w:t>
      </w:r>
    </w:p>
    <w:p>
      <w:r>
        <w:rPr>
          <w:b/>
        </w:rPr>
        <w:t xml:space="preserve">Reference implementation boundary. </w:t>
      </w:r>
      <w:r>
        <w:t>Reference stores are in memory. HubJournal marks cloud acknowledgements but does not reclaim records; NodeRuntime can leave a stored item stranded if radio enqueue fails. A refill/recovery pump, flash adapter and bounded evidence collection are pending.</w:t>
      </w:r>
    </w:p>
    <w:p>
      <w:r>
        <w:rPr>
          <w:b/>
        </w:rPr>
        <w:t xml:space="preserve">Acceptance experiment. </w:t>
      </w:r>
      <w:r>
        <w:t>Test full capacity, interruption at each commit step, reboot before ACK, compaction and offline retention exhaustion. Require an explicit gap/fault outcome when evidence cannot be retained.</w:t>
      </w:r>
    </w:p>
    <w:p>
      <w:r>
        <w:rPr>
          <w:b/>
        </w:rPr>
        <w:t xml:space="preserve">Participants and traceability. </w:t>
      </w:r>
      <w:r>
        <w:t>N05, H02, B03, B04, B05, B08. Source paths and test references are in the traceability register. See diagrams/sequences/png and diagrams/sequences/uml for the corresponding E05 flow.</w:t>
      </w:r>
    </w:p>
    <w:p>
      <w:pPr>
        <w:pStyle w:val="Heading2"/>
      </w:pPr>
      <w:r>
        <w:rPr>
          <w:color w:val="000000"/>
        </w:rPr>
        <w:t>E06 Trusted time and boundary handling</w:t>
      </w:r>
    </w:p>
    <w:p>
      <w:r>
        <w:rPr>
          <w:b/>
        </w:rPr>
        <w:t xml:space="preserve">Meaning. </w:t>
      </w:r>
      <w:r>
        <w:t>Monotonic time measures elapsed duration; wall time identifies a local morning. Clock uncertainty expresses how much the timestamp could be wrong. Use the appropriate clock for each decision.</w:t>
      </w:r>
    </w:p>
    <w:p>
      <w:r>
        <w:rPr>
          <w:b/>
        </w:rPr>
        <w:t xml:space="preserve">Worked example. </w:t>
      </w:r>
      <w:r>
        <w:t>A restarted hub has no trusted wall-clock anchor. It can respond to a button but must not infer that the 10:10 absence deadline has safely passed. A model timeout still uses monotonic elapsed milliseconds.</w:t>
      </w:r>
    </w:p>
    <w:p>
      <w:r>
        <w:rPr>
          <w:b/>
        </w:rPr>
        <w:t xml:space="preserve">Reference implementation boundary. </w:t>
      </w:r>
      <w:r>
        <w:t>Host estimates exist, including a 72-hour anchor expiry. Production authenticated time acquisition, reboot checkpoints, timezone conversion and overflow/range validation are pending.</w:t>
      </w:r>
    </w:p>
    <w:p>
      <w:r>
        <w:rPr>
          <w:b/>
        </w:rPr>
        <w:t xml:space="preserve">Acceptance experiment. </w:t>
      </w:r>
      <w:r>
        <w:t>Test missing anchor, stale anchor, clock rollback, uncertainty straddling a boundary and daylight-saving dates for non-India homes. Keep absolute timestamps and elapsed timer tests separate.</w:t>
      </w:r>
    </w:p>
    <w:p>
      <w:r>
        <w:rPr>
          <w:b/>
        </w:rPr>
        <w:t xml:space="preserve">Participants and traceability. </w:t>
      </w:r>
      <w:r>
        <w:t>H03, H07, H05, S01, S02. Source paths and test references are in the traceability register. See diagrams/sequences/png and diagrams/sequences/uml for the corresponding E06 flow.</w:t>
      </w:r>
    </w:p>
    <w:p>
      <w:pPr>
        <w:pStyle w:val="Heading2"/>
      </w:pPr>
      <w:r>
        <w:rPr>
          <w:color w:val="000000"/>
        </w:rPr>
        <w:t>E07 Versioned configuration and atomic application</w:t>
      </w:r>
    </w:p>
    <w:p>
      <w:r>
        <w:rPr>
          <w:b/>
        </w:rPr>
        <w:t xml:space="preserve">Meaning. </w:t>
      </w:r>
      <w:r>
        <w:t>Desired configuration is what the caregiver requested; applied configuration is what the device accepted. Keeping both prevents a phone from showing a change that never reached the home.</w:t>
      </w:r>
    </w:p>
    <w:p>
      <w:r>
        <w:rPr>
          <w:b/>
        </w:rPr>
        <w:t xml:space="preserve">Worked example. </w:t>
      </w:r>
      <w:r>
        <w:t>The server publishes version 8 while the hub is offline on version 7. The dashboard shows pending 8 and applied 7. A later delayed version 6 is rejected without replacing version 7.</w:t>
      </w:r>
    </w:p>
    <w:p>
      <w:r>
        <w:rPr>
          <w:b/>
        </w:rPr>
        <w:t xml:space="preserve">Reference implementation boundary. </w:t>
      </w:r>
      <w:r>
        <w:t>Reference version validation exists. Persisted atomic updates, authenticated command envelopes, expiry and complete wrong-target validation need target integration and expanded tests.</w:t>
      </w:r>
    </w:p>
    <w:p>
      <w:r>
        <w:rPr>
          <w:b/>
        </w:rPr>
        <w:t xml:space="preserve">Acceptance experiment. </w:t>
      </w:r>
      <w:r>
        <w:t>Reorder versions, duplicate the newest, corrupt one field and power-cycle during application. Verify that the active snapshot is entirely old or entirely new.</w:t>
      </w:r>
    </w:p>
    <w:p>
      <w:r>
        <w:rPr>
          <w:b/>
        </w:rPr>
        <w:t xml:space="preserve">Participants and traceability. </w:t>
      </w:r>
      <w:r>
        <w:t>B06, A03, H07, N04, H08, S01. Source paths and test references are in the traceability register. See diagrams/sequences/png and diagrams/sequences/uml for the corresponding E07 flow.</w:t>
      </w:r>
    </w:p>
    <w:p>
      <w:pPr>
        <w:pStyle w:val="Heading2"/>
      </w:pPr>
      <w:r>
        <w:rPr>
          <w:color w:val="000000"/>
        </w:rPr>
        <w:t>E08 Security, privacy and tenant isolation</w:t>
      </w:r>
    </w:p>
    <w:p>
      <w:r>
        <w:rPr>
          <w:b/>
        </w:rPr>
        <w:t xml:space="preserve">Meaning. </w:t>
      </w:r>
      <w:r>
        <w:t>Security is enforced at the boundary that owns the data or action. A hidden button, a MAC allow-list or a capability flag cannot replace authentication and authorisation.</w:t>
      </w:r>
    </w:p>
    <w:p>
      <w:r>
        <w:rPr>
          <w:b/>
        </w:rPr>
        <w:t xml:space="preserve">Worked example. </w:t>
      </w:r>
      <w:r>
        <w:t>A person changes a home_id in an HTTP request. B01 must deny access before returning data. A node replaying another session must be rejected before changing the hub state.</w:t>
      </w:r>
    </w:p>
    <w:p>
      <w:r>
        <w:rPr>
          <w:b/>
        </w:rPr>
        <w:t xml:space="preserve">Reference implementation boundary. </w:t>
      </w:r>
      <w:r>
        <w:t>Policies and negative host tests exist. TLS, OIDC, ESP-NOW key handling, secure boot, production token validation and strict mutation roles are not complete. Development HTTP headers are not authentication.</w:t>
      </w:r>
    </w:p>
    <w:p>
      <w:r>
        <w:rPr>
          <w:b/>
        </w:rPr>
        <w:t xml:space="preserve">Acceptance experiment. </w:t>
      </w:r>
      <w:r>
        <w:t>Run cross-tenant read/write, revoked credential, wrong session and invalid signature cases. Inspect the deployed endpoints and logs; do not infer security from class names or a mock signature verifier.</w:t>
      </w:r>
    </w:p>
    <w:p>
      <w:r>
        <w:rPr>
          <w:b/>
        </w:rPr>
        <w:t xml:space="preserve">Participants and traceability. </w:t>
      </w:r>
      <w:r>
        <w:t>S03, B01, B02, B06, B08, A05, T01. Source paths and test references are in the traceability register. See diagrams/sequences/png and diagrams/sequences/uml for the corresponding E08 flow.</w:t>
      </w:r>
    </w:p>
    <w:p>
      <w:pPr>
        <w:pStyle w:val="Heading2"/>
      </w:pPr>
      <w:r>
        <w:rPr>
          <w:color w:val="000000"/>
        </w:rPr>
        <w:t>E09 Signed firmware update and recovery</w:t>
      </w:r>
    </w:p>
    <w:p>
      <w:r>
        <w:rPr>
          <w:b/>
        </w:rPr>
        <w:t xml:space="preserve">Meaning. </w:t>
      </w:r>
      <w:r>
        <w:t>OTA is a controlled update with authenticity checks and a recoverable boot path. Version comparison alone does not establish that a firmware image is genuine or healthy.</w:t>
      </w:r>
    </w:p>
    <w:p>
      <w:r>
        <w:rPr>
          <w:b/>
        </w:rPr>
        <w:t xml:space="preserve">Worked example. </w:t>
      </w:r>
      <w:r>
        <w:t>An image signed for a different board arrives. Reject it even if its version is newer. If a valid image boots but repeatedly fails health checks, the target boot strategy must restore the prior working image.</w:t>
      </w:r>
    </w:p>
    <w:p>
      <w:r>
        <w:rPr>
          <w:b/>
        </w:rPr>
        <w:t xml:space="preserve">Reference implementation boundary. </w:t>
      </w:r>
      <w:r>
        <w:t>The current code validates manifest metadata through a testable seam. Image download, real hash/signature verification, flash partitions, bootloader rollback, watchdog and signed fleet rollout are pending.</w:t>
      </w:r>
    </w:p>
    <w:p>
      <w:r>
        <w:rPr>
          <w:b/>
        </w:rPr>
        <w:t xml:space="preserve">Acceptance experiment. </w:t>
      </w:r>
      <w:r>
        <w:t>Test wrong board, stale version, bad hash text and rejected signature on host. Later interrupt download/write/first boot on hardware and demonstrate recovery before a field update.</w:t>
      </w:r>
    </w:p>
    <w:p>
      <w:r>
        <w:rPr>
          <w:b/>
        </w:rPr>
        <w:t xml:space="preserve">Participants and traceability. </w:t>
      </w:r>
      <w:r>
        <w:t>S03, H07, N04, B06, B08, T02. Source paths and test references are in the traceability register. See diagrams/sequences/png and diagrams/sequences/uml for the corresponding E09 flow.</w:t>
      </w:r>
    </w:p>
    <w:p>
      <w:pPr>
        <w:pStyle w:val="Heading2"/>
      </w:pPr>
      <w:r>
        <w:rPr>
          <w:color w:val="000000"/>
        </w:rPr>
        <w:t>E10 Verification, observability and release evidence</w:t>
      </w:r>
    </w:p>
    <w:p>
      <w:r>
        <w:rPr>
          <w:b/>
        </w:rPr>
        <w:t xml:space="preserve">Meaning. </w:t>
      </w:r>
      <w:r>
        <w:t>Observability lets an engineer explain where a flow stopped without collecting unnecessary household information. A useful log identifies the module and failure boundary; a green test report identifies exactly what was tested.</w:t>
      </w:r>
    </w:p>
    <w:p>
      <w:r>
        <w:rPr>
          <w:b/>
        </w:rPr>
        <w:t xml:space="preserve">Worked example. </w:t>
      </w:r>
      <w:r>
        <w:t>A Call family request does not appear on the phone. Follow the same event through node retention, hub commit, cloud replay, backend incident, notification job and app freshness. Do not start by assuming a sensor failure.</w:t>
      </w:r>
    </w:p>
    <w:p>
      <w:r>
        <w:rPr>
          <w:b/>
        </w:rPr>
        <w:t xml:space="preserve">Reference implementation boundary. </w:t>
      </w:r>
      <w:r>
        <w:t>The C++ formatter uses a 384-byte stack buffer; it calls the sink synchronously. ERROR is an unconditional hook but may be lost with no sink or failed I/O. Arbitrary null dereference, double free or corruption needs sanitizer/panic tooling, not a log macro.</w:t>
      </w:r>
    </w:p>
    <w:p>
      <w:r>
        <w:rPr>
          <w:b/>
        </w:rPr>
        <w:t xml:space="preserve">Acceptance experiment. </w:t>
      </w:r>
      <w:r>
        <w:t>Inject queue exhaustion, provider failure and missing sink; verify error records without secrets. Run TRACE-on/off profiles and separate sanitizer and target crash-recovery tests. Record toolchain, command, result and remaining limitations.</w:t>
      </w:r>
    </w:p>
    <w:p>
      <w:r>
        <w:rPr>
          <w:b/>
        </w:rPr>
        <w:t xml:space="preserve">Participants and traceability. </w:t>
      </w:r>
      <w:r>
        <w:t>B08, A02, T01, T02, T03, H02, H08. Source paths and test references are in the traceability register. See diagrams/sequences/png and diagrams/sequences/uml for the corresponding E10 flow.</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p>
      <w:pPr>
        <w:pStyle w:val="Heading1"/>
      </w:pPr>
      <w:r>
        <w:rPr>
          <w:color w:val="000000"/>
        </w:rPr>
        <w:t>Revision and implementation status</w:t>
      </w:r>
    </w:p>
    <w:p>
      <w:r>
        <w:t>Edition 2.0 expands the supplied baseline and carries forward the version 1.4 AI session design. Code 1.4.2 changes comments and version metadata only. Base P0 remains the development priority. Existing tests cover components; no complete hardware or unattended field acceptance is claimed. Read progress.txt and the workbook for current gaps.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000000"/>
      </w:rPr>
      <w:t>Ghar Sajag | Documentation 2.0 | Reference code 1.4.2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