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400"/>
      </w:pPr>
    </w:p>
    <w:p>
      <w:pPr>
        <w:keepLines/>
        <w:widowControl/>
        <w:jc w:val="center"/>
      </w:pPr>
      <w:r>
        <w:rPr>
          <w:rFonts w:ascii="Calibri" w:hAnsi="Calibri"/>
          <w:b/>
          <w:color w:val="2E74B5"/>
          <w:sz w:val="22"/>
        </w:rPr>
        <w:t>STARTUP BLUEPRINT</w:t>
      </w:r>
    </w:p>
    <w:p>
      <w:pPr>
        <w:pStyle w:val="Title"/>
        <w:keepLines/>
        <w:widowControl/>
        <w:jc w:val="center"/>
      </w:pPr>
      <w:r>
        <w:rPr>
          <w:rFonts w:ascii="Calibri" w:hAnsi="Calibri"/>
          <w:b/>
          <w:color w:val="0B2545"/>
          <w:sz w:val="56"/>
        </w:rPr>
        <w:t>Family Check-in &amp;</w:t>
        <w:br/>
        <w:t>Home Risk System</w:t>
      </w:r>
    </w:p>
    <w:p>
      <w:pPr>
        <w:keepLines/>
        <w:widowControl/>
        <w:spacing w:after="360"/>
        <w:jc w:val="center"/>
      </w:pPr>
      <w:r>
        <w:rPr>
          <w:rFonts w:ascii="Calibri" w:hAnsi="Calibri"/>
          <w:color w:val="666666"/>
          <w:sz w:val="28"/>
        </w:rPr>
        <w:t>Product requirements, architecture, BOM, market strategy and launch roadmap</w:t>
      </w:r>
    </w:p>
    <w:p>
      <w:pPr>
        <w:keepLines/>
        <w:widowControl/>
        <w:spacing w:before="720"/>
        <w:jc w:val="center"/>
      </w:pPr>
      <w:r>
        <w:rPr>
          <w:rFonts w:ascii="Calibri" w:hAnsi="Calibri"/>
          <w:color w:val="0B2545"/>
          <w:sz w:val="26"/>
        </w:rPr>
        <w:t>A camera-free, privacy-first home awareness platform for families supporting independently living older parents.</w:t>
      </w:r>
    </w:p>
    <w:p>
      <w:pPr>
        <w:keepLines/>
        <w:widowControl/>
        <w:spacing w:before="1400"/>
        <w:jc w:val="center"/>
      </w:pPr>
      <w:r>
        <w:rPr>
          <w:rFonts w:ascii="Calibri" w:hAnsi="Calibri"/>
          <w:color w:val="666666"/>
          <w:sz w:val="21"/>
        </w:rPr>
        <w:t>Prepared for Rahul Rathor</w:t>
        <w:br/>
        <w:t>Original: 25 August 2026 | Research update: 2 September 2026</w:t>
        <w:br/>
        <w:t>Revision 2 — validated sources, revised scope and planning assumptions</w:t>
      </w:r>
    </w:p>
    <w:p>
      <w:pPr>
        <w:widowControl/>
      </w:pPr>
      <w:r>
        <w:br w:type="page"/>
      </w:r>
    </w:p>
    <w:p>
      <w:pPr>
        <w:pStyle w:val="Heading1"/>
        <w:keepNext/>
        <w:keepLines/>
        <w:widowControl/>
      </w:pPr>
      <w:r>
        <w:t>Executive decision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6F9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0B2545"/>
                <w:sz w:val="22"/>
              </w:rPr>
              <w:t>Recommendation  Prioritize a camera-free Family Check-in pilot for independently living parents in India. It remains the preferred first-business hypothesis over a kids’ AI camera: a clearer adult payer, recurring reassurance need and less content production. This is a reasoned ranking, not a proven success probability.</w:t>
            </w:r>
          </w:p>
        </w:tc>
      </w:tr>
    </w:tbl>
    <w:p>
      <w:pPr>
        <w:widowControl/>
        <w:spacing w:after="20"/>
      </w:pPr>
    </w:p>
    <w:p>
      <w:pPr>
        <w:keepLines/>
        <w:widowControl/>
      </w:pPr>
      <w:commentRangeStart w:id="0"/>
      <w:r>
        <w:rPr>
          <w:rFonts w:ascii="Calibri" w:hAnsi="Calibri"/>
          <w:sz w:val="22"/>
        </w:rPr>
        <w:t>The product reports observed household activity and prompts a family check-in when expected activity is absent. It must not imply that a person is medically well. V1 is not intended to diagnose, guarantee fall detection or dispatch emergency services; its claims and intended use require professional review before sale.</w:t>
      </w:r>
      <w:commentRangeEnd w:id="0"/>
      <w:r>
        <w:rPr>
          <w:rStyle w:val="CommentReference"/>
        </w:rPr>
        <w:commentReference w:id="0"/>
      </w:r>
    </w:p>
    <w:p>
      <w:pPr>
        <w:keepLines/>
        <w:widowControl/>
      </w:pPr>
      <w:r>
        <w:rPr>
          <w:i/>
          <w:color w:val="356779"/>
          <w:sz w:val="18"/>
        </w:rPr>
        <w:t>Revision summary: narrower P0; refreshed competitors; tax-aware margins; part-time roadmap; evidence-based gates replace unsupported probability percentages.</w:t>
      </w:r>
    </w:p>
    <w:p>
      <w:pPr>
        <w:pStyle w:val="Heading2"/>
        <w:keepNext/>
        <w:keepLines/>
        <w:widowControl/>
      </w:pPr>
      <w:r>
        <w:t>What version 1 includes</w:t>
      </w:r>
    </w:p>
    <w:p>
      <w:pPr>
        <w:pStyle w:val="ListBullet"/>
        <w:keepLines/>
        <w:widowControl/>
        <w:spacing w:after="100" w:line="280" w:lineRule="auto"/>
        <w:ind w:left="720" w:hanging="360"/>
      </w:pPr>
      <w:r>
        <w:rPr>
          <w:rFonts w:ascii="Calibri" w:hAnsi="Calibri"/>
          <w:sz w:val="22"/>
        </w:rPr>
        <w:t>Morning activity evidence and unusual inactivity prompts within agreed routine windows.</w:t>
      </w:r>
    </w:p>
    <w:p>
      <w:pPr>
        <w:pStyle w:val="ListBullet"/>
        <w:keepLines/>
        <w:widowControl/>
        <w:spacing w:after="100" w:line="280" w:lineRule="auto"/>
        <w:ind w:left="720" w:hanging="360"/>
      </w:pPr>
      <w:r>
        <w:rPr>
          <w:rFonts w:ascii="Calibri" w:hAnsi="Calibri"/>
          <w:sz w:val="22"/>
        </w:rPr>
        <w:t>Main-door events; two motion locations. Fridge, leak and humidity modules become later add-ons.</w:t>
      </w:r>
    </w:p>
    <w:p>
      <w:pPr>
        <w:pStyle w:val="ListBullet"/>
        <w:keepLines/>
        <w:widowControl/>
        <w:spacing w:after="100" w:line="280" w:lineRule="auto"/>
        <w:ind w:left="720" w:hanging="360"/>
      </w:pPr>
      <w:r>
        <w:rPr>
          <w:rFonts w:ascii="Calibri" w:hAnsi="Calibri"/>
          <w:sz w:val="22"/>
        </w:rPr>
        <w:t>A large hub-mounted “I’m OK / call family” button with distinct local acknowledgement.</w:t>
      </w:r>
    </w:p>
    <w:p>
      <w:pPr>
        <w:pStyle w:val="ListBullet"/>
        <w:keepLines/>
        <w:widowControl/>
        <w:spacing w:after="100" w:line="280" w:lineRule="auto"/>
        <w:ind w:left="720" w:hanging="360"/>
      </w:pPr>
      <w:r>
        <w:rPr>
          <w:rFonts w:ascii="Calibri" w:hAnsi="Calibri"/>
          <w:sz w:val="22"/>
        </w:rPr>
        <w:t>Hub/node health, low-battery warnings, power/internet status, local rules and queued sync.</w:t>
      </w:r>
    </w:p>
    <w:p>
      <w:pPr>
        <w:pStyle w:val="ListBullet"/>
        <w:keepLines/>
        <w:widowControl/>
        <w:spacing w:after="100" w:line="280" w:lineRule="auto"/>
        <w:ind w:left="720" w:hanging="360"/>
      </w:pPr>
      <w:r>
        <w:rPr>
          <w:rFonts w:ascii="Calibri" w:hAnsi="Calibri"/>
          <w:sz w:val="22"/>
        </w:rPr>
        <w:t>Caregiver evidence timeline, push alerts and acknowledgement; named family/local responder.</w:t>
      </w:r>
    </w:p>
    <w:p>
      <w:pPr>
        <w:pStyle w:val="Heading2"/>
        <w:keepNext/>
        <w:keepLines/>
        <w:widowControl/>
      </w:pPr>
      <w:r>
        <w:t>What version 1 deliberately excludes</w:t>
      </w:r>
    </w:p>
    <w:p>
      <w:pPr>
        <w:pStyle w:val="ListBullet"/>
        <w:keepLines/>
        <w:widowControl/>
        <w:spacing w:after="100" w:line="280" w:lineRule="auto"/>
        <w:ind w:left="720" w:hanging="360"/>
      </w:pPr>
      <w:r>
        <w:rPr>
          <w:rFonts w:ascii="Calibri" w:hAnsi="Calibri"/>
          <w:sz w:val="22"/>
        </w:rPr>
        <w:t>Indoor cameras, continuous audio storage or upload, health diagnosis and medical risk scoring.</w:t>
      </w:r>
    </w:p>
    <w:p>
      <w:pPr>
        <w:pStyle w:val="ListBullet"/>
        <w:keepLines/>
        <w:widowControl/>
        <w:spacing w:after="100" w:line="280" w:lineRule="auto"/>
        <w:ind w:left="720" w:hanging="360"/>
      </w:pPr>
      <w:r>
        <w:rPr>
          <w:rFonts w:ascii="Calibri" w:hAnsi="Calibri"/>
          <w:sz w:val="22"/>
        </w:rPr>
        <w:t>Guaranteed fall detection, automatic ambulance dispatch, remote door unlock, or gas/water/stove shutoff.</w:t>
      </w:r>
    </w:p>
    <w:p>
      <w:pPr>
        <w:pStyle w:val="ListBullet"/>
        <w:keepLines/>
        <w:widowControl/>
        <w:spacing w:after="100" w:line="280" w:lineRule="auto"/>
        <w:ind w:left="720" w:hanging="360"/>
      </w:pPr>
      <w:r>
        <w:rPr>
          <w:rFonts w:ascii="Calibri" w:hAnsi="Calibri"/>
          <w:sz w:val="22"/>
        </w:rPr>
        <w:t>Medication dispensing and any claim that a resident ate, took medicine or is medically safe.</w:t>
      </w:r>
    </w:p>
    <w:p>
      <w:pPr>
        <w:pStyle w:val="Heading1"/>
        <w:keepNext/>
        <w:keepLines/>
        <w:widowControl/>
      </w:pPr>
      <w:r>
        <w:t>Market thesis</w:t>
      </w:r>
    </w:p>
    <w:p>
      <w:pPr>
        <w:keepLines/>
        <w:widowControl/>
      </w:pPr>
      <w:r>
        <w:rPr>
          <w:rFonts w:ascii="Calibri" w:hAnsi="Calibri"/>
          <w:sz w:val="22"/>
        </w:rPr>
        <w:t>The buyer is an adult child living away from an independently living parent. The resident is a separate user whose consent and comfort are essential. Start with a single-resident household in one serviceable Indian city; visitors, couples, pets and domestic workers can make person-specific activity inference unreliable. This is household awareness, not identity tracking.</w:t>
      </w:r>
    </w:p>
    <w:p>
      <w:pPr>
        <w:keepLines/>
        <w:widowControl/>
      </w:pPr>
      <w:r>
        <w:rPr>
          <w:rFonts w:ascii="Calibri" w:hAnsi="Calibri"/>
          <w:sz w:val="22"/>
        </w:rPr>
        <w:t>AARP’s 2024 survey found that 75% of US adults aged 50+ wanted to remain in their current homes as long as possible [S8]. India’s ageing-care needs are documented by UNFPA [S9]. These support the problem context, not willingness to buy this kit. No verified Indian sales, retention or price-acceptance data for this proposed product has yet been collected.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2450"/>
        <w:gridCol w:w="4610"/>
      </w:tblGrid>
      <w:tr>
        <w:trPr>
          <w:tblHeader/>
          <w:cantSplit/>
        </w:trPr>
        <w:tc>
          <w:tcPr>
            <w:tcW w:type="dxa" w:w="230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Existing offer / region</w:t>
            </w:r>
          </w:p>
        </w:tc>
        <w:tc>
          <w:tcPr>
            <w:tcW w:type="dxa" w:w="245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Published price / status</w:t>
            </w:r>
          </w:p>
        </w:tc>
        <w:tc>
          <w:tcPr>
            <w:tcW w:type="dxa" w:w="461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What the evidence does and does not show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commentRangeStart w:id="1"/>
            <w:r>
              <w:rPr>
                <w:rFonts w:ascii="Calibri" w:hAnsi="Calibri"/>
                <w:b w:val="0"/>
                <w:sz w:val="19"/>
              </w:rPr>
              <w:t>Nomo Essential Care Kit / US [S1]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type="dxa" w:w="24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$199.99; $19.99/month or $199.99/year after 60-day trial</w:t>
            </w:r>
          </w:p>
        </w:tc>
        <w:tc>
          <w:tcPr>
            <w:tcW w:type="dxa" w:w="461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Direct overlap: camera-free routines and caregiver alerts. US-only use stated. Price is an offer, not evidence of our demand.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OdeCare / US-priced offer [S2]</w:t>
            </w:r>
          </w:p>
        </w:tc>
        <w:tc>
          <w:tcPr>
            <w:tcW w:type="dxa" w:w="24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$590–790 installed, first 3 months included; then $29/month</w:t>
            </w:r>
          </w:p>
        </w:tc>
        <w:tc>
          <w:tcPr>
            <w:tcW w:type="dxa" w:w="461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Vendor’s 24 Aug 2026 guide describes passive sensors and family notification, not dispatch. Strong overlap; verify service geography.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CarePredict @Home / US [S3]</w:t>
            </w:r>
          </w:p>
        </w:tc>
        <w:tc>
          <w:tcPr>
            <w:tcW w:type="dxa" w:w="24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$499 kit + $69.99/month</w:t>
            </w:r>
          </w:p>
        </w:tc>
        <w:tc>
          <w:tcPr>
            <w:tcW w:type="dxa" w:w="461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Wearable-based monitoring. Different feature/service bundle; not a like-for-like hardware price comparison.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Careium Doris / UK [S4]</w:t>
            </w:r>
          </w:p>
        </w:tc>
        <w:tc>
          <w:tcPr>
            <w:tcW w:type="dxa" w:w="24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From £16/month advertised; currently out of stock</w:t>
            </w:r>
          </w:p>
        </w:tc>
        <w:tc>
          <w:tcPr>
            <w:tcW w:type="dxa" w:w="461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Camera-free, no home Wi-Fi required, monitoring-centre response. Contract/tax pages differ: obtain a current quote.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Emoha / India [S5]</w:t>
            </w:r>
          </w:p>
        </w:tc>
        <w:tc>
          <w:tcPr>
            <w:tcW w:type="dxa" w:w="24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Essentials from ₹1,999/month</w:t>
            </w:r>
          </w:p>
        </w:tc>
        <w:tc>
          <w:tcPr>
            <w:tcW w:type="dxa" w:w="461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Human-supported care, check-in calls and emergency coordination. Adjacent service competitor or possible channel, not a simple sensor kit.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Anvayaa / India, NRI payer [S6]</w:t>
            </w:r>
          </w:p>
        </w:tc>
        <w:tc>
          <w:tcPr>
            <w:tcW w:type="dxa" w:w="24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Basic annual plan displayed at $999/year; taxes extra, city-dependent</w:t>
            </w:r>
          </w:p>
        </w:tc>
        <w:tc>
          <w:tcPr>
            <w:tcW w:type="dxa" w:w="461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Care-manager and emergency support. Illustrates a service category, not proven willingness to pay for a notification-only product.</w:t>
            </w:r>
          </w:p>
        </w:tc>
      </w:tr>
    </w:tbl>
    <w:p>
      <w:pPr>
        <w:widowControl/>
        <w:spacing w:after="20"/>
      </w:pPr>
    </w:p>
    <w:p>
      <w:pPr>
        <w:keepLines/>
        <w:widowControl/>
      </w:pPr>
      <w:r>
        <w:rPr>
          <w:rFonts w:ascii="Calibri" w:hAnsi="Calibri"/>
          <w:sz w:val="22"/>
        </w:rPr>
        <w:t>Camera-free sensing, routine learning and a family app are already competitive features. The testable wedge is Indian-home installation, explainable low-noise alerts, resident control, reliable failure reporting and an affordable service boundary. Nomo’s US-only availability may leave a geographic opening, but it is not evidence that India is uncontested. Samarth already describes passive sensor use in India [S7].</w:t>
      </w:r>
    </w:p>
    <w:p>
      <w:pPr>
        <w:pStyle w:val="Heading2"/>
        <w:keepNext/>
        <w:keepLines/>
        <w:widowControl/>
      </w:pPr>
      <w:r>
        <w:t>Research implications for what to build</w:t>
      </w:r>
    </w:p>
    <w:p>
      <w:pPr>
        <w:keepLines/>
        <w:widowControl/>
      </w:pPr>
      <w:r>
        <w:t>Launch India first with one repeatable workflow, not India, Europe and the US simultaneously. Careium’s European motion-sensor portfolio [S18] further confirms established competition. Human-response providers can complement the kit; the founder should not attempt a 24/7 dispatch operation.</w:t>
      </w:r>
    </w:p>
    <w:p>
      <w:pPr>
        <w:keepLines/>
        <w:widowControl/>
      </w:pPr>
      <w:r>
        <w:t>Recent enabling changes: the ESPHome Starter Kit launched on 12 August 2026 at recommended $40/€41 pricing, raising expectations for easy setup [S10]. RainMaker Neo, announced 5 August, offers an open device/cloud/app stack on the developer’s AWS account [S11]. Evaluate reuse; neither removes customer-support or recurring infrastructure costs.</w:t>
      </w:r>
    </w:p>
    <w:p>
      <w:pPr>
        <w:keepLines/>
        <w:widowControl/>
      </w:pPr>
      <w:r>
        <w:rPr>
          <w:i/>
          <w:color w:val="356779"/>
          <w:sz w:val="18"/>
        </w:rPr>
        <w:t>Evidence distinction: competitor pages establish available offers and vendor positioning. They do not prove sales volume, clinical effectiveness, a price gap customers will pay for, or our product-market fit.</w:t>
      </w:r>
    </w:p>
    <w:p>
      <w:pPr>
        <w:pStyle w:val="Heading1"/>
        <w:keepNext/>
        <w:keepLines/>
        <w:widowControl/>
      </w:pPr>
      <w:r>
        <w:t>Priority use cases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40"/>
        <w:gridCol w:w="1700"/>
        <w:gridCol w:w="3160"/>
        <w:gridCol w:w="3660"/>
      </w:tblGrid>
      <w:tr>
        <w:trPr>
          <w:tblHeader/>
          <w:cantSplit/>
        </w:trPr>
        <w:tc>
          <w:tcPr>
            <w:tcW w:type="dxa" w:w="84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Phase</w:t>
            </w:r>
          </w:p>
        </w:tc>
        <w:tc>
          <w:tcPr>
            <w:tcW w:type="dxa" w:w="170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Use case</w:t>
            </w:r>
          </w:p>
        </w:tc>
        <w:tc>
          <w:tcPr>
            <w:tcW w:type="dxa" w:w="316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Safe product statement</w:t>
            </w:r>
          </w:p>
        </w:tc>
        <w:tc>
          <w:tcPr>
            <w:tcW w:type="dxa" w:w="366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Boundary / guardrail</w:t>
            </w:r>
          </w:p>
        </w:tc>
      </w:tr>
      <w:tr>
        <w:trPr>
          <w:cantSplit/>
        </w:trPr>
        <w:tc>
          <w:tcPr>
            <w:tcW w:type="dxa" w:w="8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P0</w:t>
            </w:r>
          </w:p>
        </w:tc>
        <w:tc>
          <w:tcPr>
            <w:tcW w:type="dxa" w:w="17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Morning activity</w:t>
            </w:r>
          </w:p>
        </w:tc>
        <w:tc>
          <w:tcPr>
            <w:tcW w:type="dxa" w:w="31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“Hallway activity observed at 8:14.”</w:t>
            </w:r>
          </w:p>
        </w:tc>
        <w:tc>
          <w:tcPr>
            <w:tcW w:type="dxa" w:w="36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Not proof that a particular person is medically well.</w:t>
            </w:r>
          </w:p>
        </w:tc>
      </w:tr>
      <w:tr>
        <w:trPr>
          <w:cantSplit/>
        </w:trPr>
        <w:tc>
          <w:tcPr>
            <w:tcW w:type="dxa" w:w="8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P0</w:t>
            </w:r>
          </w:p>
        </w:tc>
        <w:tc>
          <w:tcPr>
            <w:tcW w:type="dxa" w:w="17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Inactivity prompt</w:t>
            </w:r>
          </w:p>
        </w:tc>
        <w:tc>
          <w:tcPr>
            <w:tcW w:type="dxa" w:w="31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“No expected activity by 10:00. Consider calling.”</w:t>
            </w:r>
          </w:p>
        </w:tc>
        <w:tc>
          <w:tcPr>
            <w:tcW w:type="dxa" w:w="36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Only when monitoring is active and sensors are healthy; absence is not an emergency diagnosis.</w:t>
            </w:r>
          </w:p>
        </w:tc>
      </w:tr>
      <w:tr>
        <w:trPr>
          <w:cantSplit/>
        </w:trPr>
        <w:tc>
          <w:tcPr>
            <w:tcW w:type="dxa" w:w="8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P0</w:t>
            </w:r>
          </w:p>
        </w:tc>
        <w:tc>
          <w:tcPr>
            <w:tcW w:type="dxa" w:w="17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Check-in / call button</w:t>
            </w:r>
          </w:p>
        </w:tc>
        <w:tc>
          <w:tcPr>
            <w:tcW w:type="dxa" w:w="31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“Call-family button pressed at 11:32.”</w:t>
            </w:r>
          </w:p>
        </w:tc>
        <w:tc>
          <w:tcPr>
            <w:tcW w:type="dxa" w:w="36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Family notification, not emergency dispatch; show delivery/acknowledgement separately.</w:t>
            </w:r>
          </w:p>
        </w:tc>
      </w:tr>
      <w:tr>
        <w:trPr>
          <w:cantSplit/>
        </w:trPr>
        <w:tc>
          <w:tcPr>
            <w:tcW w:type="dxa" w:w="8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P0</w:t>
            </w:r>
          </w:p>
        </w:tc>
        <w:tc>
          <w:tcPr>
            <w:tcW w:type="dxa" w:w="17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Main door</w:t>
            </w:r>
          </w:p>
        </w:tc>
        <w:tc>
          <w:tcPr>
            <w:tcW w:type="dxa" w:w="31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“Door opened at 2:12 a.m.”</w:t>
            </w:r>
          </w:p>
        </w:tc>
        <w:tc>
          <w:tcPr>
            <w:tcW w:type="dxa" w:w="36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No inference about who entered or left. Support away/visitor modes.</w:t>
            </w:r>
          </w:p>
        </w:tc>
      </w:tr>
      <w:tr>
        <w:trPr>
          <w:cantSplit/>
        </w:trPr>
        <w:tc>
          <w:tcPr>
            <w:tcW w:type="dxa" w:w="8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P0</w:t>
            </w:r>
          </w:p>
        </w:tc>
        <w:tc>
          <w:tcPr>
            <w:tcW w:type="dxa" w:w="17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Device health</w:t>
            </w:r>
          </w:p>
        </w:tc>
        <w:tc>
          <w:tcPr>
            <w:tcW w:type="dxa" w:w="31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“Hallway node has not checked in.”</w:t>
            </w:r>
          </w:p>
        </w:tc>
        <w:tc>
          <w:tcPr>
            <w:tcW w:type="dxa" w:w="36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Report coverage unknown; never interpret silence as reassuring activity.</w:t>
            </w:r>
          </w:p>
        </w:tc>
      </w:tr>
      <w:tr>
        <w:trPr>
          <w:cantSplit/>
        </w:trPr>
        <w:tc>
          <w:tcPr>
            <w:tcW w:type="dxa" w:w="8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commentRangeStart w:id="2"/>
            <w:r>
              <w:rPr>
                <w:rFonts w:ascii="Calibri" w:hAnsi="Calibri"/>
                <w:b w:val="0"/>
                <w:sz w:val="19"/>
              </w:rPr>
              <w:t>P1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  <w:tc>
          <w:tcPr>
            <w:tcW w:type="dxa" w:w="17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Fridge / kitchen</w:t>
            </w:r>
          </w:p>
        </w:tc>
        <w:tc>
          <w:tcPr>
            <w:tcW w:type="dxa" w:w="31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“Fridge door opened at 8:30.”</w:t>
            </w:r>
          </w:p>
        </w:tc>
        <w:tc>
          <w:tcPr>
            <w:tcW w:type="dxa" w:w="36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Not proof food was eaten or medicine taken.</w:t>
            </w:r>
          </w:p>
        </w:tc>
      </w:tr>
      <w:tr>
        <w:trPr>
          <w:cantSplit/>
        </w:trPr>
        <w:tc>
          <w:tcPr>
            <w:tcW w:type="dxa" w:w="8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P1</w:t>
            </w:r>
          </w:p>
        </w:tc>
        <w:tc>
          <w:tcPr>
            <w:tcW w:type="dxa" w:w="17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Water leak</w:t>
            </w:r>
          </w:p>
        </w:tc>
        <w:tc>
          <w:tcPr>
            <w:tcW w:type="dxa" w:w="31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“Water detected near the washer.”</w:t>
            </w:r>
          </w:p>
        </w:tc>
        <w:tc>
          <w:tcPr>
            <w:tcW w:type="dxa" w:w="36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Property-risk add-on; alert only, no shutoff.</w:t>
            </w:r>
          </w:p>
        </w:tc>
      </w:tr>
      <w:tr>
        <w:trPr>
          <w:cantSplit/>
        </w:trPr>
        <w:tc>
          <w:tcPr>
            <w:tcW w:type="dxa" w:w="8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P1</w:t>
            </w:r>
          </w:p>
        </w:tc>
        <w:tc>
          <w:tcPr>
            <w:tcW w:type="dxa" w:w="17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Heat / humidity</w:t>
            </w:r>
          </w:p>
        </w:tc>
        <w:tc>
          <w:tcPr>
            <w:tcW w:type="dxa" w:w="31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“Humidity has stayed high.”</w:t>
            </w:r>
          </w:p>
        </w:tc>
        <w:tc>
          <w:tcPr>
            <w:tcW w:type="dxa" w:w="36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Environmental observation, not diagnosis.</w:t>
            </w:r>
          </w:p>
        </w:tc>
      </w:tr>
      <w:tr>
        <w:trPr>
          <w:cantSplit/>
        </w:trPr>
        <w:tc>
          <w:tcPr>
            <w:tcW w:type="dxa" w:w="84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P2</w:t>
            </w:r>
          </w:p>
        </w:tc>
        <w:tc>
          <w:tcPr>
            <w:tcW w:type="dxa" w:w="17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Fall / stove research</w:t>
            </w:r>
          </w:p>
        </w:tc>
        <w:tc>
          <w:tcPr>
            <w:tcW w:type="dxa" w:w="31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Research only; no V1 claims.</w:t>
            </w:r>
          </w:p>
        </w:tc>
        <w:tc>
          <w:tcPr>
            <w:tcW w:type="dxa" w:w="36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Separate validation, intended-use and compliance review.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keepLines/>
        <w:widowControl/>
      </w:pPr>
      <w:r>
        <w:t>Product requirements</w:t>
      </w:r>
    </w:p>
    <w:p>
      <w:pPr>
        <w:pStyle w:val="Heading2"/>
        <w:keepNext/>
        <w:keepLines/>
        <w:widowControl/>
      </w:pPr>
      <w:r>
        <w:t>Functional requirements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tblHeader/>
          <w:cantSplit/>
        </w:trPr>
        <w:tc>
          <w:tcPr>
            <w:tcW w:type="dxa" w:w="180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756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Minimum requirement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Hub</w:t>
            </w:r>
          </w:p>
        </w:tc>
        <w:tc>
          <w:tcPr>
            <w:tcW w:type="dxa" w:w="75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Secure provisioning/pairing; persistent event queue; duplicate-safe receipt; local rules; distinct OK/call tones; clock recovery; sensor coverage status; TLS cloud sync; tested OTA rollback.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Sensor nodes</w:t>
            </w:r>
          </w:p>
        </w:tc>
        <w:tc>
          <w:tcPr>
            <w:tcW w:type="dxa" w:w="75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Wake/debounce; sequence + reboot identity; application ACK/retry; heartbeat; battery state; secure pairing; reconnection after hub/router changes; measured sleep/event current.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Cloud &amp; caregiver UI</w:t>
            </w:r>
          </w:p>
        </w:tc>
        <w:tc>
          <w:tcPr>
            <w:tcW w:type="dxa" w:w="75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Household roles; explicit resident consent/pause; evidence timestamps; away/visitor modes; rule explanations; push permission/test; delivered versus acknowledged states; escalation contacts; deletion/export; audit history.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keepLines/>
        <w:widowControl/>
      </w:pPr>
      <w:r>
        <w:t>Non-functional acceptance targets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630"/>
        <w:gridCol w:w="3630"/>
      </w:tblGrid>
      <w:tr>
        <w:trPr>
          <w:tblHeader/>
          <w:cantSplit/>
        </w:trPr>
        <w:tc>
          <w:tcPr>
            <w:tcW w:type="dxa" w:w="210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Area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Pilot target / measurement</w:t>
            </w:r>
          </w:p>
        </w:tc>
        <w:tc>
          <w:tcPr>
            <w:tcW w:type="dxa" w:w="363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Later production gate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Local event latency</w:t>
            </w:r>
          </w:p>
        </w:tc>
        <w:tc>
          <w:tcPr>
            <w:tcW w:type="dxa" w:w="36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p95 under 3 s in tested placements</w:t>
            </w:r>
          </w:p>
        </w:tc>
        <w:tc>
          <w:tcPr>
            <w:tcW w:type="dxa" w:w="36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p95 under 2 s; report lost and duplicated events too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Remote notifications</w:t>
            </w:r>
          </w:p>
        </w:tc>
        <w:tc>
          <w:tcPr>
            <w:tcW w:type="dxa" w:w="36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p95 under 30 s when internet and push permissions work</w:t>
            </w:r>
          </w:p>
        </w:tc>
        <w:tc>
          <w:tcPr>
            <w:tcW w:type="dxa" w:w="36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p95 under 15 s under stated conditions; not a delivery guarantee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False alerts</w:t>
            </w:r>
          </w:p>
        </w:tc>
        <w:tc>
          <w:tcPr>
            <w:tcW w:type="dxa" w:w="36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Below 1 false high-priority escalation/home-month after tuning</w:t>
            </w:r>
          </w:p>
        </w:tc>
        <w:tc>
          <w:tcPr>
            <w:tcW w:type="dxa" w:w="36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Below 0.5/home-month; separately report routine nudge usefulness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Missed events</w:t>
            </w:r>
          </w:p>
        </w:tc>
        <w:tc>
          <w:tcPr>
            <w:tcW w:type="dxa" w:w="36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Zero unexplained misses in scripted button/door/outage tests</w:t>
            </w:r>
          </w:p>
        </w:tc>
        <w:tc>
          <w:tcPr>
            <w:tcW w:type="dxa" w:w="36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Publish tested event coverage; not a sensitivity claim for real emergencies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Setup</w:t>
            </w:r>
          </w:p>
        </w:tc>
        <w:tc>
          <w:tcPr>
            <w:tcW w:type="dxa" w:w="36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Median under 15 min; record founder assistance</w:t>
            </w:r>
          </w:p>
        </w:tc>
        <w:tc>
          <w:tcPr>
            <w:tcW w:type="dxa" w:w="36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Median under 10 min; independently repeatable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Power / battery</w:t>
            </w:r>
          </w:p>
        </w:tc>
        <w:tc>
          <w:tcPr>
            <w:tcW w:type="dxa" w:w="36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Hub backup at least 30 min; measure node current and retries</w:t>
            </w:r>
          </w:p>
        </w:tc>
        <w:tc>
          <w:tcPr>
            <w:tcW w:type="dxa" w:w="36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Hub 2–4 h; nodes 9–12 months only if duty-cycle tests support it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Support</w:t>
            </w:r>
          </w:p>
        </w:tc>
        <w:tc>
          <w:tcPr>
            <w:tcW w:type="dxa" w:w="36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Below 30 min/home/month after onboarding; log founder time</w:t>
            </w:r>
          </w:p>
        </w:tc>
        <w:tc>
          <w:tcPr>
            <w:tcW w:type="dxa" w:w="36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Below 20 min/home/month is a ceiling, not a scalable staffing plan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Security</w:t>
            </w:r>
          </w:p>
        </w:tc>
        <w:tc>
          <w:tcPr>
            <w:tcW w:type="dxa" w:w="36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Unique credentials; encrypted links; access tests; signed firmware</w:t>
            </w:r>
          </w:p>
        </w:tc>
        <w:tc>
          <w:tcPr>
            <w:tcW w:type="dxa" w:w="36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Secure boot/flash encryption as applicable; signed OTA, rollback and incident process</w:t>
            </w:r>
          </w:p>
        </w:tc>
      </w:tr>
    </w:tbl>
    <w:p>
      <w:pPr>
        <w:widowControl/>
        <w:spacing w:after="20"/>
      </w:pPr>
    </w:p>
    <w:p>
      <w:pPr>
        <w:keepLines/>
        <w:widowControl/>
      </w:pPr>
      <w:r>
        <w:t>Validation must test power failure, router reboot/channel change, stale clocks, depleted batteries, duplicate packets, a muted phone, lost push permission and all caregivers unavailable. Run scripted scenarios with consenting adults; never induce falls or rely on the pilot for emergency protection.</w:t>
      </w:r>
    </w:p>
    <w:p>
      <w:pPr>
        <w:keepLines/>
        <w:widowControl/>
      </w:pPr>
      <w:r>
        <w:rPr>
          <w:i/>
          <w:color w:val="356779"/>
          <w:sz w:val="18"/>
        </w:rPr>
        <w:t>A ten-home, 30-day pilot provides only ten home-months of exposure. It cannot prove rare-event safety performance. Record each false or missed event with its cause; do not reduce alert volume simply by disabling useful detection.</w:t>
      </w:r>
    </w:p>
    <w:p>
      <w:pPr>
        <w:pStyle w:val="Heading1"/>
        <w:keepNext/>
        <w:keepLines/>
        <w:widowControl/>
      </w:pPr>
      <w:r>
        <w:t>Prototype architecture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6F9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2E74B5"/>
                <w:sz w:val="22"/>
              </w:rPr>
              <w:t>Event flow  2 motion nodes + 1 door node (ESP32-C3) → encrypted ESP-NOW → powered ESP32-S3 hub with physical button, speaker and local rules → Wi-Fi/TLS → cloud event service → caregiver PWA/push → named family/local responder. Camera and microphone remain disconnected.</w:t>
            </w:r>
          </w:p>
        </w:tc>
      </w:tr>
    </w:tbl>
    <w:p>
      <w:pPr>
        <w:widowControl/>
        <w:spacing w:after="20"/>
      </w:pPr>
    </w:p>
    <w:p>
      <w:pPr>
        <w:keepLines/>
        <w:widowControl/>
      </w:pPr>
      <w:r>
        <w:rPr>
          <w:rFonts w:ascii="Calibri" w:hAnsi="Calibri"/>
          <w:sz w:val="22"/>
        </w:rPr>
        <w:t>Use ESP-NOW for the engineering prototype, with application-level acknowledgements, retries, event IDs and heartbeats. Espressif states that MAC send success is not proof of application receipt [S12]. The hub’s home-Wi-Fi channel and ESP-NOW peers must remain compatible; test router auto-channel changes, re-pairing and reconnect behaviour. Local rules continue only while the hub has power.</w:t>
      </w:r>
    </w:p>
    <w:p>
      <w:pPr>
        <w:pStyle w:val="Heading2"/>
        <w:keepNext/>
        <w:keepLines/>
        <w:widowControl/>
      </w:pPr>
      <w:r>
        <w:t>Failure-aware local intelligence</w:t>
      </w:r>
    </w:p>
    <w:p>
      <w:pPr>
        <w:keepLines/>
        <w:widowControl/>
      </w:pPr>
      <w:r>
        <w:t>Use explicit states: normal observation, check-in due, away/paused, degraded coverage, offline and family acknowledgement. During internet failure, keep local feedback/logging, mark remote data stale and replay queued events with original timestamps. A cloud heartbeat can report hub unreachable but cannot distinguish power loss from internet loss. Remote alerts cannot cross a failed internet connection without a separate backup link.</w:t>
      </w:r>
    </w:p>
    <w:p>
      <w:pPr>
        <w:keepLines/>
        <w:widowControl/>
      </w:pPr>
      <w:r>
        <w:t>V1 uses configured time windows and transparent rules, with no LLM in the alert path. Later, compare household-specific statistical baselines against those rules using labelled data. Do not market “AI” as an untested reliability improvement. Multiple occupants can produce false reassurance because a PIR does not identify people.</w:t>
      </w:r>
    </w:p>
    <w:p>
      <w:pPr>
        <w:pStyle w:val="Heading2"/>
        <w:keepNext/>
        <w:keepLines/>
        <w:widowControl/>
      </w:pPr>
      <w:r>
        <w:t>Recommended stack</w:t>
      </w:r>
    </w:p>
    <w:p>
      <w:pPr>
        <w:pStyle w:val="ListBullet"/>
        <w:keepLines/>
        <w:widowControl/>
        <w:spacing w:after="100" w:line="280" w:lineRule="auto"/>
        <w:ind w:left="720" w:hanging="360"/>
      </w:pPr>
      <w:r>
        <w:rPr>
          <w:rFonts w:ascii="Calibri" w:hAnsi="Calibri"/>
          <w:sz w:val="22"/>
        </w:rPr>
        <w:t>Firmware: ESP-IDF in C/C++; Arduino only for early sensor experiments.</w:t>
      </w:r>
    </w:p>
    <w:p>
      <w:pPr>
        <w:pStyle w:val="ListBullet"/>
        <w:keepLines/>
        <w:widowControl/>
        <w:spacing w:after="100" w:line="280" w:lineRule="auto"/>
        <w:ind w:left="720" w:hanging="360"/>
      </w:pPr>
      <w:r>
        <w:rPr>
          <w:rFonts w:ascii="Calibri" w:hAnsi="Calibri"/>
          <w:sz w:val="22"/>
        </w:rPr>
        <w:t>Cloud: MQTT over TLS, Mosquitto or managed EMQX, FastAPI/Node backend, PostgreSQL.</w:t>
      </w:r>
    </w:p>
    <w:p>
      <w:pPr>
        <w:pStyle w:val="ListBullet"/>
        <w:keepLines/>
        <w:widowControl/>
        <w:spacing w:after="100" w:line="280" w:lineRule="auto"/>
        <w:ind w:left="720" w:hanging="360"/>
      </w:pPr>
      <w:r>
        <w:rPr>
          <w:rFonts w:ascii="Calibri" w:hAnsi="Calibri"/>
          <w:sz w:val="22"/>
        </w:rPr>
        <w:t>Pilot app: responsive React PWA with verified Android/iOS installation, notification permissions and end-to-end test alerts. Evaluate a native app only if observed reliability or onboarding requires it.</w:t>
      </w:r>
    </w:p>
    <w:p>
      <w:pPr>
        <w:pStyle w:val="ListBullet"/>
        <w:keepLines/>
        <w:widowControl/>
        <w:spacing w:after="100" w:line="280" w:lineRule="auto"/>
        <w:ind w:left="720" w:hanging="360"/>
      </w:pPr>
      <w:r>
        <w:rPr>
          <w:rFonts w:ascii="Calibri" w:hAnsi="Calibri"/>
          <w:sz w:val="22"/>
        </w:rPr>
        <w:t>Operations: device registry, logs, metrics, backups, signed OTA, error monitoring.</w:t>
      </w:r>
    </w:p>
    <w:p>
      <w:pPr>
        <w:keepLines/>
        <w:widowControl/>
      </w:pPr>
      <w:r>
        <w:rPr>
          <w:i/>
          <w:color w:val="356779"/>
          <w:sz w:val="18"/>
        </w:rPr>
        <w:t>Platform decision: time-box a RainMaker Neo feasibility check for provisioning, device identity, OTA and app reuse [S11]. Choose one production backend after the spike; do not build and maintain two parallel stacks. The open-source licence does not make AWS hosting or paid support free.</w:t>
      </w:r>
    </w:p>
    <w:p>
      <w:pPr>
        <w:pStyle w:val="Heading1"/>
        <w:keepNext/>
        <w:keepLines/>
        <w:widowControl/>
      </w:pPr>
      <w:r>
        <w:t>Hardware strategy</w:t>
      </w:r>
    </w:p>
    <w:p>
      <w:pPr>
        <w:pStyle w:val="Heading2"/>
        <w:keepNext/>
        <w:keepLines/>
        <w:widowControl/>
      </w:pPr>
      <w:r>
        <w:t>Can your existing boards be used?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50"/>
        <w:gridCol w:w="1700"/>
        <w:gridCol w:w="5510"/>
      </w:tblGrid>
      <w:tr>
        <w:trPr>
          <w:tblHeader/>
          <w:cantSplit/>
        </w:trPr>
        <w:tc>
          <w:tcPr>
            <w:tcW w:type="dxa" w:w="215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Board / part</w:t>
            </w:r>
          </w:p>
        </w:tc>
        <w:tc>
          <w:tcPr>
            <w:tcW w:type="dxa" w:w="170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Role</w:t>
            </w:r>
          </w:p>
        </w:tc>
        <w:tc>
          <w:tcPr>
            <w:tcW w:type="dxa" w:w="551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Recommendation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Existing S3-N16R8, OLED, amplifier, speaker and button</w:t>
            </w:r>
          </w:p>
        </w:tc>
        <w:tc>
          <w:tcPr>
            <w:tcW w:type="dxa" w:w="17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Prototype hub</w:t>
            </w:r>
          </w:p>
        </w:tc>
        <w:tc>
          <w:tcPr>
            <w:tcW w:type="dxa" w:w="551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Use existing hardware. Disconnect camera/microphone. Prefer USB-powered hub with rechargeable backup, subject to the user’s power preference and a measured budget.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ESP32-WROOM DevKit V1</w:t>
            </w:r>
          </w:p>
        </w:tc>
        <w:tc>
          <w:tcPr>
            <w:tcW w:type="dxa" w:w="17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Alternative hub</w:t>
            </w:r>
          </w:p>
        </w:tc>
        <w:tc>
          <w:tcPr>
            <w:tcW w:type="dxa" w:w="551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Suitable for prototype local rules, networking and audio. Do not use DevKits as final long-life battery nodes.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ESP32-C3 SuperMini ×3</w:t>
            </w:r>
          </w:p>
        </w:tc>
        <w:tc>
          <w:tcPr>
            <w:tcW w:type="dxa" w:w="17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Prototype nodes</w:t>
            </w:r>
          </w:p>
        </w:tc>
        <w:tc>
          <w:tcPr>
            <w:tcW w:type="dxa" w:w="551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Two PIR nodes plus one reed-contact node. Measure actual board/regulator/LED leakage; chipset deep-sleep figures alone are insufficient.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ESP8266</w:t>
            </w:r>
          </w:p>
        </w:tc>
        <w:tc>
          <w:tcPr>
            <w:tcW w:type="dxa" w:w="17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Not preferred</w:t>
            </w:r>
          </w:p>
        </w:tc>
        <w:tc>
          <w:tcPr>
            <w:tcW w:type="dxa" w:w="551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Avoid a new commercial dependency solely to save a small board cost; assess security, provisioning and maintenance together.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C6/H2 or newer ESP32</w:t>
            </w:r>
          </w:p>
        </w:tc>
        <w:tc>
          <w:tcPr>
            <w:tcW w:type="dxa" w:w="17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Future evaluation</w:t>
            </w:r>
          </w:p>
        </w:tc>
        <w:tc>
          <w:tcPr>
            <w:tcW w:type="dxa" w:w="551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Change only for a measured requirement such as Thread or connectivity. New silicon is not a reason to delay the existing S3/C3 prototype.</w:t>
            </w:r>
          </w:p>
        </w:tc>
      </w:tr>
    </w:tbl>
    <w:p>
      <w:pPr>
        <w:widowControl/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6F9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B1C1C"/>
                <w:sz w:val="22"/>
              </w:rPr>
              <w:t>Battery safety  Preserve the preference for recharging inside the device. Use a protected single-cell pack and a correctly engineered charger/power path. A TP4056 is not a series-pack charger; protection is not the same as load sharing. Do not promise safe charge-while-operating without testing the complete circuit. Obtain qualified battery/power review before field deployment.</w:t>
            </w:r>
          </w:p>
        </w:tc>
      </w:tr>
    </w:tbl>
    <w:p>
      <w:pPr>
        <w:widowControl/>
        <w:spacing w:after="20"/>
      </w:pPr>
    </w:p>
    <w:p>
      <w:pPr>
        <w:keepLines/>
        <w:widowControl/>
      </w:pPr>
      <w:r>
        <w:rPr>
          <w:i/>
          <w:color w:val="356779"/>
          <w:sz w:val="18"/>
        </w:rPr>
        <w:t>Power design decision: an always-listening hub consumes substantially more than sleeping event nodes. The recommended pilot is a mains/USB hub with battery backup; a battery-only hub needs a separate capacity/runtime experiment. This change must be agreed before a production power design is frozen.</w:t>
      </w:r>
    </w:p>
    <w:p>
      <w:pPr>
        <w:pStyle w:val="Heading2"/>
        <w:keepNext/>
        <w:keepLines/>
        <w:widowControl/>
      </w:pPr>
      <w:r>
        <w:t>Planning BOM: one-home engineering prototype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650"/>
        <w:gridCol w:w="2060"/>
        <w:gridCol w:w="4050"/>
      </w:tblGrid>
      <w:tr>
        <w:trPr>
          <w:tblHeader/>
          <w:cantSplit/>
        </w:trPr>
        <w:tc>
          <w:tcPr>
            <w:tcW w:type="dxa" w:w="260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Item</w:t>
            </w:r>
          </w:p>
        </w:tc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Qty</w:t>
            </w:r>
          </w:p>
        </w:tc>
        <w:tc>
          <w:tcPr>
            <w:tcW w:type="dxa" w:w="206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Planning range (INR)</w:t>
            </w:r>
          </w:p>
        </w:tc>
        <w:tc>
          <w:tcPr>
            <w:tcW w:type="dxa" w:w="405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P0 purpose / boundary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Existing S3 hub/audio/OLED</w:t>
            </w:r>
          </w:p>
        </w:tc>
        <w:tc>
          <w:tcPr>
            <w:tcW w:type="dxa" w:w="6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20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₹0 incremental</w:t>
            </w:r>
          </w:p>
        </w:tc>
        <w:tc>
          <w:tcPr>
            <w:tcW w:type="dxa" w:w="40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Reuse owned kit; replacements for pilot homes cost extra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ESP32-C3 SuperMini</w:t>
            </w:r>
          </w:p>
        </w:tc>
        <w:tc>
          <w:tcPr>
            <w:tcW w:type="dxa" w:w="6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20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₹900–₹1,500</w:t>
            </w:r>
          </w:p>
        </w:tc>
        <w:tc>
          <w:tcPr>
            <w:tcW w:type="dxa" w:w="40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Two motion nodes and one door node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PIR sensors</w:t>
            </w:r>
          </w:p>
        </w:tc>
        <w:tc>
          <w:tcPr>
            <w:tcW w:type="dxa" w:w="6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20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₹200–₹600</w:t>
            </w:r>
          </w:p>
        </w:tc>
        <w:tc>
          <w:tcPr>
            <w:tcW w:type="dxa" w:w="40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Hallway + another routine location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Reed contact</w:t>
            </w:r>
          </w:p>
        </w:tc>
        <w:tc>
          <w:tcPr>
            <w:tcW w:type="dxa" w:w="6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20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₹75–₹200</w:t>
            </w:r>
          </w:p>
        </w:tc>
        <w:tc>
          <w:tcPr>
            <w:tcW w:type="dxa" w:w="40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Main door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Leak sensing</w:t>
            </w:r>
          </w:p>
        </w:tc>
        <w:tc>
          <w:tcPr>
            <w:tcW w:type="dxa" w:w="6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  <w:tc>
          <w:tcPr>
            <w:tcW w:type="dxa" w:w="20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₹0 in P0</w:t>
            </w:r>
          </w:p>
        </w:tc>
        <w:tc>
          <w:tcPr>
            <w:tcW w:type="dxa" w:w="40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Optional P1; price separately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Temperature/humidity</w:t>
            </w:r>
          </w:p>
        </w:tc>
        <w:tc>
          <w:tcPr>
            <w:tcW w:type="dxa" w:w="6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0</w:t>
            </w:r>
          </w:p>
        </w:tc>
        <w:tc>
          <w:tcPr>
            <w:tcW w:type="dxa" w:w="20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₹0 in P0</w:t>
            </w:r>
          </w:p>
        </w:tc>
        <w:tc>
          <w:tcPr>
            <w:tcW w:type="dxa" w:w="40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Optional P1; not required for check-in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Protected power/charging parts</w:t>
            </w:r>
          </w:p>
        </w:tc>
        <w:tc>
          <w:tcPr>
            <w:tcW w:type="dxa" w:w="6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1 set</w:t>
            </w:r>
          </w:p>
        </w:tc>
        <w:tc>
          <w:tcPr>
            <w:tcW w:type="dxa" w:w="20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₹1,500–₹3,000</w:t>
            </w:r>
          </w:p>
        </w:tc>
        <w:tc>
          <w:tcPr>
            <w:tcW w:type="dxa" w:w="40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Node packs plus hub-backup experiments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Button, enclosures, wiring</w:t>
            </w:r>
          </w:p>
        </w:tc>
        <w:tc>
          <w:tcPr>
            <w:tcW w:type="dxa" w:w="6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1 set</w:t>
            </w:r>
          </w:p>
        </w:tc>
        <w:tc>
          <w:tcPr>
            <w:tcW w:type="dxa" w:w="20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₹1,000–₹2,500</w:t>
            </w:r>
          </w:p>
        </w:tc>
        <w:tc>
          <w:tcPr>
            <w:tcW w:type="dxa" w:w="40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Exclude a new meter and engineering time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Incremental P0 total</w:t>
            </w:r>
          </w:p>
        </w:tc>
        <w:tc>
          <w:tcPr>
            <w:tcW w:type="dxa" w:w="6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20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commentRangeStart w:id="3"/>
            <w:r>
              <w:rPr>
                <w:rFonts w:ascii="Calibri" w:hAnsi="Calibri"/>
                <w:b w:val="0"/>
                <w:sz w:val="19"/>
              </w:rPr>
              <w:t>₹3,675–₹7,800</w:t>
            </w:r>
            <w:commentRangeEnd w:id="3"/>
            <w:r>
              <w:rPr>
                <w:rStyle w:val="CommentReference"/>
              </w:rPr>
              <w:commentReference w:id="3"/>
            </w:r>
          </w:p>
        </w:tc>
        <w:tc>
          <w:tcPr>
            <w:tcW w:type="dxa" w:w="40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Planning arithmetic, not supplier quotes; allow shipping/spares</w:t>
            </w:r>
          </w:p>
        </w:tc>
      </w:tr>
    </w:tbl>
    <w:p>
      <w:pPr>
        <w:widowControl/>
        <w:spacing w:after="20"/>
      </w:pPr>
    </w:p>
    <w:p>
      <w:pPr>
        <w:keepLines/>
        <w:widowControl/>
      </w:pPr>
      <w:r>
        <w:rPr>
          <w:rFonts w:ascii="Calibri" w:hAnsi="Calibri"/>
          <w:sz w:val="22"/>
        </w:rPr>
        <w:t>Plan roughly ₹80,000–₹1.5 lakh for ten homes’ pilot hardware, replacement hubs and spares; obtain itemised quotes before spending. These are engineering-pilot costs, not volume COGS. Reuse the first prototype to validate placement, alerts and power before a custom low-power PCB. Existing owned cells/boards may reduce incremental cash, but production costing must include every part.</w:t>
      </w:r>
    </w:p>
    <w:p>
      <w:pPr>
        <w:pStyle w:val="Heading1"/>
        <w:keepNext/>
        <w:keepLines/>
        <w:pageBreakBefore/>
        <w:widowControl/>
      </w:pPr>
      <w:r>
        <w:t>Commercial model</w:t>
      </w:r>
    </w:p>
    <w:p>
      <w:pPr>
        <w:pStyle w:val="Heading2"/>
        <w:keepNext/>
        <w:keepLines/>
        <w:widowControl/>
      </w:pPr>
      <w:r>
        <w:t>India pricing hypothesis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200"/>
        <w:gridCol w:w="5060"/>
      </w:tblGrid>
      <w:tr>
        <w:trPr>
          <w:tblHeader/>
          <w:cantSplit/>
        </w:trPr>
        <w:tc>
          <w:tcPr>
            <w:tcW w:type="dxa" w:w="210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Offer</w:t>
            </w:r>
          </w:p>
        </w:tc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Price hypothesis</w:t>
            </w:r>
          </w:p>
        </w:tc>
        <w:tc>
          <w:tcPr>
            <w:tcW w:type="dxa" w:w="506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Scope / decision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Family core</w:t>
            </w:r>
          </w:p>
        </w:tc>
        <w:tc>
          <w:tcPr>
            <w:tcW w:type="dxa" w:w="22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₹9,999–₹11,999</w:t>
            </w:r>
          </w:p>
        </w:tc>
        <w:tc>
          <w:tcPr>
            <w:tcW w:type="dxa" w:w="50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Consumer price range to test, not a validated price. Hub + 3 nodes; final tax and service terms disclosed before purchase.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Lite</w:t>
            </w:r>
          </w:p>
        </w:tc>
        <w:tc>
          <w:tcPr>
            <w:tcW w:type="dxa" w:w="22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₹6,999 — hold</w:t>
            </w:r>
          </w:p>
        </w:tc>
        <w:tc>
          <w:tcPr>
            <w:tcW w:type="dxa" w:w="50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Do not launch at this price with a ₹4,500 COGS assumption. Requires a materially cheaper/smaller kit or a separately validated subsidy model.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Local assisted installation</w:t>
            </w:r>
          </w:p>
        </w:tc>
        <w:tc>
          <w:tcPr>
            <w:tcW w:type="dxa" w:w="22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Separate quote</w:t>
            </w:r>
          </w:p>
        </w:tc>
        <w:tc>
          <w:tcPr>
            <w:tcW w:type="dxa" w:w="50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One-city service only at first. Price travel, labour and follow-up; ₹14,999 bundle remains unvalidated.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Optional Family Plus</w:t>
            </w:r>
          </w:p>
        </w:tc>
        <w:tc>
          <w:tcPr>
            <w:tcW w:type="dxa" w:w="22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₹299/month — test</w:t>
            </w:r>
          </w:p>
        </w:tc>
        <w:tc>
          <w:tcPr>
            <w:tcW w:type="dxa" w:w="50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Limited messaging/history/support features. Define usage caps; never promise unlimited phone/SMS or human emergency response.</w:t>
            </w:r>
          </w:p>
        </w:tc>
      </w:tr>
    </w:tbl>
    <w:p>
      <w:pPr>
        <w:widowControl/>
        <w:spacing w:after="20"/>
      </w:pPr>
    </w:p>
    <w:p>
      <w:pPr>
        <w:keepLines/>
        <w:widowControl/>
      </w:pPr>
      <w:r>
        <w:rPr>
          <w:i/>
          <w:color w:val="356779"/>
          <w:sz w:val="18"/>
        </w:rPr>
        <w:t>Service boundary: local observation, local button feedback and device-health indication remain usable without a subscription. Remote push requires an operated backend. Define a funded included-service term and renewal price before sale; do not promise lifetime free remote monitoring. Core warning clarity and resident controls must not be paywalled.</w:t>
      </w:r>
    </w:p>
    <w:p>
      <w:pPr>
        <w:pStyle w:val="Heading2"/>
        <w:keepNext/>
        <w:keepLines/>
        <w:widowControl/>
      </w:pPr>
      <w:r>
        <w:t>Foreign-market hypothesis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1700"/>
        <w:gridCol w:w="5560"/>
      </w:tblGrid>
      <w:tr>
        <w:trPr>
          <w:tblHeader/>
          <w:cantSplit/>
        </w:trPr>
        <w:tc>
          <w:tcPr>
            <w:tcW w:type="dxa" w:w="210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Offer</w:t>
            </w:r>
          </w:p>
        </w:tc>
        <w:tc>
          <w:tcPr>
            <w:tcW w:type="dxa" w:w="170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Earlier hypothesis</w:t>
            </w:r>
          </w:p>
        </w:tc>
        <w:tc>
          <w:tcPr>
            <w:tcW w:type="dxa" w:w="556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Updated treatment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Starter</w:t>
            </w:r>
          </w:p>
        </w:tc>
        <w:tc>
          <w:tcPr>
            <w:tcW w:type="dxa" w:w="17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$149 / €159</w:t>
            </w:r>
          </w:p>
        </w:tc>
        <w:tc>
          <w:tcPr>
            <w:tcW w:type="dxa" w:w="55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Hold as a research anchor, not a launch quote. Recalculate net revenue, freight, taxes, returns, certification and support for each country.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Extra event node</w:t>
            </w:r>
          </w:p>
        </w:tc>
        <w:tc>
          <w:tcPr>
            <w:tcW w:type="dxa" w:w="17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$29–$39</w:t>
            </w:r>
          </w:p>
        </w:tc>
        <w:tc>
          <w:tcPr>
            <w:tcW w:type="dxa" w:w="55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Unvalidated; depends on landed cost and channel margin.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Powered presence node</w:t>
            </w:r>
          </w:p>
        </w:tc>
        <w:tc>
          <w:tcPr>
            <w:tcW w:type="dxa" w:w="17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$49–$69</w:t>
            </w:r>
          </w:p>
        </w:tc>
        <w:tc>
          <w:tcPr>
            <w:tcW w:type="dxa" w:w="55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Defer until a measured sensing gap justifies additional complexity.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Family Plus</w:t>
            </w:r>
          </w:p>
        </w:tc>
        <w:tc>
          <w:tcPr>
            <w:tcW w:type="dxa" w:w="17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$5.99/month</w:t>
            </w:r>
          </w:p>
        </w:tc>
        <w:tc>
          <w:tcPr>
            <w:tcW w:type="dxa" w:w="55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Unvalidated; cost service levels and local messaging before offering.</w:t>
            </w:r>
          </w:p>
        </w:tc>
      </w:tr>
    </w:tbl>
    <w:p>
      <w:pPr>
        <w:widowControl/>
        <w:spacing w:after="20"/>
      </w:pPr>
    </w:p>
    <w:p>
      <w:pPr>
        <w:keepLines/>
        <w:widowControl/>
      </w:pPr>
      <w:r>
        <w:rPr>
          <w:rFonts w:ascii="Calibri" w:hAnsi="Calibri"/>
          <w:sz w:val="22"/>
        </w:rPr>
        <w:t>Illustration only: 1,000 kits at ₹9,999 create ₹99.99 lakh of customer billings, not necessarily revenue. With an illustrative 18% tax included, net hardware revenue is ₹84.74 lakh. A 30% attach rate at ₹299/month gives ₹10.76 lakh annualised subscription billings, not profit or a forecast. Actual tax classification, churn, service start dates and collection must be modelled.</w:t>
      </w:r>
    </w:p>
    <w:p>
      <w:pPr>
        <w:pStyle w:val="Heading2"/>
        <w:keepNext/>
        <w:keepLines/>
        <w:widowControl/>
      </w:pPr>
      <w:r>
        <w:t>Cost and margin gates</w:t>
      </w:r>
    </w:p>
    <w:p>
      <w:pPr>
        <w:pStyle w:val="ListBullet"/>
        <w:keepLines/>
        <w:widowControl/>
        <w:spacing w:after="100" w:line="280" w:lineRule="auto"/>
        <w:ind w:left="720" w:hanging="360"/>
      </w:pPr>
      <w:r>
        <w:rPr>
          <w:rFonts w:ascii="Calibri" w:hAnsi="Calibri"/>
          <w:sz w:val="22"/>
        </w:rPr>
        <w:t>Production COGS must include all hardware, assembly, test yield, packaging and inbound freight; use recoverable input tax consistently. ₹4,500 is a target assumption, not a verified manufacturing quote.</w:t>
      </w:r>
    </w:p>
    <w:p>
      <w:pPr>
        <w:pStyle w:val="ListBullet"/>
        <w:keepLines/>
        <w:widowControl/>
        <w:spacing w:after="100" w:line="280" w:lineRule="auto"/>
        <w:ind w:left="720" w:hanging="360"/>
      </w:pPr>
      <w:r>
        <w:rPr>
          <w:rFonts w:ascii="Calibri" w:hAnsi="Calibri"/>
          <w:sz w:val="22"/>
        </w:rPr>
        <w:t>Target 55% hardware gross margin on net-of-tax revenue, before fulfilment, payment, returns, acquisition and service costs. Target 30–35% contribution only after those costs are explicitly modelled.</w:t>
      </w:r>
    </w:p>
    <w:p>
      <w:pPr>
        <w:pStyle w:val="ListBullet"/>
        <w:keepLines/>
        <w:widowControl/>
        <w:spacing w:after="100" w:line="280" w:lineRule="auto"/>
        <w:ind w:left="720" w:hanging="360"/>
      </w:pPr>
      <w:r>
        <w:rPr>
          <w:rFonts w:ascii="Calibri" w:hAnsi="Calibri"/>
          <w:sz w:val="22"/>
        </w:rPr>
        <w:t>Subscription margin must cover cloud, messaging, support and billing. A 75% target and 3–5% warranty reserve are provisional management assumptions, not observed performance.</w:t>
      </w:r>
    </w:p>
    <w:p>
      <w:pPr>
        <w:pStyle w:val="ListBullet"/>
        <w:keepLines/>
        <w:widowControl/>
        <w:spacing w:after="100" w:line="280" w:lineRule="auto"/>
        <w:ind w:left="720" w:hanging="360"/>
      </w:pPr>
      <w:r>
        <w:rPr>
          <w:rFonts w:ascii="Calibri" w:hAnsi="Calibri"/>
          <w:sz w:val="22"/>
        </w:rPr>
        <w:t>Hardware creates entry; durable economics come from add-ons, service software, referrals, support efficiency and B2B2C partnerships.</w:t>
      </w:r>
    </w:p>
    <w:p>
      <w:pPr>
        <w:pStyle w:val="Heading2"/>
        <w:keepNext/>
        <w:keepLines/>
        <w:widowControl/>
      </w:pPr>
      <w:r>
        <w:t>Corrected tax-aware price sensitivity</w:t>
      </w:r>
    </w:p>
    <w:p>
      <w:pPr>
        <w:keepLines/>
        <w:widowControl/>
      </w:pPr>
      <w:r>
        <w:t>Illustrative calculation only: prices below include assumed 18% tax; COGS is ₹4,500 on a consistent net-tax basis. This is not a GST classification or rate determination. Net revenue = customer price / (1 + tax rate); gross margin = (net revenue − COGS) / net revenue.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2300"/>
        <w:gridCol w:w="2200"/>
        <w:gridCol w:w="2660"/>
      </w:tblGrid>
      <w:tr>
        <w:trPr>
          <w:tblHeader/>
          <w:cantSplit/>
        </w:trPr>
        <w:tc>
          <w:tcPr>
            <w:tcW w:type="dxa" w:w="22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1F4F8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sz w:val="19"/>
              </w:rPr>
              <w:t>Customer price</w:t>
            </w:r>
          </w:p>
        </w:tc>
        <w:tc>
          <w:tcPr>
            <w:tcW w:type="dxa" w:w="23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1F4F8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sz w:val="19"/>
              </w:rPr>
              <w:t>Net revenue</w:t>
            </w:r>
          </w:p>
        </w:tc>
        <w:tc>
          <w:tcPr>
            <w:tcW w:type="dxa" w:w="22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1F4F8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sz w:val="19"/>
              </w:rPr>
              <w:t>Gross margin</w:t>
            </w:r>
          </w:p>
        </w:tc>
        <w:tc>
          <w:tcPr>
            <w:tcW w:type="dxa" w:w="26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  <w:shd w:fill="F1F4F8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sz w:val="19"/>
              </w:rPr>
              <w:t>Max COGS for 55%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₹6,999</w:t>
            </w:r>
          </w:p>
        </w:tc>
        <w:tc>
          <w:tcPr>
            <w:tcW w:type="dxa" w:w="23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₹5,931</w:t>
            </w:r>
          </w:p>
        </w:tc>
        <w:tc>
          <w:tcPr>
            <w:tcW w:type="dxa" w:w="22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24.1%</w:t>
            </w:r>
          </w:p>
        </w:tc>
        <w:tc>
          <w:tcPr>
            <w:tcW w:type="dxa" w:w="26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₹2,669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₹9,999</w:t>
            </w:r>
          </w:p>
        </w:tc>
        <w:tc>
          <w:tcPr>
            <w:tcW w:type="dxa" w:w="23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₹8,474</w:t>
            </w:r>
          </w:p>
        </w:tc>
        <w:tc>
          <w:tcPr>
            <w:tcW w:type="dxa" w:w="22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46.9%</w:t>
            </w:r>
          </w:p>
        </w:tc>
        <w:tc>
          <w:tcPr>
            <w:tcW w:type="dxa" w:w="26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₹3,813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₹11,999</w:t>
            </w:r>
          </w:p>
        </w:tc>
        <w:tc>
          <w:tcPr>
            <w:tcW w:type="dxa" w:w="23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₹10,169</w:t>
            </w:r>
          </w:p>
        </w:tc>
        <w:tc>
          <w:tcPr>
            <w:tcW w:type="dxa" w:w="22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55.7%</w:t>
            </w:r>
          </w:p>
        </w:tc>
        <w:tc>
          <w:tcPr>
            <w:tcW w:type="dxa" w:w="26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₹4,576</w:t>
            </w:r>
          </w:p>
        </w:tc>
      </w:tr>
    </w:tbl>
    <w:p>
      <w:pPr>
        <w:keepLines/>
        <w:widowControl/>
      </w:pPr>
      <w:commentRangeStart w:id="4"/>
      <w:r>
        <w:rPr>
          <w:i/>
          <w:color w:val="356779"/>
          <w:sz w:val="18"/>
        </w:rPr>
        <w:t>The earlier approximately 55% margin estimate at ₹9,999 and ₹4,500 cost ignored included tax. Under this example, roughly ₹11,800 customer pricing is needed for 55% gross margin, before selling/service expenses.</w:t>
      </w:r>
      <w:commentRangeEnd w:id="4"/>
      <w:r>
        <w:rPr>
          <w:rStyle w:val="CommentReference"/>
        </w:rPr>
        <w:commentReference w:id="4"/>
      </w:r>
    </w:p>
    <w:p>
      <w:pPr>
        <w:keepLines/>
        <w:widowControl/>
      </w:pPr>
      <w:r>
        <w:t>At ₹11,999, net revenue is about ₹10,169. Subtract ₹4,500 COGS, ₹600 fulfilment/payment, ₹500 warranty/returns reserve, ₹500 onboarding/service and ₹1,000 acquisition cost: contribution is about ₹3,069 (30.2%). Every cost here is illustrative; cloud commitments and installation may require more. A 20% dealer discount on net revenue would reduce revenue to about ₹8,135 and hardware margin to 44.7% before those costs.</w:t>
      </w:r>
    </w:p>
    <w:p>
      <w:pPr>
        <w:keepLines/>
        <w:widowControl/>
      </w:pPr>
      <w:r>
        <w:t>Operational warning: even 20 minutes of support per home per month becomes about 333 hours/month at 1,000 homes. Scaling beyond a small pilot requires better self-service, lower support incidence and/or paid operational capacity; one founder cannot absorb that workload.</w:t>
      </w:r>
    </w:p>
    <w:p>
      <w:pPr>
        <w:pStyle w:val="Heading1"/>
        <w:keepNext/>
        <w:keepLines/>
        <w:widowControl/>
      </w:pPr>
      <w:r>
        <w:t>Selling model and market entry</w:t>
      </w:r>
    </w:p>
    <w:p>
      <w:pPr>
        <w:pStyle w:val="Heading2"/>
        <w:keepNext/>
        <w:keepLines/>
        <w:widowControl/>
      </w:pPr>
      <w:r>
        <w:t>Beachhead</w:t>
      </w:r>
    </w:p>
    <w:p>
      <w:pPr>
        <w:keepLines/>
        <w:widowControl/>
      </w:pPr>
      <w:r>
        <w:rPr>
          <w:rFonts w:ascii="Calibri" w:hAnsi="Calibri"/>
          <w:sz w:val="22"/>
        </w:rPr>
        <w:t>Start in one city with adult children or NRIs whose independently living parent consents and has a reachable family/local responder. Prefer simpler single-resident homes for the first cohort; label multi-person data as household-level. Do not recruit a resident whose required safety care would depend on this unvalidated pilot. Reassess the resident and payer’s acceptance separately.</w:t>
      </w:r>
    </w:p>
    <w:p>
      <w:pPr>
        <w:pStyle w:val="Heading2"/>
        <w:keepNext/>
        <w:keepLines/>
        <w:widowControl/>
      </w:pPr>
      <w:r>
        <w:t>Sales sequence</w:t>
      </w:r>
    </w:p>
    <w:p>
      <w:pPr>
        <w:pStyle w:val="ListNumber"/>
        <w:keepLines/>
        <w:widowControl/>
        <w:spacing w:after="100" w:line="280" w:lineRule="auto"/>
        <w:ind w:left="720" w:hanging="360"/>
      </w:pPr>
      <w:r>
        <w:rPr>
          <w:rFonts w:ascii="Calibri" w:hAnsi="Calibri"/>
          <w:sz w:val="22"/>
        </w:rPr>
        <w:t>Discovery: interview 10 intercity adult children, 5 NRIs and 5 older residents; add 3–5 care-provider discussions. Test current alternatives, nuisance-alert tolerance, resident consent and a ₹9,999–₹11,999 offer. These are proposed sample sizes, not representative market research.</w:t>
      </w:r>
    </w:p>
    <w:p>
      <w:pPr>
        <w:pStyle w:val="ListNumber"/>
        <w:keepLines/>
        <w:widowControl/>
        <w:spacing w:after="100" w:line="280" w:lineRule="auto"/>
        <w:ind w:left="720" w:hanging="360"/>
      </w:pPr>
      <w:r>
        <w:rPr>
          <w:rFonts w:ascii="Calibri" w:hAnsi="Calibri"/>
          <w:sz w:val="22"/>
        </w:rPr>
        <w:t>Commitment: seek 5 written installation agreements and, where appropriate, 3 clearly refundable ₹1,000 deposits with written refund/delivery terms. Start in 2 homes only after bench reliability gates; deposits do not establish product-market fit.</w:t>
      </w:r>
    </w:p>
    <w:p>
      <w:pPr>
        <w:pStyle w:val="ListNumber"/>
        <w:keepLines/>
        <w:widowControl/>
        <w:spacing w:after="100" w:line="280" w:lineRule="auto"/>
        <w:ind w:left="720" w:hanging="360"/>
      </w:pPr>
      <w:r>
        <w:rPr>
          <w:rFonts w:ascii="Calibri" w:hAnsi="Calibri"/>
          <w:sz w:val="22"/>
        </w:rPr>
        <w:t>Pilot: expand sequentially to 10 homes, document failures and weekly feedback, and test continued paid use. After 30 repeatable installations, assess narrow-city D2C versus partner distribution using actual acquisition and support costs.</w:t>
      </w:r>
    </w:p>
    <w:p>
      <w:pPr>
        <w:pStyle w:val="ListNumber"/>
        <w:keepLines/>
        <w:widowControl/>
        <w:spacing w:after="100" w:line="280" w:lineRule="auto"/>
        <w:ind w:left="720" w:hanging="360"/>
      </w:pPr>
      <w:r>
        <w:rPr>
          <w:rFonts w:ascii="Calibri" w:hAnsi="Calibri"/>
          <w:sz w:val="22"/>
        </w:rPr>
        <w:t>Partners: research elder-care agencies, geriatric-care managers and RWAs during discovery. A contracted partner may later own installation or human response; never imply integration or affiliation before agreement. Validate wholesale margin, data roles, response hours and incident ownership.</w:t>
      </w:r>
    </w:p>
    <w:p>
      <w:pPr>
        <w:pStyle w:val="Heading2"/>
        <w:keepNext/>
        <w:keepLines/>
        <w:widowControl/>
      </w:pPr>
      <w:r>
        <w:t>India vs foreign-market fit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830"/>
        <w:gridCol w:w="3830"/>
      </w:tblGrid>
      <w:tr>
        <w:trPr>
          <w:tblHeader/>
          <w:cantSplit/>
        </w:trPr>
        <w:tc>
          <w:tcPr>
            <w:tcW w:type="dxa" w:w="170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Dimension</w:t>
            </w:r>
          </w:p>
        </w:tc>
        <w:tc>
          <w:tcPr>
            <w:tcW w:type="dxa" w:w="383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India launch</w:t>
            </w:r>
          </w:p>
        </w:tc>
        <w:tc>
          <w:tcPr>
            <w:tcW w:type="dxa" w:w="383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US / UK / EU expansion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Customer wedge</w:t>
            </w:r>
          </w:p>
        </w:tc>
        <w:tc>
          <w:tcPr>
            <w:tcW w:type="dxa" w:w="38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Away-living child; resident consent; one-city support</w:t>
            </w:r>
          </w:p>
        </w:tc>
        <w:tc>
          <w:tcPr>
            <w:tcW w:type="dxa" w:w="38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Do not assume higher purchasing power means easier entry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Potential advantage</w:t>
            </w:r>
          </w:p>
        </w:tc>
        <w:tc>
          <w:tcPr>
            <w:tcW w:type="dxa" w:w="38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Local installation, Hindi/English UI, transparent alerts</w:t>
            </w:r>
          </w:p>
        </w:tc>
        <w:tc>
          <w:tcPr>
            <w:tcW w:type="dxa" w:w="38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Country-specific value beyond cheaper hardware; established competitors already exist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Main constraint</w:t>
            </w:r>
          </w:p>
        </w:tc>
        <w:tc>
          <w:tcPr>
            <w:tcW w:type="dxa" w:w="38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Trust, unreliable connectivity, response ownership, pricing</w:t>
            </w:r>
          </w:p>
        </w:tc>
        <w:tc>
          <w:tcPr>
            <w:tcW w:type="dxa" w:w="38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Radio/product/security/privacy obligations, local support, returns and channel economics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Order</w:t>
            </w:r>
          </w:p>
        </w:tc>
        <w:tc>
          <w:tcPr>
            <w:tcW w:type="dxa" w:w="38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2-home rehearsal → 10-home pilot → paid repeatability</w:t>
            </w:r>
          </w:p>
        </w:tc>
        <w:tc>
          <w:tcPr>
            <w:tcW w:type="dxa" w:w="383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Only after Indian field evidence and funded country/partner plan; 100 homes alone is not certification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keepLines/>
        <w:widowControl/>
      </w:pPr>
      <w:r>
        <w:t>Effort, capital and success gates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2100"/>
        <w:gridCol w:w="2100"/>
        <w:gridCol w:w="3360"/>
      </w:tblGrid>
      <w:tr>
        <w:trPr>
          <w:tblHeader/>
          <w:cantSplit/>
        </w:trPr>
        <w:tc>
          <w:tcPr>
            <w:tcW w:type="dxa" w:w="180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Stage</w:t>
            </w:r>
          </w:p>
        </w:tc>
        <w:tc>
          <w:tcPr>
            <w:tcW w:type="dxa" w:w="210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Part-time elapsed estimate</w:t>
            </w:r>
          </w:p>
        </w:tc>
        <w:tc>
          <w:tcPr>
            <w:tcW w:type="dxa" w:w="210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Cash envelope</w:t>
            </w:r>
          </w:p>
        </w:tc>
        <w:tc>
          <w:tcPr>
            <w:tcW w:type="dxa" w:w="336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Advance only when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Discovery + bench</w:t>
            </w:r>
          </w:p>
        </w:tc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Months 1–3</w:t>
            </w:r>
          </w:p>
        </w:tc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₹5,000–₹20,000</w:t>
            </w:r>
          </w:p>
        </w:tc>
        <w:tc>
          <w:tcPr>
            <w:tcW w:type="dxa" w:w="33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Consent and basic demand evidence; repeatable local events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Two-home rehearsal</w:t>
            </w:r>
          </w:p>
        </w:tc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Months 4–5</w:t>
            </w:r>
          </w:p>
        </w:tc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₹25,000–₹60,000 total</w:t>
            </w:r>
          </w:p>
        </w:tc>
        <w:tc>
          <w:tcPr>
            <w:tcW w:type="dxa" w:w="33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Outage, stale-data, button and notification tests pass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Ten-home pilot</w:t>
            </w:r>
          </w:p>
        </w:tc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Months 6–8</w:t>
            </w:r>
          </w:p>
        </w:tc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₹1–₹2 lakh total</w:t>
            </w:r>
          </w:p>
        </w:tc>
        <w:tc>
          <w:tcPr>
            <w:tcW w:type="dxa" w:w="33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30-day use, nuisance alerts and support measured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30 paid homes</w:t>
            </w:r>
          </w:p>
        </w:tc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Months 9–12+</w:t>
            </w:r>
          </w:p>
        </w:tc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₹2.5–₹5 lakh total</w:t>
            </w:r>
          </w:p>
        </w:tc>
        <w:tc>
          <w:tcPr>
            <w:tcW w:type="dxa" w:w="33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Renewal, cost and support gates met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DFM + first 100</w:t>
            </w:r>
          </w:p>
        </w:tc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Months 15–24+</w:t>
            </w:r>
          </w:p>
        </w:tc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₹12–₹25 lakh total</w:t>
            </w:r>
          </w:p>
        </w:tc>
        <w:tc>
          <w:tcPr>
            <w:tcW w:type="dxa" w:w="33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Quoted manufacturing, compliance, warranty and operational plan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Foreign expansion</w:t>
            </w:r>
          </w:p>
        </w:tc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Not calendar-driven</w:t>
            </w:r>
          </w:p>
        </w:tc>
        <w:tc>
          <w:tcPr>
            <w:tcW w:type="dxa" w:w="21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Separate funded budget</w:t>
            </w:r>
          </w:p>
        </w:tc>
        <w:tc>
          <w:tcPr>
            <w:tcW w:type="dxa" w:w="33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Country-specific verification and an accountable support/channel partner</w:t>
            </w:r>
          </w:p>
        </w:tc>
      </w:tr>
    </w:tbl>
    <w:p>
      <w:pPr>
        <w:widowControl/>
        <w:spacing w:after="20"/>
      </w:pPr>
    </w:p>
    <w:p>
      <w:pPr>
        <w:keepLines/>
        <w:widowControl/>
      </w:pPr>
      <w:r>
        <w:rPr>
          <w:i/>
          <w:color w:val="356779"/>
          <w:sz w:val="18"/>
        </w:rPr>
        <w:t>Planning assumption: one engineer at roughly 10–15 focused hours/week alongside a job, with AI assistance but no staffed operations team. Estimates are not delivery commitments; cash excludes founder salary and must be re-quoted. Full-time work may shorten elapsed time, but field observation cannot simply be compressed.</w:t>
      </w:r>
    </w:p>
    <w:p>
      <w:pPr>
        <w:pStyle w:val="Heading2"/>
        <w:keepNext/>
        <w:keepLines/>
        <w:widowControl/>
      </w:pPr>
      <w:commentRangeStart w:id="5"/>
      <w:r>
        <w:t>Evidence-based decision gates — replacing probability estimates</w:t>
      </w:r>
      <w:commentRangeEnd w:id="5"/>
      <w:r>
        <w:rPr>
          <w:rStyle w:val="CommentReference"/>
        </w:rPr>
        <w:commentReference w:id="5"/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3200"/>
        <w:gridCol w:w="3560"/>
      </w:tblGrid>
      <w:tr>
        <w:trPr>
          <w:tblHeader/>
          <w:cantSplit/>
        </w:trPr>
        <w:tc>
          <w:tcPr>
            <w:tcW w:type="dxa" w:w="260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Milestone</w:t>
            </w:r>
          </w:p>
        </w:tc>
        <w:tc>
          <w:tcPr>
            <w:tcW w:type="dxa" w:w="320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Evidence gate</w:t>
            </w:r>
          </w:p>
        </w:tc>
        <w:tc>
          <w:tcPr>
            <w:tcW w:type="dxa" w:w="356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Decision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Problem / consent</w:t>
            </w:r>
          </w:p>
        </w:tc>
        <w:tc>
          <w:tcPr>
            <w:tcW w:type="dxa" w:w="32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5 installation commitments; resident opt-in</w:t>
            </w:r>
          </w:p>
        </w:tc>
        <w:tc>
          <w:tcPr>
            <w:tcW w:type="dxa" w:w="35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If interest is only curiosity or surveillance is rejected, narrow or stop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Bench reliability</w:t>
            </w:r>
          </w:p>
        </w:tc>
        <w:tc>
          <w:tcPr>
            <w:tcW w:type="dxa" w:w="32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Scripted events, reboots, outage recovery pass</w:t>
            </w:r>
          </w:p>
        </w:tc>
        <w:tc>
          <w:tcPr>
            <w:tcW w:type="dxa" w:w="35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Unexplained misses block field expansion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Ten-home usefulness</w:t>
            </w:r>
          </w:p>
        </w:tc>
        <w:tc>
          <w:tcPr>
            <w:tcW w:type="dxa" w:w="32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At least 7/10 keep enabled for 30 days</w:t>
            </w:r>
          </w:p>
        </w:tc>
        <w:tc>
          <w:tcPr>
            <w:tcW w:type="dxa" w:w="35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Investigate why others stop; do not hide withdrawals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Alert quality</w:t>
            </w:r>
          </w:p>
        </w:tc>
        <w:tc>
          <w:tcPr>
            <w:tcW w:type="dxa" w:w="32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Below 1 false high-priority escalation/home-month after tuning</w:t>
            </w:r>
          </w:p>
        </w:tc>
        <w:tc>
          <w:tcPr>
            <w:tcW w:type="dxa" w:w="35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Also examine missed scripted events and routine nudge usefulness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Price acceptance</w:t>
            </w:r>
          </w:p>
        </w:tc>
        <w:tc>
          <w:tcPr>
            <w:tcW w:type="dxa" w:w="32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At least 5/10 agree to continued paid use at disclosed terms</w:t>
            </w:r>
          </w:p>
        </w:tc>
        <w:tc>
          <w:tcPr>
            <w:tcW w:type="dxa" w:w="35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Small-sample gate, not a population conversion estimate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Economics / support</w:t>
            </w:r>
          </w:p>
        </w:tc>
        <w:tc>
          <w:tcPr>
            <w:tcW w:type="dxa" w:w="32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Itemised COGS, acquisition and service cost measured</w:t>
            </w:r>
          </w:p>
        </w:tc>
        <w:tc>
          <w:tcPr>
            <w:tcW w:type="dxa" w:w="35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Reprice or redesign if contribution/support is unsustainable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Scale / export</w:t>
            </w:r>
          </w:p>
        </w:tc>
        <w:tc>
          <w:tcPr>
            <w:tcW w:type="dxa" w:w="32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Repeatable installs, partner capacity and compliance plan</w:t>
            </w:r>
          </w:p>
        </w:tc>
        <w:tc>
          <w:tcPr>
            <w:tcW w:type="dxa" w:w="35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No numerical chance of success is assigned without evidence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keepLines/>
        <w:widowControl/>
        <w:spacing w:before="360"/>
      </w:pPr>
      <w:r>
        <w:t>First 90 days and staged pilot roadmap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50"/>
        <w:gridCol w:w="2900"/>
        <w:gridCol w:w="5110"/>
      </w:tblGrid>
      <w:tr>
        <w:trPr>
          <w:tblHeader/>
          <w:cantSplit/>
        </w:trPr>
        <w:tc>
          <w:tcPr>
            <w:tcW w:type="dxa" w:w="135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Period</w:t>
            </w:r>
          </w:p>
        </w:tc>
        <w:tc>
          <w:tcPr>
            <w:tcW w:type="dxa" w:w="290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Focus</w:t>
            </w:r>
          </w:p>
        </w:tc>
        <w:tc>
          <w:tcPr>
            <w:tcW w:type="dxa" w:w="511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Deliverable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Weeks 1–4</w:t>
            </w:r>
          </w:p>
        </w:tc>
        <w:tc>
          <w:tcPr>
            <w:tcW w:type="dxa" w:w="29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Customer discovery + architecture</w:t>
            </w:r>
          </w:p>
        </w:tc>
        <w:tc>
          <w:tcPr>
            <w:tcW w:type="dxa" w:w="511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20 family/resident interviews; provider input; three alert mock-ups; consent, responder and price test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Weeks 5–8</w:t>
            </w:r>
          </w:p>
        </w:tc>
        <w:tc>
          <w:tcPr>
            <w:tcW w:type="dxa" w:w="29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Bench prototype</w:t>
            </w:r>
          </w:p>
        </w:tc>
        <w:tc>
          <w:tcPr>
            <w:tcW w:type="dxa" w:w="511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S3 hub + 3 C3 nodes; event log; physical button; actual power and radio measurements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Weeks 9–12</w:t>
            </w:r>
          </w:p>
        </w:tc>
        <w:tc>
          <w:tcPr>
            <w:tcW w:type="dxa" w:w="29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End-to-end validation</w:t>
            </w:r>
          </w:p>
        </w:tc>
        <w:tc>
          <w:tcPr>
            <w:tcW w:type="dxa" w:w="511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Simple PWA/push; stale-data states; retry/duplicate tests; no automatic ten-home deployment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Months 4–5</w:t>
            </w:r>
          </w:p>
        </w:tc>
        <w:tc>
          <w:tcPr>
            <w:tcW w:type="dxa" w:w="29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Two-home rehearsal</w:t>
            </w:r>
          </w:p>
        </w:tc>
        <w:tc>
          <w:tcPr>
            <w:tcW w:type="dxa" w:w="511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Placement, permissions, false-alert review and outage tests with consenting users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Months 6–8</w:t>
            </w:r>
          </w:p>
        </w:tc>
        <w:tc>
          <w:tcPr>
            <w:tcW w:type="dxa" w:w="29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Ten-home pilot</w:t>
            </w:r>
          </w:p>
        </w:tc>
        <w:tc>
          <w:tcPr>
            <w:tcW w:type="dxa" w:w="511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30-day observation per home; willingness to continue; support and cost records</w:t>
            </w:r>
          </w:p>
        </w:tc>
      </w:tr>
      <w:tr>
        <w:trPr>
          <w:cantSplit/>
        </w:trPr>
        <w:tc>
          <w:tcPr>
            <w:tcW w:type="dxa" w:w="13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After pilot</w:t>
            </w:r>
          </w:p>
        </w:tc>
        <w:tc>
          <w:tcPr>
            <w:tcW w:type="dxa" w:w="29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Continue, narrow or stop</w:t>
            </w:r>
          </w:p>
        </w:tc>
        <w:tc>
          <w:tcPr>
            <w:tcW w:type="dxa" w:w="511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Use evidence gates before PCB tooling, feature expansion or distribution spend</w:t>
            </w:r>
          </w:p>
        </w:tc>
      </w:tr>
    </w:tbl>
    <w:p>
      <w:pPr>
        <w:widowControl/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10" w:type="dxa"/>
              <w:start w:w="120" w:type="dxa"/>
              <w:bottom w:w="110" w:type="dxa"/>
              <w:end w:w="120" w:type="dxa"/>
            </w:tcMar>
            <w:shd w:fill="F4F6F9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color w:val="9B1C1C"/>
                <w:sz w:val="22"/>
              </w:rPr>
              <w:t>Kill / pivot rule  Pause expansion if resident consent is absent, scripted critical events are missed, coverage loss is hidden, fewer than 7/10 pilot homes remain active after 30 days, false high-priority alerts remain above one/home-month, or willingness to pay and service economics fail. Fix the cause; do not add AI features to disguise weak fit.</w:t>
            </w:r>
          </w:p>
        </w:tc>
      </w:tr>
    </w:tbl>
    <w:p>
      <w:pPr>
        <w:widowControl/>
        <w:spacing w:after="20"/>
      </w:pPr>
    </w:p>
    <w:p>
      <w:pPr>
        <w:pStyle w:val="Heading1"/>
        <w:keepNext/>
        <w:keepLines/>
        <w:widowControl/>
      </w:pPr>
      <w:r>
        <w:t>Why Family Check-in remains the preferred first-business hypothesis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50"/>
        <w:gridCol w:w="3755"/>
        <w:gridCol w:w="3755"/>
      </w:tblGrid>
      <w:tr>
        <w:trPr>
          <w:tblHeader/>
          <w:cantSplit/>
        </w:trPr>
        <w:tc>
          <w:tcPr>
            <w:tcW w:type="dxa" w:w="185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Criterion</w:t>
            </w:r>
          </w:p>
        </w:tc>
        <w:tc>
          <w:tcPr>
            <w:tcW w:type="dxa" w:w="3755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Family Check-in &amp; Home Risk</w:t>
            </w:r>
          </w:p>
        </w:tc>
        <w:tc>
          <w:tcPr>
            <w:tcW w:type="dxa" w:w="3755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Kids’ AI camera / activity buddy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Buyer need</w:t>
            </w:r>
          </w:p>
        </w:tc>
        <w:tc>
          <w:tcPr>
            <w:tcW w:type="dxa" w:w="3755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Continuing reassurance need with an identifiable adult payer; still needs validation</w:t>
            </w:r>
          </w:p>
        </w:tc>
        <w:tc>
          <w:tcPr>
            <w:tcW w:type="dxa" w:w="3755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Engagement/screen-time relief; retention and willingness to pay untested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Competition</w:t>
            </w:r>
          </w:p>
        </w:tc>
        <w:tc>
          <w:tcPr>
            <w:tcW w:type="dxa" w:w="3755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Nomo/OdeCare and care services already overlap; geography/workflow may differentiate</w:t>
            </w:r>
          </w:p>
        </w:tc>
        <w:tc>
          <w:tcPr>
            <w:tcW w:type="dxa" w:w="3755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Affordable AI companions such as $99 ESP32-S3 StackChan set a benchmark [S19]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Defensibility</w:t>
            </w:r>
          </w:p>
        </w:tc>
        <w:tc>
          <w:tcPr>
            <w:tcW w:type="dxa" w:w="3755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Trust, low-noise alerts, onboarding and response partnerships; none established yet</w:t>
            </w:r>
          </w:p>
        </w:tc>
        <w:tc>
          <w:tcPr>
            <w:tcW w:type="dxa" w:w="3755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Activity/content quality, child appeal and repeat engagement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Risk</w:t>
            </w:r>
          </w:p>
        </w:tc>
        <w:tc>
          <w:tcPr>
            <w:tcW w:type="dxa" w:w="3755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Consent, sensitive routine data, false reassurance and reliability remain substantial</w:t>
            </w:r>
          </w:p>
        </w:tc>
        <w:tc>
          <w:tcPr>
            <w:tcW w:type="dxa" w:w="3755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Child data, camera/audio, content safety and parental trust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Solo-engineer fit</w:t>
            </w:r>
          </w:p>
        </w:tc>
        <w:tc>
          <w:tcPr>
            <w:tcW w:type="dxa" w:w="3755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Strong systems/reliability fit; field support is the main burden</w:t>
            </w:r>
          </w:p>
        </w:tc>
        <w:tc>
          <w:tcPr>
            <w:tcW w:type="dxa" w:w="3755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Hardware is only part of the effort; content and cloud experience add work</w:t>
            </w:r>
          </w:p>
        </w:tc>
      </w:tr>
      <w:tr>
        <w:trPr>
          <w:cantSplit/>
        </w:trPr>
        <w:tc>
          <w:tcPr>
            <w:tcW w:type="dxa" w:w="185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Decision</w:t>
            </w:r>
          </w:p>
        </w:tc>
        <w:tc>
          <w:tcPr>
            <w:tcW w:type="dxa" w:w="3755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Primary candidate for a constrained pilot; not a proven higher probability</w:t>
            </w:r>
          </w:p>
        </w:tc>
        <w:tc>
          <w:tcPr>
            <w:tcW w:type="dxa" w:w="3755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Separate experiment; revisit if family trials show materially better demand</w:t>
            </w:r>
          </w:p>
        </w:tc>
      </w:tr>
    </w:tbl>
    <w:p>
      <w:pPr>
        <w:widowControl/>
        <w:spacing w:after="20"/>
      </w:pPr>
    </w:p>
    <w:p>
      <w:pPr>
        <w:keepLines/>
        <w:widowControl/>
      </w:pPr>
      <w:r>
        <w:rPr>
          <w:rFonts w:ascii="Calibri" w:hAnsi="Calibri"/>
          <w:sz w:val="22"/>
        </w:rPr>
        <w:t>Ranking is based on recurring need, clear payer, technical fit and execution burden—not on a claim that the business is already validated. A narrowly scoped appliance sensor is a fallback if caregiving support proves too demanding. Keep the kids’ concept as a separate experiment; paid demand evidence can change this ranking.</w:t>
      </w:r>
    </w:p>
    <w:p>
      <w:pPr>
        <w:pStyle w:val="Heading1"/>
        <w:keepNext/>
        <w:keepLines/>
        <w:widowControl/>
      </w:pPr>
      <w:r>
        <w:t>Risks and mitigations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6860"/>
      </w:tblGrid>
      <w:tr>
        <w:trPr>
          <w:tblHeader/>
          <w:cantSplit/>
        </w:trPr>
        <w:tc>
          <w:tcPr>
            <w:tcW w:type="dxa" w:w="250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Risk</w:t>
            </w:r>
          </w:p>
        </w:tc>
        <w:tc>
          <w:tcPr>
            <w:tcW w:type="dxa" w:w="6860"/>
            <w:tcMar>
              <w:top w:w="70" w:type="dxa"/>
              <w:start w:w="120" w:type="dxa"/>
              <w:bottom w:w="70" w:type="dxa"/>
              <w:end w:w="120" w:type="dxa"/>
            </w:tcMar>
            <w:shd w:fill="F2F4F7"/>
            <w:vAlign w:val="center"/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Mitigation / launch gate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False urgency or false reassurance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Evidence-first messages; away/visitor modes; no identity or health inference from PIR; test missed events as well as nuisance alerts.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Resident privacy / consent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Resident opt-in and pause; least-privilege family roles; short justified retention; deletion/export; no cameras/audio in V1.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Power / internet loss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Hub backup; cloud heartbeat; explicit degraded/stale state; queued sync. Remote delivery needs connectivity or separately engineered backup.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Battery / hardware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Protected packs and power-path review; actual event/idle current; thermal and low-battery tests; no unsupported 12-month claim.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Support and installation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One-city cohort; documented placements; self-test; log founder minutes; scale with funded operational capacity.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Liability / response gap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No medical diagnosis, fall guarantee, shutoff or dispatch. Agree who responds and what occurs if nobody acknowledges. Disclaimers alone do not determine regulatory status.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India launch compliance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Confirm WPC/ETA and applicable battery, electrical, labelling and waste obligations with qualified specialists before sale [S13].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Data law / exports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Review applicable India DPDP commencement and duties [S14]. For EU, assess GDPR, radio/product rules and CRA scope; for US/UK obtain local compliance review.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Ongoing cyber obligations</w:t>
            </w:r>
          </w:p>
        </w:tc>
        <w:tc>
          <w:tcPr>
            <w:tcW w:type="dxa" w:w="6860"/>
            <w:vAlign w:val="center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keepNext w:val="0"/>
              <w:spacing w:after="40" w:line="252" w:lineRule="auto"/>
            </w:pPr>
            <w:r>
              <w:rPr>
                <w:rFonts w:ascii="Calibri" w:hAnsi="Calibri"/>
                <w:b w:val="0"/>
                <w:sz w:val="19"/>
              </w:rPr>
              <w:t>Security owner, vulnerability contact, supported-update term and incident process. EU CRA reporting starts 11 Sep 2026; main duties 11 Dec 2027 [S15–S16].</w:t>
            </w:r>
          </w:p>
        </w:tc>
      </w:tr>
    </w:tbl>
    <w:p>
      <w:pPr>
        <w:widowControl/>
        <w:spacing w:after="20"/>
      </w:pPr>
    </w:p>
    <w:p>
      <w:pPr>
        <w:pStyle w:val="Heading2"/>
        <w:keepNext/>
        <w:keepLines/>
        <w:widowControl/>
      </w:pPr>
      <w:r>
        <w:t>Minimum release evidence</w:t>
      </w:r>
    </w:p>
    <w:p>
      <w:pPr>
        <w:keepLines/>
        <w:widowControl/>
      </w:pPr>
      <w:r>
        <w:t>Before taking production orders: signed intended-use/claims review; documented consent and privacy workflow; end-to-end failure tests; quoted BOM and tax treatment; installation/support ownership; update and vulnerability-response plan; and explicit remote-service duration. A working demonstration does not satisfy these commercial release gates.</w:t>
      </w:r>
    </w:p>
    <w:p>
      <w:pPr>
        <w:pStyle w:val="Heading1"/>
        <w:keepNext/>
        <w:keepLines/>
        <w:widowControl/>
      </w:pPr>
      <w:r>
        <w:t>Source notes and research register</w:t>
      </w:r>
    </w:p>
    <w:p>
      <w:pPr>
        <w:keepLines/>
        <w:widowControl/>
      </w:pPr>
      <w:r>
        <w:rPr>
          <w:rFonts w:ascii="Calibri" w:hAnsi="Calibri"/>
          <w:sz w:val="22"/>
        </w:rPr>
        <w:t>Research checked 2 September 2026. Bracketed identifiers link claims to the primary sources below. Vendor features, pricing and availability are stated offers, not independently tested performance or sales evidence. Sources pre-dating this week are labelled background. Commercial assumptions and proposed gates are our analysis.</w:t>
      </w:r>
    </w:p>
    <w:p>
      <w:pPr>
        <w:widowControl/>
        <w:spacing w:after="20"/>
      </w:pPr>
    </w:p>
    <w:p>
      <w:pPr>
        <w:keepLines/>
        <w:widowControl/>
        <w:spacing w:after="100"/>
      </w:pPr>
      <w:r>
        <w:rPr>
          <w:b/>
          <w:sz w:val="19"/>
        </w:rPr>
        <w:t xml:space="preserve">[S1] Nomo — Essential Care Kit. </w:t>
      </w:r>
      <w:hyperlink r:id="rId12">
        <w:r>
          <w:rPr>
            <w:color w:val="2877AA"/>
            <w:sz w:val="19"/>
          </w:rPr>
          <w:t>Official source</w:t>
        </w:r>
      </w:hyperlink>
      <w:r>
        <w:rPr>
          <w:sz w:val="19"/>
        </w:rPr>
        <w:t xml:space="preserve"> — Current US-only listing; hardware and monthly/annual subscription. Supplier claims not independently tested.</w:t>
      </w:r>
    </w:p>
    <w:p>
      <w:pPr>
        <w:keepLines/>
        <w:widowControl/>
        <w:spacing w:after="100"/>
      </w:pPr>
      <w:r>
        <w:rPr>
          <w:b/>
          <w:sz w:val="19"/>
        </w:rPr>
        <w:t xml:space="preserve">[S2] OdeCare — Elderly monitoring system cost. </w:t>
      </w:r>
      <w:hyperlink r:id="rId13">
        <w:r>
          <w:rPr>
            <w:color w:val="2877AA"/>
            <w:sz w:val="19"/>
          </w:rPr>
          <w:t>Official source</w:t>
        </w:r>
      </w:hyperlink>
      <w:r>
        <w:rPr>
          <w:sz w:val="19"/>
        </w:rPr>
        <w:t xml:space="preserve"> — 24 Aug 2026; vendor’s installed kit and subscription comparison. Local installation eligibility requires confirmation.</w:t>
      </w:r>
    </w:p>
    <w:p>
      <w:pPr>
        <w:keepLines/>
        <w:widowControl/>
        <w:spacing w:after="100"/>
      </w:pPr>
      <w:r>
        <w:rPr>
          <w:b/>
          <w:sz w:val="19"/>
        </w:rPr>
        <w:t xml:space="preserve">[S3] CarePredict @Home — Official store. </w:t>
      </w:r>
      <w:hyperlink r:id="rId14">
        <w:r>
          <w:rPr>
            <w:color w:val="2877AA"/>
            <w:sz w:val="19"/>
          </w:rPr>
          <w:t>Official source</w:t>
        </w:r>
      </w:hyperlink>
      <w:r>
        <w:rPr>
          <w:sz w:val="19"/>
        </w:rPr>
        <w:t xml:space="preserve"> — Current kit/subscription prices and wearable architecture.</w:t>
      </w:r>
    </w:p>
    <w:p>
      <w:pPr>
        <w:keepLines/>
        <w:widowControl/>
        <w:spacing w:after="100"/>
      </w:pPr>
      <w:r>
        <w:rPr>
          <w:b/>
          <w:sz w:val="19"/>
        </w:rPr>
        <w:t xml:space="preserve">[S4] Careium — Doris activity alarm. </w:t>
      </w:r>
      <w:hyperlink r:id="rId15">
        <w:r>
          <w:rPr>
            <w:color w:val="2877AA"/>
            <w:sz w:val="19"/>
          </w:rPr>
          <w:t>Official source</w:t>
        </w:r>
      </w:hyperlink>
      <w:r>
        <w:rPr>
          <w:sz w:val="19"/>
        </w:rPr>
        <w:t xml:space="preserve"> — Current out-of-stock notice and monitoring-centre model. Published tax/contract presentation is inconsistent; request a quote.</w:t>
      </w:r>
    </w:p>
    <w:p>
      <w:pPr>
        <w:keepLines/>
        <w:widowControl/>
        <w:spacing w:after="100"/>
      </w:pPr>
      <w:r>
        <w:rPr>
          <w:b/>
          <w:sz w:val="19"/>
        </w:rPr>
        <w:t xml:space="preserve">[S5] Emoha — Care plans. </w:t>
      </w:r>
      <w:hyperlink r:id="rId16">
        <w:r>
          <w:rPr>
            <w:color w:val="2877AA"/>
            <w:sz w:val="19"/>
          </w:rPr>
          <w:t>Official source</w:t>
        </w:r>
      </w:hyperlink>
      <w:r>
        <w:rPr>
          <w:sz w:val="19"/>
        </w:rPr>
        <w:t xml:space="preserve"> — Current advertised India service tiers; benefits and commercial terms vary by plan.</w:t>
      </w:r>
    </w:p>
    <w:p>
      <w:pPr>
        <w:keepLines/>
        <w:widowControl/>
        <w:spacing w:after="100"/>
      </w:pPr>
      <w:r>
        <w:rPr>
          <w:b/>
          <w:sz w:val="19"/>
        </w:rPr>
        <w:t xml:space="preserve">[S6] Anvayaa — Care plans. </w:t>
      </w:r>
      <w:hyperlink r:id="rId17">
        <w:r>
          <w:rPr>
            <w:color w:val="2877AA"/>
            <w:sz w:val="19"/>
          </w:rPr>
          <w:t>Official source</w:t>
        </w:r>
      </w:hyperlink>
      <w:r>
        <w:rPr>
          <w:sz w:val="19"/>
        </w:rPr>
        <w:t xml:space="preserve"> — USD view of India care plans; annual price, tax and city qualifications.</w:t>
      </w:r>
    </w:p>
    <w:p>
      <w:pPr>
        <w:keepLines/>
        <w:widowControl/>
        <w:spacing w:after="100"/>
      </w:pPr>
      <w:r>
        <w:rPr>
          <w:b/>
          <w:sz w:val="19"/>
        </w:rPr>
        <w:t xml:space="preserve">[S7] Samarth — Technology for parents in India. </w:t>
      </w:r>
      <w:hyperlink r:id="rId18">
        <w:r>
          <w:rPr>
            <w:color w:val="2877AA"/>
            <w:sz w:val="19"/>
          </w:rPr>
          <w:t>Official source</w:t>
        </w:r>
      </w:hyperlink>
      <w:r>
        <w:rPr>
          <w:sz w:val="19"/>
        </w:rPr>
        <w:t xml:space="preserve"> — 30 Jun 2026; provider perspective on sensors and connectivity. Context, not independent market-size evidence.</w:t>
      </w:r>
    </w:p>
    <w:p>
      <w:pPr>
        <w:keepLines/>
        <w:widowControl/>
        <w:spacing w:after="100"/>
      </w:pPr>
      <w:r>
        <w:rPr>
          <w:b/>
          <w:sz w:val="19"/>
        </w:rPr>
        <w:t xml:space="preserve">[S8] AARP — 2024 Home and Community Preferences. </w:t>
      </w:r>
      <w:hyperlink r:id="rId19">
        <w:r>
          <w:rPr>
            <w:color w:val="2877AA"/>
            <w:sz w:val="19"/>
          </w:rPr>
          <w:t>Official source</w:t>
        </w:r>
      </w:hyperlink>
      <w:r>
        <w:rPr>
          <w:sz w:val="19"/>
        </w:rPr>
        <w:t xml:space="preserve"> — Historical survey; 75% of US adults 50+ preferred remaining in their current home.</w:t>
      </w:r>
    </w:p>
    <w:p>
      <w:pPr>
        <w:keepLines/>
        <w:widowControl/>
        <w:spacing w:after="100"/>
      </w:pPr>
      <w:r>
        <w:rPr>
          <w:b/>
          <w:sz w:val="19"/>
        </w:rPr>
        <w:t xml:space="preserve">[S9] UNFPA — India Ageing Report 2023. </w:t>
      </w:r>
      <w:hyperlink r:id="rId20">
        <w:r>
          <w:rPr>
            <w:color w:val="2877AA"/>
            <w:sz w:val="19"/>
          </w:rPr>
          <w:t>Official source</w:t>
        </w:r>
      </w:hyperlink>
      <w:r>
        <w:rPr>
          <w:sz w:val="19"/>
        </w:rPr>
        <w:t xml:space="preserve"> — Historical demographic/care background, not a forecast of kit sales.</w:t>
      </w:r>
    </w:p>
    <w:p>
      <w:pPr>
        <w:keepLines/>
        <w:widowControl/>
        <w:spacing w:after="100"/>
      </w:pPr>
      <w:r>
        <w:rPr>
          <w:b/>
          <w:sz w:val="19"/>
        </w:rPr>
        <w:t xml:space="preserve">[S10] ESPHome — Starter Kit launch. </w:t>
      </w:r>
      <w:hyperlink r:id="rId21">
        <w:r>
          <w:rPr>
            <w:color w:val="2877AA"/>
            <w:sz w:val="19"/>
          </w:rPr>
          <w:t>Official source</w:t>
        </w:r>
      </w:hyperlink>
      <w:r>
        <w:rPr>
          <w:sz w:val="19"/>
        </w:rPr>
        <w:t xml:space="preserve"> — 12 Aug 2026 launch. Pricing reference: https://esphome.io/starter-kit/ ($40/€41 recommended; retailer prices vary).</w:t>
      </w:r>
    </w:p>
    <w:p>
      <w:pPr>
        <w:keepLines/>
        <w:widowControl/>
        <w:spacing w:after="100"/>
      </w:pPr>
      <w:r>
        <w:rPr>
          <w:b/>
          <w:sz w:val="19"/>
        </w:rPr>
        <w:t xml:space="preserve">[S11] Espressif — RainMaker Neo release. </w:t>
      </w:r>
      <w:hyperlink r:id="rId22">
        <w:r>
          <w:rPr>
            <w:color w:val="2877AA"/>
            <w:sz w:val="19"/>
          </w:rPr>
          <w:t>Official source</w:t>
        </w:r>
      </w:hyperlink>
      <w:r>
        <w:rPr>
          <w:sz w:val="19"/>
        </w:rPr>
        <w:t xml:space="preserve"> — 5 Aug 2026; open device/cloud/app stack. Public implementation: https://github.com/espressif/esp-rainmaker-neo . AWS/service charges remain.</w:t>
      </w:r>
    </w:p>
    <w:p>
      <w:pPr>
        <w:keepLines/>
        <w:widowControl/>
        <w:spacing w:after="100"/>
      </w:pPr>
      <w:r>
        <w:rPr>
          <w:b/>
          <w:sz w:val="19"/>
        </w:rPr>
        <w:t xml:space="preserve">[S12] Espressif — ESP-NOW Programming Guide. </w:t>
      </w:r>
      <w:hyperlink r:id="rId23">
        <w:r>
          <w:rPr>
            <w:color w:val="2877AA"/>
            <w:sz w:val="19"/>
          </w:rPr>
          <w:t>Official source</w:t>
        </w:r>
      </w:hyperlink>
      <w:r>
        <w:rPr>
          <w:sz w:val="19"/>
        </w:rPr>
        <w:t xml:space="preserve"> — Technical reference for peer channels, send callbacks and application acknowledgement/retry.</w:t>
      </w:r>
    </w:p>
    <w:p>
      <w:pPr>
        <w:keepLines/>
        <w:widowControl/>
        <w:spacing w:after="100"/>
      </w:pPr>
      <w:r>
        <w:rPr>
          <w:b/>
          <w:sz w:val="19"/>
        </w:rPr>
        <w:t xml:space="preserve">[S13] DoT — Equipment Type Approval. </w:t>
      </w:r>
      <w:hyperlink r:id="rId24">
        <w:r>
          <w:rPr>
            <w:color w:val="2877AA"/>
            <w:sz w:val="19"/>
          </w:rPr>
          <w:t>Official source</w:t>
        </w:r>
      </w:hyperlink>
      <w:r>
        <w:rPr>
          <w:sz w:val="19"/>
        </w:rPr>
        <w:t xml:space="preserve"> — Official India WPC/ETA route; obtain product-specific compliance advice.</w:t>
      </w:r>
    </w:p>
    <w:p>
      <w:pPr>
        <w:keepLines/>
        <w:widowControl/>
        <w:spacing w:after="100"/>
      </w:pPr>
      <w:r>
        <w:rPr>
          <w:b/>
          <w:sz w:val="19"/>
        </w:rPr>
        <w:t xml:space="preserve">[S14] MeitY — DPDP Rules 2025, official Gazette. </w:t>
      </w:r>
      <w:hyperlink r:id="rId25">
        <w:r>
          <w:rPr>
            <w:color w:val="2877AA"/>
            <w:sz w:val="19"/>
          </w:rPr>
          <w:t>Official source</w:t>
        </w:r>
      </w:hyperlink>
      <w:r>
        <w:rPr>
          <w:sz w:val="19"/>
        </w:rPr>
        <w:t xml:space="preserve"> — Official rules include staged commencement. Counsel must map applicable duties and timing to the actual launch.</w:t>
      </w:r>
    </w:p>
    <w:p>
      <w:pPr>
        <w:keepLines/>
        <w:widowControl/>
        <w:spacing w:after="100"/>
      </w:pPr>
      <w:r>
        <w:rPr>
          <w:b/>
          <w:sz w:val="19"/>
        </w:rPr>
        <w:t xml:space="preserve">[S15] European Commission — CRA reporting. </w:t>
      </w:r>
      <w:hyperlink r:id="rId26">
        <w:r>
          <w:rPr>
            <w:color w:val="2877AA"/>
            <w:sz w:val="19"/>
          </w:rPr>
          <w:t>Official source</w:t>
        </w:r>
      </w:hyperlink>
      <w:r>
        <w:rPr>
          <w:sz w:val="19"/>
        </w:rPr>
        <w:t xml:space="preserve"> — Reporting obligations from 11 Sep 2026 for in-scope products/manufacturers.</w:t>
      </w:r>
    </w:p>
    <w:p>
      <w:pPr>
        <w:keepLines/>
        <w:widowControl/>
        <w:spacing w:after="100"/>
      </w:pPr>
      <w:r>
        <w:rPr>
          <w:b/>
          <w:sz w:val="19"/>
        </w:rPr>
        <w:t xml:space="preserve">[S16] European Commission — Cyber Resilience Act. </w:t>
      </w:r>
      <w:hyperlink r:id="rId27">
        <w:r>
          <w:rPr>
            <w:color w:val="2877AA"/>
            <w:sz w:val="19"/>
          </w:rPr>
          <w:t>Official source</w:t>
        </w:r>
      </w:hyperlink>
      <w:r>
        <w:rPr>
          <w:sz w:val="19"/>
        </w:rPr>
        <w:t xml:space="preserve"> — Main obligations from 11 Dec 2027. Scope and transitional provisions require review.</w:t>
      </w:r>
    </w:p>
    <w:p>
      <w:pPr>
        <w:keepLines/>
        <w:widowControl/>
        <w:spacing w:after="100"/>
      </w:pPr>
      <w:r>
        <w:rPr>
          <w:b/>
          <w:sz w:val="19"/>
        </w:rPr>
        <w:t xml:space="preserve">[S17] Open Home Foundation — Survey dataset. </w:t>
      </w:r>
      <w:hyperlink r:id="rId28">
        <w:r>
          <w:rPr>
            <w:color w:val="2877AA"/>
            <w:sz w:val="19"/>
          </w:rPr>
          <w:t>Official source</w:t>
        </w:r>
      </w:hyperlink>
      <w:r>
        <w:rPr>
          <w:sz w:val="19"/>
        </w:rPr>
        <w:t xml:space="preserve"> — Published 26 Aug 2026; 8,616 responses collected Dec 2024–Feb 2025. Potential discovery input, not current growth evidence.</w:t>
      </w:r>
    </w:p>
    <w:p>
      <w:pPr>
        <w:keepLines/>
        <w:widowControl/>
        <w:spacing w:after="100"/>
      </w:pPr>
      <w:r>
        <w:rPr>
          <w:b/>
          <w:sz w:val="19"/>
        </w:rPr>
        <w:t xml:space="preserve">[S18] Careium — European telecare sensor portfolio. </w:t>
      </w:r>
      <w:hyperlink r:id="rId29">
        <w:r>
          <w:rPr>
            <w:color w:val="2877AA"/>
            <w:sz w:val="19"/>
          </w:rPr>
          <w:t>Official source</w:t>
        </w:r>
      </w:hyperlink>
      <w:r>
        <w:rPr>
          <w:sz w:val="19"/>
        </w:rPr>
        <w:t xml:space="preserve"> — Motion 9200 activity monitoring establishes category competition; no comparable public EU kit price verified.</w:t>
      </w:r>
    </w:p>
    <w:p>
      <w:pPr>
        <w:keepLines/>
        <w:widowControl/>
        <w:spacing w:after="100"/>
      </w:pPr>
      <w:r>
        <w:rPr>
          <w:b/>
          <w:sz w:val="19"/>
        </w:rPr>
        <w:t xml:space="preserve">[S19] M5Stack — StackChan official listing. </w:t>
      </w:r>
      <w:hyperlink r:id="rId30">
        <w:r>
          <w:rPr>
            <w:color w:val="2877AA"/>
            <w:sz w:val="19"/>
          </w:rPr>
          <w:t>Official source</w:t>
        </w:r>
      </w:hyperlink>
      <w:r>
        <w:rPr>
          <w:sz w:val="19"/>
        </w:rPr>
        <w:t xml:space="preserve"> — Existing $99 ESP32-S3 desktop companion; hardware price excludes delivered-cost/AI-service verification, not a launch this week.</w:t>
      </w:r>
    </w:p>
    <w:p>
      <w:pPr>
        <w:keepLines/>
        <w:widowControl/>
      </w:pPr>
      <w:r>
        <w:rPr>
          <w:i/>
          <w:color w:val="356779"/>
          <w:sz w:val="18"/>
        </w:rPr>
        <w:t>Research boundary: no paid customer interviews, supplier quotations, clinical validation or production battery-life tests were conducted for this update. [S17] can inform later research, but no dataset-level statistical analysis is claimed.</w:t>
      </w:r>
    </w:p>
    <w:p>
      <w:pPr>
        <w:keepLines/>
        <w:widowControl/>
      </w:pPr>
      <w:r>
        <w:rPr>
          <w:rFonts w:ascii="Calibri" w:hAnsi="Calibri"/>
          <w:sz w:val="22"/>
        </w:rPr>
        <w:t>Planning document only—not medical, legal, regulatory, tax or investment advice. Before launch, validate intended use, product claims, radio/battery safety, data protection, consumer terms, tax classification and local response arrangements with qualified professionals. Recheck prices and obligations at the decision date.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search review" w:initials="RR" w:date="2026-09-02T17:11:31Z">
    <w:p>
      <w:pPr>
        <w:pStyle w:val="CommentText"/>
      </w:pPr>
      <w:r>
        <w:rPr>
          <w:rStyle w:val="CommentReference"/>
        </w:rPr>
        <w:annotationRef/>
      </w:r>
      <w:r>
        <w:t>Revision 2 — 2 September 2026: Qualified the business ranking and safety claims. No public evidence establishes the probability that this particular product will succeed.</w:t>
      </w:r>
    </w:p>
  </w:comment>
  <w:comment w:id="1" w:author="Research review" w:initials="RR" w:date="2026-09-02T17:11:31Z">
    <w:p>
      <w:pPr>
        <w:pStyle w:val="CommentText"/>
      </w:pPr>
      <w:r>
        <w:rPr>
          <w:rStyle w:val="CommentReference"/>
        </w:rPr>
        <w:annotationRef/>
      </w:r>
      <w:r>
        <w:t>Revision 2 — 2 September 2026: Prices checked 2 September 2026. Added annual Nomo option, Indian services and UK availability caveat. Hardware platforms of care competitors are not verified as ESP32.</w:t>
      </w:r>
    </w:p>
  </w:comment>
  <w:comment w:id="2" w:author="Research review" w:initials="RR" w:date="2026-09-02T17:11:31Z">
    <w:p>
      <w:pPr>
        <w:pStyle w:val="CommentText"/>
      </w:pPr>
      <w:r>
        <w:rPr>
          <w:rStyle w:val="CommentReference"/>
        </w:rPr>
        <w:annotationRef/>
      </w:r>
      <w:r>
        <w:t>Revision 2 — 2 September 2026: Moved fridge, leak and humidity out of the initial caregiver MVP. Device health remains essential, not an optional paid feature.</w:t>
      </w:r>
    </w:p>
  </w:comment>
  <w:comment w:id="3" w:author="Research review" w:initials="RR" w:date="2026-09-02T17:11:31Z">
    <w:p>
      <w:pPr>
        <w:pStyle w:val="CommentText"/>
      </w:pPr>
      <w:r>
        <w:rPr>
          <w:rStyle w:val="CommentReference"/>
        </w:rPr>
        <w:annotationRef/>
      </w:r>
      <w:r>
        <w:t>Revision 2 — 2 September 2026: The old prototype total did not match the full BOM range. This total is recalculated for the narrower P0; optional sensors and newly purchased tools are excluded explicitly.</w:t>
      </w:r>
    </w:p>
  </w:comment>
  <w:comment w:id="4" w:author="Research review" w:initials="RR" w:date="2026-09-02T17:11:31Z">
    <w:p>
      <w:pPr>
        <w:pStyle w:val="CommentText"/>
      </w:pPr>
      <w:r>
        <w:rPr>
          <w:rStyle w:val="CommentReference"/>
        </w:rPr>
        <w:annotationRef/>
      </w:r>
      <w:r>
        <w:t>Revision 2 — 2 September 2026: Corrected the earlier tax-agnostic margin statement. Actual product classification and recoverable input tax require accountant review.</w:t>
      </w:r>
    </w:p>
  </w:comment>
  <w:comment w:id="5" w:author="Research review" w:initials="RR" w:date="2026-09-02T17:11:31Z">
    <w:p>
      <w:pPr>
        <w:pStyle w:val="CommentText"/>
      </w:pPr>
      <w:r>
        <w:rPr>
          <w:rStyle w:val="CommentReference"/>
        </w:rPr>
        <w:annotationRef/>
      </w:r>
      <w:r>
        <w:t>Revision 2 — 2 September 2026: Removed unsupported 85–95%, 20–35% and other probability estimates. Pilot thresholds are proposed management decisions, not statistical success forecasts.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666666"/>
        <w:sz w:val="17"/>
      </w:rPr>
      <w:t>Confidential planning document | 2 September 2026 | Rev. 2</w:t>
    </w:r>
    <w:r>
      <w:rPr>
        <w:sz w:val="17"/>
      </w:rPr>
      <w:t xml:space="preserve"> | p.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color w:val="666666"/>
        <w:sz w:val="17"/>
      </w:rPr>
      <w:t>Family Check-in &amp; Home Risk | Startup Blueprint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Relationship Id="rId12" Type="http://schemas.openxmlformats.org/officeDocument/2006/relationships/hyperlink" Target="https://nomosmartcare.com/products/essential-care-kit" TargetMode="External"/><Relationship Id="rId13" Type="http://schemas.openxmlformats.org/officeDocument/2006/relationships/hyperlink" Target="https://odecare.com/blog/elderly-monitoring-system-cost" TargetMode="External"/><Relationship Id="rId14" Type="http://schemas.openxmlformats.org/officeDocument/2006/relationships/hyperlink" Target="https://shop.carepredict.com/" TargetMode="External"/><Relationship Id="rId15" Type="http://schemas.openxmlformats.org/officeDocument/2006/relationships/hyperlink" Target="https://www.careium.co.uk/compare-personal-alarms/home-activity-monitoring-alarm/doris/" TargetMode="External"/><Relationship Id="rId16" Type="http://schemas.openxmlformats.org/officeDocument/2006/relationships/hyperlink" Target="https://emoha.com/plans" TargetMode="External"/><Relationship Id="rId17" Type="http://schemas.openxmlformats.org/officeDocument/2006/relationships/hyperlink" Target="https://anvayaa.com/care-plans/" TargetMode="External"/><Relationship Id="rId18" Type="http://schemas.openxmlformats.org/officeDocument/2006/relationships/hyperlink" Target="https://care.samarth.community/blog/safety/technology-ai-technology-smart-devices-elder-care-parents-india/" TargetMode="External"/><Relationship Id="rId19" Type="http://schemas.openxmlformats.org/officeDocument/2006/relationships/hyperlink" Target="https://www.aarp.org/pri/topics/livable-communities/housing/2024-home-community-preferences/" TargetMode="External"/><Relationship Id="rId20" Type="http://schemas.openxmlformats.org/officeDocument/2006/relationships/hyperlink" Target="https://india.unfpa.org/en/publications/caring-our-elders-institutional-responses-india-ageing-report-2023" TargetMode="External"/><Relationship Id="rId21" Type="http://schemas.openxmlformats.org/officeDocument/2006/relationships/hyperlink" Target="https://esphome.io/blog/2026/08/12/the-esphome-starter-kit-is-here/" TargetMode="External"/><Relationship Id="rId22" Type="http://schemas.openxmlformats.org/officeDocument/2006/relationships/hyperlink" Target="https://www.espressif.com/en/news/ESP_RainMaker_Neo_Release" TargetMode="External"/><Relationship Id="rId23" Type="http://schemas.openxmlformats.org/officeDocument/2006/relationships/hyperlink" Target="https://docs.espressif.com/projects/esp-idf/en/stable/esp32/api-reference/network/esp_now.html" TargetMode="External"/><Relationship Id="rId24" Type="http://schemas.openxmlformats.org/officeDocument/2006/relationships/hyperlink" Target="https://www.eservices.dot.gov.in/equipment-type-approval-eta" TargetMode="External"/><Relationship Id="rId25" Type="http://schemas.openxmlformats.org/officeDocument/2006/relationships/hyperlink" Target="https://www.meity.gov.in/static/uploads/2025/11/53450e6e5dc0bfa85ebd78686cadad39.pdf" TargetMode="External"/><Relationship Id="rId26" Type="http://schemas.openxmlformats.org/officeDocument/2006/relationships/hyperlink" Target="https://digital-strategy.ec.europa.eu/en/policies/cra-reporting" TargetMode="External"/><Relationship Id="rId27" Type="http://schemas.openxmlformats.org/officeDocument/2006/relationships/hyperlink" Target="https://digital-strategy.ec.europa.eu/en/policies/cyber-resilience-act" TargetMode="External"/><Relationship Id="rId28" Type="http://schemas.openxmlformats.org/officeDocument/2006/relationships/hyperlink" Target="https://www.openhomefoundation.org/blog/home-assistant-survey-dataset/" TargetMode="External"/><Relationship Id="rId29" Type="http://schemas.openxmlformats.org/officeDocument/2006/relationships/hyperlink" Target="https://www.careium.com/en/telecare-solutions/accessories/" TargetMode="External"/><Relationship Id="rId30" Type="http://schemas.openxmlformats.org/officeDocument/2006/relationships/hyperlink" Target="https://shop.m5stack.com/products/stackchan-kawaii-co-created-open-source-ai-desktop-rob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Family Check-in &amp; Home Risk System — Startup Blueprint</dc:title>
  <dc:subject>Research update and gated India-first pilot plan, 2 September 2026</dc:subject>
  <dc:creator>Rahul Rathor</dc:creator>
  <cp:keywords/>
  <dc:description>Revision 2: evidence-grounded market update; corrected tax-aware economics; narrowed MVP; no unsupported success probabilities.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