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b/>
          <w:color w:val="000000"/>
          <w:sz w:val="46"/>
        </w:rPr>
        <w:t>SOFTWARE REQUIREMENTS DOCUMENT</w:t>
      </w:r>
    </w:p>
    <w:p>
      <w:pPr>
        <w:spacing w:after="320"/>
      </w:pPr>
      <w:r>
        <w:rPr>
          <w:color w:val="464646"/>
          <w:sz w:val="30"/>
        </w:rPr>
        <w:t>Ghar Sajag — Family Check-in &amp; Home Risk Awareness</w:t>
      </w:r>
    </w:p>
    <w:tbl>
      <w:tblPr>
        <w:tblW w:type="dxa" w:w="9360"/>
        <w:jc w:val="left"/>
        <w:tblLayout w:type="fixed"/>
        <w:tblLook w:firstColumn="1" w:firstRow="1" w:lastColumn="0" w:lastRow="0" w:noHBand="0" w:noVBand="1" w:val="04A0"/>
        <w:tblInd w:w="120" w:type="dxa"/>
      </w:tblPr>
      <w:tblGrid>
        <w:gridCol w:w="2232"/>
        <w:gridCol w:w="7128"/>
      </w:tblGrid>
      <w:tr>
        <w:tc>
          <w:tcPr>
            <w:tcW w:type="dxa" w:w="2232"/>
            <w:vAlign w:val="top"/>
            <w:shd w:fill="E8EEF5"/>
            <w:tcMar>
              <w:top w:w="80" w:type="dxa"/>
              <w:bottom w:w="80" w:type="dxa"/>
              <w:start w:w="120" w:type="dxa"/>
              <w:end w:w="120" w:type="dxa"/>
            </w:tcMar>
          </w:tcPr>
          <w:p>
            <w:pPr>
              <w:spacing w:after="40"/>
            </w:pPr>
            <w:r>
              <w:rPr>
                <w:rFonts w:ascii="Calibri" w:hAnsi="Calibri"/>
                <w:b/>
                <w:sz w:val="19"/>
              </w:rPr>
              <w:t>Document item</w:t>
            </w:r>
          </w:p>
        </w:tc>
        <w:tc>
          <w:tcPr>
            <w:tcW w:type="dxa" w:w="7128"/>
            <w:vAlign w:val="top"/>
            <w:shd w:fill="E8EEF5"/>
            <w:tcMar>
              <w:top w:w="80" w:type="dxa"/>
              <w:bottom w:w="80" w:type="dxa"/>
              <w:start w:w="120" w:type="dxa"/>
              <w:end w:w="120" w:type="dxa"/>
            </w:tcMar>
          </w:tcPr>
          <w:p>
            <w:pPr>
              <w:spacing w:after="40"/>
            </w:pPr>
            <w:r>
              <w:rPr>
                <w:rFonts w:ascii="Calibri" w:hAnsi="Calibri"/>
                <w:b/>
                <w:sz w:val="19"/>
              </w:rPr>
              <w:t>Value</w:t>
            </w:r>
          </w:p>
        </w:tc>
      </w:tr>
      <w:tr>
        <w:tc>
          <w:tcPr>
            <w:tcW w:type="dxa" w:w="2232"/>
            <w:vAlign w:val="top"/>
            <w:tcMar>
              <w:top w:w="80" w:type="dxa"/>
              <w:bottom w:w="80" w:type="dxa"/>
              <w:start w:w="120" w:type="dxa"/>
              <w:end w:w="120" w:type="dxa"/>
            </w:tcMar>
          </w:tcPr>
          <w:p>
            <w:pPr>
              <w:spacing w:after="40"/>
            </w:pPr>
            <w:r>
              <w:rPr>
                <w:rFonts w:ascii="Calibri" w:hAnsi="Calibri"/>
                <w:b w:val="0"/>
                <w:sz w:val="19"/>
              </w:rPr>
              <w:t>Product</w:t>
            </w:r>
          </w:p>
        </w:tc>
        <w:tc>
          <w:tcPr>
            <w:tcW w:type="dxa" w:w="7128"/>
            <w:vAlign w:val="top"/>
            <w:tcMar>
              <w:top w:w="80" w:type="dxa"/>
              <w:bottom w:w="80" w:type="dxa"/>
              <w:start w:w="120" w:type="dxa"/>
              <w:end w:w="120" w:type="dxa"/>
            </w:tcMar>
          </w:tcPr>
          <w:p>
            <w:pPr>
              <w:spacing w:after="40"/>
            </w:pPr>
            <w:r>
              <w:rPr>
                <w:rFonts w:ascii="Calibri" w:hAnsi="Calibri"/>
                <w:b w:val="0"/>
                <w:sz w:val="19"/>
              </w:rPr>
              <w:t>Ghar Sajag</w:t>
            </w:r>
          </w:p>
        </w:tc>
      </w:tr>
      <w:tr>
        <w:tc>
          <w:tcPr>
            <w:tcW w:type="dxa" w:w="2232"/>
            <w:vAlign w:val="top"/>
            <w:tcMar>
              <w:top w:w="80" w:type="dxa"/>
              <w:bottom w:w="80" w:type="dxa"/>
              <w:start w:w="120" w:type="dxa"/>
              <w:end w:w="120" w:type="dxa"/>
            </w:tcMar>
          </w:tcPr>
          <w:p>
            <w:pPr>
              <w:spacing w:after="40"/>
            </w:pPr>
            <w:r>
              <w:rPr>
                <w:rFonts w:ascii="Calibri" w:hAnsi="Calibri"/>
                <w:b w:val="0"/>
                <w:sz w:val="19"/>
              </w:rPr>
              <w:t>Document type</w:t>
            </w:r>
          </w:p>
        </w:tc>
        <w:tc>
          <w:tcPr>
            <w:tcW w:type="dxa" w:w="7128"/>
            <w:vAlign w:val="top"/>
            <w:tcMar>
              <w:top w:w="80" w:type="dxa"/>
              <w:bottom w:w="80" w:type="dxa"/>
              <w:start w:w="120" w:type="dxa"/>
              <w:end w:w="120" w:type="dxa"/>
            </w:tcMar>
          </w:tcPr>
          <w:p>
            <w:pPr>
              <w:spacing w:after="40"/>
            </w:pPr>
            <w:r>
              <w:rPr>
                <w:rFonts w:ascii="Calibri" w:hAnsi="Calibri"/>
                <w:b w:val="0"/>
                <w:sz w:val="19"/>
              </w:rPr>
              <w:t>Software Requirements Document (SRD)</w:t>
            </w:r>
          </w:p>
        </w:tc>
      </w:tr>
      <w:tr>
        <w:tc>
          <w:tcPr>
            <w:tcW w:type="dxa" w:w="2232"/>
            <w:vAlign w:val="top"/>
            <w:tcMar>
              <w:top w:w="80" w:type="dxa"/>
              <w:bottom w:w="80" w:type="dxa"/>
              <w:start w:w="120" w:type="dxa"/>
              <w:end w:w="120" w:type="dxa"/>
            </w:tcMar>
          </w:tcPr>
          <w:p>
            <w:pPr>
              <w:spacing w:after="40"/>
            </w:pPr>
            <w:r>
              <w:rPr>
                <w:rFonts w:ascii="Calibri" w:hAnsi="Calibri"/>
                <w:b w:val="0"/>
                <w:sz w:val="19"/>
              </w:rPr>
              <w:t>Version / date</w:t>
            </w:r>
          </w:p>
        </w:tc>
        <w:tc>
          <w:tcPr>
            <w:tcW w:type="dxa" w:w="7128"/>
            <w:vAlign w:val="top"/>
            <w:tcMar>
              <w:top w:w="80" w:type="dxa"/>
              <w:bottom w:w="80" w:type="dxa"/>
              <w:start w:w="120" w:type="dxa"/>
              <w:end w:w="120" w:type="dxa"/>
            </w:tcMar>
          </w:tcPr>
          <w:p>
            <w:pPr>
              <w:spacing w:after="40"/>
            </w:pPr>
            <w:r>
              <w:rPr>
                <w:rFonts w:ascii="Calibri" w:hAnsi="Calibri"/>
                <w:b w:val="0"/>
                <w:sz w:val="19"/>
              </w:rPr>
              <w:t>1.0 / 8 September 2026</w:t>
            </w:r>
          </w:p>
        </w:tc>
      </w:tr>
      <w:tr>
        <w:tc>
          <w:tcPr>
            <w:tcW w:type="dxa" w:w="2232"/>
            <w:vAlign w:val="top"/>
            <w:tcMar>
              <w:top w:w="80" w:type="dxa"/>
              <w:bottom w:w="80" w:type="dxa"/>
              <w:start w:w="120" w:type="dxa"/>
              <w:end w:w="120" w:type="dxa"/>
            </w:tcMar>
          </w:tcPr>
          <w:p>
            <w:pPr>
              <w:spacing w:after="40"/>
            </w:pPr>
            <w:r>
              <w:rPr>
                <w:rFonts w:ascii="Calibri" w:hAnsi="Calibri"/>
                <w:b w:val="0"/>
                <w:sz w:val="19"/>
              </w:rPr>
              <w:t>Audience</w:t>
            </w:r>
          </w:p>
        </w:tc>
        <w:tc>
          <w:tcPr>
            <w:tcW w:type="dxa" w:w="7128"/>
            <w:vAlign w:val="top"/>
            <w:tcMar>
              <w:top w:w="80" w:type="dxa"/>
              <w:bottom w:w="80" w:type="dxa"/>
              <w:start w:w="120" w:type="dxa"/>
              <w:end w:w="120" w:type="dxa"/>
            </w:tcMar>
          </w:tcPr>
          <w:p>
            <w:pPr>
              <w:spacing w:after="40"/>
            </w:pPr>
            <w:r>
              <w:rPr>
                <w:rFonts w:ascii="Calibri" w:hAnsi="Calibri"/>
                <w:b w:val="0"/>
                <w:sz w:val="19"/>
              </w:rPr>
              <w:t>Product owner, firmware/backend/app engineers, QA, installation and support teams</w:t>
            </w:r>
          </w:p>
        </w:tc>
      </w:tr>
      <w:tr>
        <w:tc>
          <w:tcPr>
            <w:tcW w:type="dxa" w:w="2232"/>
            <w:vAlign w:val="top"/>
            <w:tcMar>
              <w:top w:w="80" w:type="dxa"/>
              <w:bottom w:w="80" w:type="dxa"/>
              <w:start w:w="120" w:type="dxa"/>
              <w:end w:w="120" w:type="dxa"/>
            </w:tcMar>
          </w:tcPr>
          <w:p>
            <w:pPr>
              <w:spacing w:after="40"/>
            </w:pPr>
            <w:r>
              <w:rPr>
                <w:rFonts w:ascii="Calibri" w:hAnsi="Calibri"/>
                <w:b w:val="0"/>
                <w:sz w:val="19"/>
              </w:rPr>
              <w:t>Status</w:t>
            </w:r>
          </w:p>
        </w:tc>
        <w:tc>
          <w:tcPr>
            <w:tcW w:type="dxa" w:w="7128"/>
            <w:vAlign w:val="top"/>
            <w:tcMar>
              <w:top w:w="80" w:type="dxa"/>
              <w:bottom w:w="80" w:type="dxa"/>
              <w:start w:w="120" w:type="dxa"/>
              <w:end w:w="120" w:type="dxa"/>
            </w:tcMar>
          </w:tcPr>
          <w:p>
            <w:pPr>
              <w:spacing w:after="40"/>
            </w:pPr>
            <w:r>
              <w:rPr>
                <w:rFonts w:ascii="Calibri" w:hAnsi="Calibri"/>
                <w:b w:val="0"/>
                <w:sz w:val="19"/>
              </w:rPr>
              <w:t>P0 baseline for prototype and pilot planning</w:t>
            </w:r>
          </w:p>
        </w:tc>
      </w:tr>
      <w:tr>
        <w:tc>
          <w:tcPr>
            <w:tcW w:type="dxa" w:w="2232"/>
            <w:vAlign w:val="top"/>
            <w:tcMar>
              <w:top w:w="80" w:type="dxa"/>
              <w:bottom w:w="80" w:type="dxa"/>
              <w:start w:w="120" w:type="dxa"/>
              <w:end w:w="120" w:type="dxa"/>
            </w:tcMar>
          </w:tcPr>
          <w:p>
            <w:pPr>
              <w:spacing w:after="40"/>
            </w:pPr>
            <w:r>
              <w:rPr>
                <w:rFonts w:ascii="Calibri" w:hAnsi="Calibri"/>
                <w:b w:val="0"/>
                <w:sz w:val="19"/>
              </w:rPr>
              <w:t>Normative language</w:t>
            </w:r>
          </w:p>
        </w:tc>
        <w:tc>
          <w:tcPr>
            <w:tcW w:type="dxa" w:w="7128"/>
            <w:vAlign w:val="top"/>
            <w:tcMar>
              <w:top w:w="80" w:type="dxa"/>
              <w:bottom w:w="80" w:type="dxa"/>
              <w:start w:w="120" w:type="dxa"/>
              <w:end w:w="120" w:type="dxa"/>
            </w:tcMar>
          </w:tcPr>
          <w:p>
            <w:pPr>
              <w:spacing w:after="40"/>
            </w:pPr>
            <w:r>
              <w:rPr>
                <w:rFonts w:ascii="Calibri" w:hAnsi="Calibri"/>
                <w:b w:val="0"/>
                <w:sz w:val="19"/>
              </w:rPr>
              <w:t>“Shall” is mandatory for P0 acceptance; “should” is a target; “future” is outside this release.</w:t>
            </w:r>
          </w:p>
        </w:tc>
      </w:tr>
    </w:tbl>
    <w:p>
      <w:pPr>
        <w:spacing w:after="40"/>
      </w:pPr>
    </w:p>
    <w:p>
      <w:pPr>
        <w:spacing w:after="160"/>
      </w:pPr>
      <w:r>
        <w:t>Purpose. This SRD defines the observable software behaviour and quality gates for the first Ghar Sajag product: a camera-free, consent-based household check-in system for one or two older residents, using an ESP32 hub, ESP32-C3 sensor nodes, a backend and a caregiver web/PWA interface.</w:t>
      </w:r>
    </w:p>
    <w:p>
      <w:pPr>
        <w:pStyle w:val="Heading1"/>
      </w:pPr>
      <w:r>
        <w:t>1. Product objective and scope</w:t>
      </w:r>
    </w:p>
    <w:p>
      <w:r>
        <w:t>Ghar Sajag gives a family clearer information when a routine check-in is expected, a resident asks for help, or the sensing system itself cannot provide reliable coverage. It is a family-awareness and communication aid, not a medical device, fall detector, emergency dispatch service or substitute for human judgement.</w:t>
      </w:r>
    </w:p>
    <w:p>
      <w:pPr>
        <w:pStyle w:val="Heading2"/>
      </w:pPr>
      <w:r>
        <w:t>In scope for P0</w:t>
      </w:r>
    </w:p>
    <w:p>
      <w:pPr>
        <w:pStyle w:val="ListBullet"/>
        <w:spacing w:after="80"/>
      </w:pPr>
      <w:r>
        <w:t>One household with one or two consenting residents.</w:t>
      </w:r>
    </w:p>
    <w:p>
      <w:pPr>
        <w:pStyle w:val="ListBullet"/>
        <w:spacing w:after="80"/>
      </w:pPr>
      <w:r>
        <w:t>One ESP32 DevKit V1 hub and up to four ESP32-C3 nodes using motion and door/button inputs.</w:t>
      </w:r>
    </w:p>
    <w:p>
      <w:pPr>
        <w:pStyle w:val="ListBullet"/>
        <w:spacing w:after="80"/>
      </w:pPr>
      <w:r>
        <w:t>A configurable morning routine, explicit resident check-in, family-call request, main-door history, modes, caregiver acknowledgement and backup routing.</w:t>
      </w:r>
    </w:p>
    <w:p>
      <w:pPr>
        <w:pStyle w:val="ListBullet"/>
        <w:spacing w:after="80"/>
      </w:pPr>
      <w:r>
        <w:t>Local operation during WAN failure while hub power, trusted configuration and time remain usable.</w:t>
      </w:r>
    </w:p>
    <w:p>
      <w:pPr>
        <w:pStyle w:val="ListBullet"/>
        <w:spacing w:after="80"/>
      </w:pPr>
      <w:r>
        <w:t>Backend persistence, caregiver dashboard/PWA, notification delivery state, OTA policy and diagnostic logging.</w:t>
      </w:r>
    </w:p>
    <w:p>
      <w:pPr>
        <w:pStyle w:val="Heading2"/>
      </w:pPr>
      <w:r>
        <w:t>Out of scope for P0</w:t>
      </w:r>
    </w:p>
    <w:p>
      <w:r>
        <w:t>Fall detection, vital signs, sleep quality, indoor cameras, always-on audio or speech recognition, automatic emergency dispatch, professional home visits, location tracking, automatic routine learning, and cloud-dependent AI inference are excluded. They may be evaluated as separately consented P1/P2 work.</w:t>
      </w:r>
    </w:p>
    <w:p>
      <w:pPr>
        <w:pStyle w:val="Heading1"/>
      </w:pPr>
      <w:r>
        <w:t>2. Actors and operating assumptions</w:t>
      </w:r>
    </w:p>
    <w:tbl>
      <w:tblPr>
        <w:tblW w:type="dxa" w:w="9360"/>
        <w:jc w:val="left"/>
        <w:tblLayout w:type="fixed"/>
        <w:tblLook w:firstColumn="1" w:firstRow="1" w:lastColumn="0" w:lastRow="0" w:noHBand="0" w:noVBand="1" w:val="04A0"/>
        <w:tblInd w:w="120" w:type="dxa"/>
      </w:tblPr>
      <w:tblGrid>
        <w:gridCol w:w="2088"/>
        <w:gridCol w:w="7272"/>
      </w:tblGrid>
      <w:tr>
        <w:tc>
          <w:tcPr>
            <w:tcW w:type="dxa" w:w="2088"/>
            <w:vAlign w:val="top"/>
            <w:shd w:fill="E8EEF5"/>
            <w:tcMar>
              <w:top w:w="80" w:type="dxa"/>
              <w:bottom w:w="80" w:type="dxa"/>
              <w:start w:w="120" w:type="dxa"/>
              <w:end w:w="120" w:type="dxa"/>
            </w:tcMar>
          </w:tcPr>
          <w:p>
            <w:pPr>
              <w:spacing w:after="40"/>
            </w:pPr>
            <w:r>
              <w:rPr>
                <w:rFonts w:ascii="Calibri" w:hAnsi="Calibri"/>
                <w:b/>
                <w:sz w:val="19"/>
              </w:rPr>
              <w:t>Actor</w:t>
            </w:r>
          </w:p>
        </w:tc>
        <w:tc>
          <w:tcPr>
            <w:tcW w:type="dxa" w:w="7272"/>
            <w:vAlign w:val="top"/>
            <w:shd w:fill="E8EEF5"/>
            <w:tcMar>
              <w:top w:w="80" w:type="dxa"/>
              <w:bottom w:w="80" w:type="dxa"/>
              <w:start w:w="120" w:type="dxa"/>
              <w:end w:w="120" w:type="dxa"/>
            </w:tcMar>
          </w:tcPr>
          <w:p>
            <w:pPr>
              <w:spacing w:after="40"/>
            </w:pPr>
            <w:r>
              <w:rPr>
                <w:rFonts w:ascii="Calibri" w:hAnsi="Calibri"/>
                <w:b/>
                <w:sz w:val="19"/>
              </w:rPr>
              <w:t>Responsibility / permissions</w:t>
            </w:r>
          </w:p>
        </w:tc>
      </w:tr>
      <w:tr>
        <w:tc>
          <w:tcPr>
            <w:tcW w:type="dxa" w:w="2088"/>
            <w:vAlign w:val="top"/>
            <w:tcMar>
              <w:top w:w="80" w:type="dxa"/>
              <w:bottom w:w="80" w:type="dxa"/>
              <w:start w:w="120" w:type="dxa"/>
              <w:end w:w="120" w:type="dxa"/>
            </w:tcMar>
          </w:tcPr>
          <w:p>
            <w:pPr>
              <w:spacing w:after="40"/>
            </w:pPr>
            <w:r>
              <w:rPr>
                <w:rFonts w:ascii="Calibri" w:hAnsi="Calibri"/>
                <w:b w:val="0"/>
                <w:sz w:val="19"/>
              </w:rPr>
              <w:t>Resident</w:t>
            </w:r>
          </w:p>
        </w:tc>
        <w:tc>
          <w:tcPr>
            <w:tcW w:type="dxa" w:w="7272"/>
            <w:vAlign w:val="top"/>
            <w:tcMar>
              <w:top w:w="80" w:type="dxa"/>
              <w:bottom w:w="80" w:type="dxa"/>
              <w:start w:w="120" w:type="dxa"/>
              <w:end w:w="120" w:type="dxa"/>
            </w:tcMar>
          </w:tcPr>
          <w:p>
            <w:pPr>
              <w:spacing w:after="40"/>
            </w:pPr>
            <w:r>
              <w:rPr>
                <w:rFonts w:ascii="Calibri" w:hAnsi="Calibri"/>
                <w:b w:val="0"/>
                <w:sz w:val="19"/>
              </w:rPr>
              <w:t>Consents, uses “I’m OK” and “Call family”, changes privacy state, receives local feedback.</w:t>
            </w:r>
          </w:p>
        </w:tc>
      </w:tr>
      <w:tr>
        <w:tc>
          <w:tcPr>
            <w:tcW w:type="dxa" w:w="2088"/>
            <w:vAlign w:val="top"/>
            <w:tcMar>
              <w:top w:w="80" w:type="dxa"/>
              <w:bottom w:w="80" w:type="dxa"/>
              <w:start w:w="120" w:type="dxa"/>
              <w:end w:w="120" w:type="dxa"/>
            </w:tcMar>
          </w:tcPr>
          <w:p>
            <w:pPr>
              <w:spacing w:after="40"/>
            </w:pPr>
            <w:r>
              <w:rPr>
                <w:rFonts w:ascii="Calibri" w:hAnsi="Calibri"/>
                <w:b w:val="0"/>
                <w:sz w:val="19"/>
              </w:rPr>
              <w:t>Primary caregiver</w:t>
            </w:r>
          </w:p>
        </w:tc>
        <w:tc>
          <w:tcPr>
            <w:tcW w:type="dxa" w:w="7272"/>
            <w:vAlign w:val="top"/>
            <w:tcMar>
              <w:top w:w="80" w:type="dxa"/>
              <w:bottom w:w="80" w:type="dxa"/>
              <w:start w:w="120" w:type="dxa"/>
              <w:end w:w="120" w:type="dxa"/>
            </w:tcMar>
          </w:tcPr>
          <w:p>
            <w:pPr>
              <w:spacing w:after="40"/>
            </w:pPr>
            <w:r>
              <w:rPr>
                <w:rFonts w:ascii="Calibri" w:hAnsi="Calibri"/>
                <w:b w:val="0"/>
                <w:sz w:val="19"/>
              </w:rPr>
              <w:t>Owns household setup, receives first notification, claims/acknowledges/resolves incidents, may configure routines.</w:t>
            </w:r>
          </w:p>
        </w:tc>
      </w:tr>
      <w:tr>
        <w:tc>
          <w:tcPr>
            <w:tcW w:type="dxa" w:w="2088"/>
            <w:vAlign w:val="top"/>
            <w:tcMar>
              <w:top w:w="80" w:type="dxa"/>
              <w:bottom w:w="80" w:type="dxa"/>
              <w:start w:w="120" w:type="dxa"/>
              <w:end w:w="120" w:type="dxa"/>
            </w:tcMar>
          </w:tcPr>
          <w:p>
            <w:pPr>
              <w:spacing w:after="40"/>
            </w:pPr>
            <w:r>
              <w:rPr>
                <w:rFonts w:ascii="Calibri" w:hAnsi="Calibri"/>
                <w:b w:val="0"/>
                <w:sz w:val="19"/>
              </w:rPr>
              <w:t>Backup caregiver</w:t>
            </w:r>
          </w:p>
        </w:tc>
        <w:tc>
          <w:tcPr>
            <w:tcW w:type="dxa" w:w="7272"/>
            <w:vAlign w:val="top"/>
            <w:tcMar>
              <w:top w:w="80" w:type="dxa"/>
              <w:bottom w:w="80" w:type="dxa"/>
              <w:start w:w="120" w:type="dxa"/>
              <w:end w:w="120" w:type="dxa"/>
            </w:tcMar>
          </w:tcPr>
          <w:p>
            <w:pPr>
              <w:spacing w:after="40"/>
            </w:pPr>
            <w:r>
              <w:rPr>
                <w:rFonts w:ascii="Calibri" w:hAnsi="Calibri"/>
                <w:b w:val="0"/>
                <w:sz w:val="19"/>
              </w:rPr>
              <w:t>Receives escalation after the configured delay and can acknowledge or resolve.</w:t>
            </w:r>
          </w:p>
        </w:tc>
      </w:tr>
      <w:tr>
        <w:tc>
          <w:tcPr>
            <w:tcW w:type="dxa" w:w="2088"/>
            <w:vAlign w:val="top"/>
            <w:tcMar>
              <w:top w:w="80" w:type="dxa"/>
              <w:bottom w:w="80" w:type="dxa"/>
              <w:start w:w="120" w:type="dxa"/>
              <w:end w:w="120" w:type="dxa"/>
            </w:tcMar>
          </w:tcPr>
          <w:p>
            <w:pPr>
              <w:spacing w:after="40"/>
            </w:pPr>
            <w:r>
              <w:rPr>
                <w:rFonts w:ascii="Calibri" w:hAnsi="Calibri"/>
                <w:b w:val="0"/>
                <w:sz w:val="19"/>
              </w:rPr>
              <w:t>Installer/support</w:t>
            </w:r>
          </w:p>
        </w:tc>
        <w:tc>
          <w:tcPr>
            <w:tcW w:type="dxa" w:w="7272"/>
            <w:vAlign w:val="top"/>
            <w:tcMar>
              <w:top w:w="80" w:type="dxa"/>
              <w:bottom w:w="80" w:type="dxa"/>
              <w:start w:w="120" w:type="dxa"/>
              <w:end w:w="120" w:type="dxa"/>
            </w:tcMar>
          </w:tcPr>
          <w:p>
            <w:pPr>
              <w:spacing w:after="40"/>
            </w:pPr>
            <w:r>
              <w:rPr>
                <w:rFonts w:ascii="Calibri" w:hAnsi="Calibri"/>
                <w:b w:val="0"/>
                <w:sz w:val="19"/>
              </w:rPr>
              <w:t>Performs assisted provisioning, placement, coverage and notification drills; must not view unnecessary household data.</w:t>
            </w:r>
          </w:p>
        </w:tc>
      </w:tr>
      <w:tr>
        <w:tc>
          <w:tcPr>
            <w:tcW w:type="dxa" w:w="2088"/>
            <w:vAlign w:val="top"/>
            <w:tcMar>
              <w:top w:w="80" w:type="dxa"/>
              <w:bottom w:w="80" w:type="dxa"/>
              <w:start w:w="120" w:type="dxa"/>
              <w:end w:w="120" w:type="dxa"/>
            </w:tcMar>
          </w:tcPr>
          <w:p>
            <w:pPr>
              <w:spacing w:after="40"/>
            </w:pPr>
            <w:r>
              <w:rPr>
                <w:rFonts w:ascii="Calibri" w:hAnsi="Calibri"/>
                <w:b w:val="0"/>
                <w:sz w:val="19"/>
              </w:rPr>
              <w:t>Hub / nodes</w:t>
            </w:r>
          </w:p>
        </w:tc>
        <w:tc>
          <w:tcPr>
            <w:tcW w:type="dxa" w:w="7272"/>
            <w:vAlign w:val="top"/>
            <w:tcMar>
              <w:top w:w="80" w:type="dxa"/>
              <w:bottom w:w="80" w:type="dxa"/>
              <w:start w:w="120" w:type="dxa"/>
              <w:end w:w="120" w:type="dxa"/>
            </w:tcMar>
          </w:tcPr>
          <w:p>
            <w:pPr>
              <w:spacing w:after="40"/>
            </w:pPr>
            <w:r>
              <w:rPr>
                <w:rFonts w:ascii="Calibri" w:hAnsi="Calibri"/>
                <w:b w:val="0"/>
                <w:sz w:val="19"/>
              </w:rPr>
              <w:t>Sense, authenticate, persist, transport, provide local prompts and report health.</w:t>
            </w:r>
          </w:p>
        </w:tc>
      </w:tr>
      <w:tr>
        <w:tc>
          <w:tcPr>
            <w:tcW w:type="dxa" w:w="2088"/>
            <w:vAlign w:val="top"/>
            <w:tcMar>
              <w:top w:w="80" w:type="dxa"/>
              <w:bottom w:w="80" w:type="dxa"/>
              <w:start w:w="120" w:type="dxa"/>
              <w:end w:w="120" w:type="dxa"/>
            </w:tcMar>
          </w:tcPr>
          <w:p>
            <w:pPr>
              <w:spacing w:after="40"/>
            </w:pPr>
            <w:r>
              <w:rPr>
                <w:rFonts w:ascii="Calibri" w:hAnsi="Calibri"/>
                <w:b w:val="0"/>
                <w:sz w:val="19"/>
              </w:rPr>
              <w:t>Backend / notification provider</w:t>
            </w:r>
          </w:p>
        </w:tc>
        <w:tc>
          <w:tcPr>
            <w:tcW w:type="dxa" w:w="7272"/>
            <w:vAlign w:val="top"/>
            <w:tcMar>
              <w:top w:w="80" w:type="dxa"/>
              <w:bottom w:w="80" w:type="dxa"/>
              <w:start w:w="120" w:type="dxa"/>
              <w:end w:w="120" w:type="dxa"/>
            </w:tcMar>
          </w:tcPr>
          <w:p>
            <w:pPr>
              <w:spacing w:after="40"/>
            </w:pPr>
            <w:r>
              <w:rPr>
                <w:rFonts w:ascii="Calibri" w:hAnsi="Calibri"/>
                <w:b w:val="0"/>
                <w:sz w:val="19"/>
              </w:rPr>
              <w:t>Stores authorised records, computes read models, routes notifications and exposes delivery state.</w:t>
            </w:r>
          </w:p>
        </w:tc>
      </w:tr>
    </w:tbl>
    <w:p>
      <w:pPr>
        <w:spacing w:after="40"/>
      </w:pPr>
    </w:p>
    <w:p>
      <w:pPr>
        <w:pStyle w:val="Heading2"/>
      </w:pPr>
      <w:r>
        <w:t>Assumptions and constraints</w:t>
      </w:r>
    </w:p>
    <w:p>
      <w:pPr>
        <w:pStyle w:val="ListBullet"/>
        <w:spacing w:after="80"/>
      </w:pPr>
      <w:r>
        <w:t>India-first assisted installation; local time zone is configured per household.</w:t>
      </w:r>
    </w:p>
    <w:p>
      <w:pPr>
        <w:pStyle w:val="ListBullet"/>
        <w:spacing w:after="80"/>
      </w:pPr>
      <w:r>
        <w:t>2.4 GHz Wi-Fi is available for hub-to-backend access; node-to-hub transport is encrypted and authenticated.</w:t>
      </w:r>
    </w:p>
    <w:p>
      <w:pPr>
        <w:pStyle w:val="ListBullet"/>
        <w:spacing w:after="80"/>
      </w:pPr>
      <w:r>
        <w:t>The product must remain useful without a camera and without a microphone.</w:t>
      </w:r>
    </w:p>
    <w:p>
      <w:pPr>
        <w:pStyle w:val="ListBullet"/>
        <w:spacing w:after="80"/>
      </w:pPr>
      <w:r>
        <w:t>Physical power, sensor placement, battery/UPS and radio coverage are installation responsibilities covered by separate hardware gates.</w:t>
      </w:r>
    </w:p>
    <w:p>
      <w:pPr>
        <w:pStyle w:val="ListBullet"/>
        <w:spacing w:after="80"/>
      </w:pPr>
      <w:r>
        <w:t>Software must distinguish “no activity observed” from “observation unavailable”.</w:t>
      </w:r>
    </w:p>
    <w:p>
      <w:pPr>
        <w:pStyle w:val="Heading1"/>
      </w:pPr>
      <w:r>
        <w:t>3. System context and software boundaries</w:t>
      </w:r>
    </w:p>
    <w:p>
      <w:r>
        <w:t>The hub is the local state owner for node events, coverage, routine evaluation and resident interaction. The backend is the remote system of record for authorised household data, incidents, notification attempts and caregiver read models. The app is a review-and-command client; it must not invent wellbeing conclusions from missing data.</w:t>
      </w:r>
    </w:p>
    <w:tbl>
      <w:tblPr>
        <w:tblW w:type="dxa" w:w="9360"/>
        <w:jc w:val="left"/>
        <w:tblLayout w:type="fixed"/>
        <w:tblLook w:firstColumn="1" w:firstRow="1" w:lastColumn="0" w:lastRow="0" w:noHBand="0" w:noVBand="1" w:val="04A0"/>
        <w:tblInd w:w="120" w:type="dxa"/>
      </w:tblPr>
      <w:tblGrid>
        <w:gridCol w:w="2088"/>
        <w:gridCol w:w="4608"/>
        <w:gridCol w:w="2664"/>
      </w:tblGrid>
      <w:tr>
        <w:tc>
          <w:tcPr>
            <w:tcW w:type="dxa" w:w="2088"/>
            <w:vAlign w:val="top"/>
            <w:shd w:fill="E8EEF5"/>
            <w:tcMar>
              <w:top w:w="80" w:type="dxa"/>
              <w:bottom w:w="80" w:type="dxa"/>
              <w:start w:w="120" w:type="dxa"/>
              <w:end w:w="120" w:type="dxa"/>
            </w:tcMar>
          </w:tcPr>
          <w:p>
            <w:pPr>
              <w:spacing w:after="40"/>
            </w:pPr>
            <w:r>
              <w:rPr>
                <w:rFonts w:ascii="Calibri" w:hAnsi="Calibri"/>
                <w:b/>
                <w:sz w:val="19"/>
              </w:rPr>
              <w:t>Boundary</w:t>
            </w:r>
          </w:p>
        </w:tc>
        <w:tc>
          <w:tcPr>
            <w:tcW w:type="dxa" w:w="4608"/>
            <w:vAlign w:val="top"/>
            <w:shd w:fill="E8EEF5"/>
            <w:tcMar>
              <w:top w:w="80" w:type="dxa"/>
              <w:bottom w:w="80" w:type="dxa"/>
              <w:start w:w="120" w:type="dxa"/>
              <w:end w:w="120" w:type="dxa"/>
            </w:tcMar>
          </w:tcPr>
          <w:p>
            <w:pPr>
              <w:spacing w:after="40"/>
            </w:pPr>
            <w:r>
              <w:rPr>
                <w:rFonts w:ascii="Calibri" w:hAnsi="Calibri"/>
                <w:b/>
                <w:sz w:val="19"/>
              </w:rPr>
              <w:t>Interface</w:t>
            </w:r>
          </w:p>
        </w:tc>
        <w:tc>
          <w:tcPr>
            <w:tcW w:type="dxa" w:w="2664"/>
            <w:vAlign w:val="top"/>
            <w:shd w:fill="E8EEF5"/>
            <w:tcMar>
              <w:top w:w="80" w:type="dxa"/>
              <w:bottom w:w="80" w:type="dxa"/>
              <w:start w:w="120" w:type="dxa"/>
              <w:end w:w="120" w:type="dxa"/>
            </w:tcMar>
          </w:tcPr>
          <w:p>
            <w:pPr>
              <w:spacing w:after="40"/>
            </w:pPr>
            <w:r>
              <w:rPr>
                <w:rFonts w:ascii="Calibri" w:hAnsi="Calibri"/>
                <w:b/>
                <w:sz w:val="19"/>
              </w:rPr>
              <w:t>Owner / dependency</w:t>
            </w:r>
          </w:p>
        </w:tc>
      </w:tr>
      <w:tr>
        <w:tc>
          <w:tcPr>
            <w:tcW w:type="dxa" w:w="2088"/>
            <w:vAlign w:val="top"/>
            <w:tcMar>
              <w:top w:w="80" w:type="dxa"/>
              <w:bottom w:w="80" w:type="dxa"/>
              <w:start w:w="120" w:type="dxa"/>
              <w:end w:w="120" w:type="dxa"/>
            </w:tcMar>
          </w:tcPr>
          <w:p>
            <w:pPr>
              <w:spacing w:after="40"/>
            </w:pPr>
            <w:r>
              <w:rPr>
                <w:rFonts w:ascii="Calibri" w:hAnsi="Calibri"/>
                <w:b w:val="0"/>
                <w:sz w:val="19"/>
              </w:rPr>
              <w:t>Node → hub</w:t>
            </w:r>
          </w:p>
        </w:tc>
        <w:tc>
          <w:tcPr>
            <w:tcW w:type="dxa" w:w="4608"/>
            <w:vAlign w:val="top"/>
            <w:tcMar>
              <w:top w:w="80" w:type="dxa"/>
              <w:bottom w:w="80" w:type="dxa"/>
              <w:start w:w="120" w:type="dxa"/>
              <w:end w:w="120" w:type="dxa"/>
            </w:tcMar>
          </w:tcPr>
          <w:p>
            <w:pPr>
              <w:spacing w:after="40"/>
            </w:pPr>
            <w:r>
              <w:rPr>
                <w:rFonts w:ascii="Calibri" w:hAnsi="Calibri"/>
                <w:b w:val="0"/>
                <w:sz w:val="19"/>
              </w:rPr>
              <w:t>Authenticated encrypted event envelope; unique source/session/sequence; application ACK</w:t>
            </w:r>
          </w:p>
        </w:tc>
        <w:tc>
          <w:tcPr>
            <w:tcW w:type="dxa" w:w="2664"/>
            <w:vAlign w:val="top"/>
            <w:tcMar>
              <w:top w:w="80" w:type="dxa"/>
              <w:bottom w:w="80" w:type="dxa"/>
              <w:start w:w="120" w:type="dxa"/>
              <w:end w:w="120" w:type="dxa"/>
            </w:tcMar>
          </w:tcPr>
          <w:p>
            <w:pPr>
              <w:spacing w:after="40"/>
            </w:pPr>
            <w:r>
              <w:rPr>
                <w:rFonts w:ascii="Calibri" w:hAnsi="Calibri"/>
                <w:b w:val="0"/>
                <w:sz w:val="19"/>
              </w:rPr>
              <w:t>N02/N05; hub H01/H02</w:t>
            </w:r>
          </w:p>
        </w:tc>
      </w:tr>
      <w:tr>
        <w:tc>
          <w:tcPr>
            <w:tcW w:type="dxa" w:w="2088"/>
            <w:vAlign w:val="top"/>
            <w:tcMar>
              <w:top w:w="80" w:type="dxa"/>
              <w:bottom w:w="80" w:type="dxa"/>
              <w:start w:w="120" w:type="dxa"/>
              <w:end w:w="120" w:type="dxa"/>
            </w:tcMar>
          </w:tcPr>
          <w:p>
            <w:pPr>
              <w:spacing w:after="40"/>
            </w:pPr>
            <w:r>
              <w:rPr>
                <w:rFonts w:ascii="Calibri" w:hAnsi="Calibri"/>
                <w:b w:val="0"/>
                <w:sz w:val="19"/>
              </w:rPr>
              <w:t>Hub → backend</w:t>
            </w:r>
          </w:p>
        </w:tc>
        <w:tc>
          <w:tcPr>
            <w:tcW w:type="dxa" w:w="4608"/>
            <w:vAlign w:val="top"/>
            <w:tcMar>
              <w:top w:w="80" w:type="dxa"/>
              <w:bottom w:w="80" w:type="dxa"/>
              <w:start w:w="120" w:type="dxa"/>
              <w:end w:w="120" w:type="dxa"/>
            </w:tcMar>
          </w:tcPr>
          <w:p>
            <w:pPr>
              <w:spacing w:after="40"/>
            </w:pPr>
            <w:r>
              <w:rPr>
                <w:rFonts w:ascii="Calibri" w:hAnsi="Calibri"/>
                <w:b w:val="0"/>
                <w:sz w:val="19"/>
              </w:rPr>
              <w:t>TLS API/MQTT-style outbox replay; configuration and incident intents</w:t>
            </w:r>
          </w:p>
        </w:tc>
        <w:tc>
          <w:tcPr>
            <w:tcW w:type="dxa" w:w="2664"/>
            <w:vAlign w:val="top"/>
            <w:tcMar>
              <w:top w:w="80" w:type="dxa"/>
              <w:bottom w:w="80" w:type="dxa"/>
              <w:start w:w="120" w:type="dxa"/>
              <w:end w:w="120" w:type="dxa"/>
            </w:tcMar>
          </w:tcPr>
          <w:p>
            <w:pPr>
              <w:spacing w:after="40"/>
            </w:pPr>
            <w:r>
              <w:rPr>
                <w:rFonts w:ascii="Calibri" w:hAnsi="Calibri"/>
                <w:b w:val="0"/>
                <w:sz w:val="19"/>
              </w:rPr>
              <w:t>H08; backend B03/B06</w:t>
            </w:r>
          </w:p>
        </w:tc>
      </w:tr>
      <w:tr>
        <w:tc>
          <w:tcPr>
            <w:tcW w:type="dxa" w:w="2088"/>
            <w:vAlign w:val="top"/>
            <w:tcMar>
              <w:top w:w="80" w:type="dxa"/>
              <w:bottom w:w="80" w:type="dxa"/>
              <w:start w:w="120" w:type="dxa"/>
              <w:end w:w="120" w:type="dxa"/>
            </w:tcMar>
          </w:tcPr>
          <w:p>
            <w:pPr>
              <w:spacing w:after="40"/>
            </w:pPr>
            <w:r>
              <w:rPr>
                <w:rFonts w:ascii="Calibri" w:hAnsi="Calibri"/>
                <w:b w:val="0"/>
                <w:sz w:val="19"/>
              </w:rPr>
              <w:t>Backend → app</w:t>
            </w:r>
          </w:p>
        </w:tc>
        <w:tc>
          <w:tcPr>
            <w:tcW w:type="dxa" w:w="4608"/>
            <w:vAlign w:val="top"/>
            <w:tcMar>
              <w:top w:w="80" w:type="dxa"/>
              <w:bottom w:w="80" w:type="dxa"/>
              <w:start w:w="120" w:type="dxa"/>
              <w:end w:w="120" w:type="dxa"/>
            </w:tcMar>
          </w:tcPr>
          <w:p>
            <w:pPr>
              <w:spacing w:after="40"/>
            </w:pPr>
            <w:r>
              <w:rPr>
                <w:rFonts w:ascii="Calibri" w:hAnsi="Calibri"/>
                <w:b w:val="0"/>
                <w:sz w:val="19"/>
              </w:rPr>
              <w:t>Authenticated REST/JSON API; idempotency keys; freshness metadata</w:t>
            </w:r>
          </w:p>
        </w:tc>
        <w:tc>
          <w:tcPr>
            <w:tcW w:type="dxa" w:w="2664"/>
            <w:vAlign w:val="top"/>
            <w:tcMar>
              <w:top w:w="80" w:type="dxa"/>
              <w:bottom w:w="80" w:type="dxa"/>
              <w:start w:w="120" w:type="dxa"/>
              <w:end w:w="120" w:type="dxa"/>
            </w:tcMar>
          </w:tcPr>
          <w:p>
            <w:pPr>
              <w:spacing w:after="40"/>
            </w:pPr>
            <w:r>
              <w:rPr>
                <w:rFonts w:ascii="Calibri" w:hAnsi="Calibri"/>
                <w:b w:val="0"/>
                <w:sz w:val="19"/>
              </w:rPr>
              <w:t>B07/B08; A05</w:t>
            </w:r>
          </w:p>
        </w:tc>
      </w:tr>
      <w:tr>
        <w:tc>
          <w:tcPr>
            <w:tcW w:type="dxa" w:w="2088"/>
            <w:vAlign w:val="top"/>
            <w:tcMar>
              <w:top w:w="80" w:type="dxa"/>
              <w:bottom w:w="80" w:type="dxa"/>
              <w:start w:w="120" w:type="dxa"/>
              <w:end w:w="120" w:type="dxa"/>
            </w:tcMar>
          </w:tcPr>
          <w:p>
            <w:pPr>
              <w:spacing w:after="40"/>
            </w:pPr>
            <w:r>
              <w:rPr>
                <w:rFonts w:ascii="Calibri" w:hAnsi="Calibri"/>
                <w:b w:val="0"/>
                <w:sz w:val="19"/>
              </w:rPr>
              <w:t>Hub → resident</w:t>
            </w:r>
          </w:p>
        </w:tc>
        <w:tc>
          <w:tcPr>
            <w:tcW w:type="dxa" w:w="4608"/>
            <w:vAlign w:val="top"/>
            <w:tcMar>
              <w:top w:w="80" w:type="dxa"/>
              <w:bottom w:w="80" w:type="dxa"/>
              <w:start w:w="120" w:type="dxa"/>
              <w:end w:w="120" w:type="dxa"/>
            </w:tcMar>
          </w:tcPr>
          <w:p>
            <w:pPr>
              <w:spacing w:after="40"/>
            </w:pPr>
            <w:r>
              <w:rPr>
                <w:rFonts w:ascii="Calibri" w:hAnsi="Calibri"/>
                <w:b w:val="0"/>
                <w:sz w:val="19"/>
              </w:rPr>
              <w:t>Local display/LED/buzzer/buttons; privacy switch</w:t>
            </w:r>
          </w:p>
        </w:tc>
        <w:tc>
          <w:tcPr>
            <w:tcW w:type="dxa" w:w="2664"/>
            <w:vAlign w:val="top"/>
            <w:tcMar>
              <w:top w:w="80" w:type="dxa"/>
              <w:bottom w:w="80" w:type="dxa"/>
              <w:start w:w="120" w:type="dxa"/>
              <w:end w:w="120" w:type="dxa"/>
            </w:tcMar>
          </w:tcPr>
          <w:p>
            <w:pPr>
              <w:spacing w:after="40"/>
            </w:pPr>
            <w:r>
              <w:rPr>
                <w:rFonts w:ascii="Calibri" w:hAnsi="Calibri"/>
                <w:b w:val="0"/>
                <w:sz w:val="19"/>
              </w:rPr>
              <w:t>H06; physical I/O adapter</w:t>
            </w:r>
          </w:p>
        </w:tc>
      </w:tr>
      <w:tr>
        <w:tc>
          <w:tcPr>
            <w:tcW w:type="dxa" w:w="2088"/>
            <w:vAlign w:val="top"/>
            <w:tcMar>
              <w:top w:w="80" w:type="dxa"/>
              <w:bottom w:w="80" w:type="dxa"/>
              <w:start w:w="120" w:type="dxa"/>
              <w:end w:w="120" w:type="dxa"/>
            </w:tcMar>
          </w:tcPr>
          <w:p>
            <w:pPr>
              <w:spacing w:after="40"/>
            </w:pPr>
            <w:r>
              <w:rPr>
                <w:rFonts w:ascii="Calibri" w:hAnsi="Calibri"/>
                <w:b w:val="0"/>
                <w:sz w:val="19"/>
              </w:rPr>
              <w:t>Backend → caregiver</w:t>
            </w:r>
          </w:p>
        </w:tc>
        <w:tc>
          <w:tcPr>
            <w:tcW w:type="dxa" w:w="4608"/>
            <w:vAlign w:val="top"/>
            <w:tcMar>
              <w:top w:w="80" w:type="dxa"/>
              <w:bottom w:w="80" w:type="dxa"/>
              <w:start w:w="120" w:type="dxa"/>
              <w:end w:w="120" w:type="dxa"/>
            </w:tcMar>
          </w:tcPr>
          <w:p>
            <w:pPr>
              <w:spacing w:after="40"/>
            </w:pPr>
            <w:r>
              <w:rPr>
                <w:rFonts w:ascii="Calibri" w:hAnsi="Calibri"/>
                <w:b w:val="0"/>
                <w:sz w:val="19"/>
              </w:rPr>
              <w:t>Push/SMS/voice provider adapter with delivery state</w:t>
            </w:r>
          </w:p>
        </w:tc>
        <w:tc>
          <w:tcPr>
            <w:tcW w:type="dxa" w:w="2664"/>
            <w:vAlign w:val="top"/>
            <w:tcMar>
              <w:top w:w="80" w:type="dxa"/>
              <w:bottom w:w="80" w:type="dxa"/>
              <w:start w:w="120" w:type="dxa"/>
              <w:end w:w="120" w:type="dxa"/>
            </w:tcMar>
          </w:tcPr>
          <w:p>
            <w:pPr>
              <w:spacing w:after="40"/>
            </w:pPr>
            <w:r>
              <w:rPr>
                <w:rFonts w:ascii="Calibri" w:hAnsi="Calibri"/>
                <w:b w:val="0"/>
                <w:sz w:val="19"/>
              </w:rPr>
              <w:t>B05; external provider</w:t>
            </w:r>
          </w:p>
        </w:tc>
      </w:tr>
    </w:tbl>
    <w:p>
      <w:pPr>
        <w:spacing w:after="40"/>
      </w:pPr>
    </w:p>
    <w:p>
      <w:pPr>
        <w:pStyle w:val="Heading1"/>
      </w:pPr>
      <w:r>
        <w:t>4. Functional requirements — household and routine</w:t>
      </w:r>
    </w:p>
    <w:p>
      <w:pPr>
        <w:pStyle w:val="Heading1"/>
      </w:pPr>
      <w:r>
        <w:t>4.1 Household, consent and installation</w:t>
      </w:r>
    </w:p>
    <w:tbl>
      <w:tblPr>
        <w:tblW w:type="dxa" w:w="9360"/>
        <w:jc w:val="left"/>
        <w:tblLayout w:type="fixed"/>
        <w:tblLook w:firstColumn="1" w:firstRow="1" w:lastColumn="0" w:lastRow="0" w:noHBand="0" w:noVBand="1" w:val="04A0"/>
        <w:tblInd w:w="120" w:type="dxa"/>
      </w:tblPr>
      <w:tblGrid>
        <w:gridCol w:w="1036"/>
        <w:gridCol w:w="4968"/>
        <w:gridCol w:w="3355"/>
      </w:tblGrid>
      <w:tr>
        <w:tc>
          <w:tcPr>
            <w:tcW w:type="dxa" w:w="1036"/>
            <w:vAlign w:val="top"/>
            <w:shd w:fill="E8EEF5"/>
            <w:tcMar>
              <w:top w:w="80" w:type="dxa"/>
              <w:bottom w:w="80" w:type="dxa"/>
              <w:start w:w="120" w:type="dxa"/>
              <w:end w:w="120" w:type="dxa"/>
            </w:tcMar>
          </w:tcPr>
          <w:p>
            <w:pPr>
              <w:spacing w:after="40"/>
            </w:pPr>
            <w:r>
              <w:rPr>
                <w:rFonts w:ascii="Calibri" w:hAnsi="Calibri"/>
                <w:b/>
                <w:sz w:val="19"/>
              </w:rPr>
              <w:t>ID</w:t>
            </w:r>
          </w:p>
        </w:tc>
        <w:tc>
          <w:tcPr>
            <w:tcW w:type="dxa" w:w="4968"/>
            <w:vAlign w:val="top"/>
            <w:shd w:fill="E8EEF5"/>
            <w:tcMar>
              <w:top w:w="80" w:type="dxa"/>
              <w:bottom w:w="80" w:type="dxa"/>
              <w:start w:w="120" w:type="dxa"/>
              <w:end w:w="120" w:type="dxa"/>
            </w:tcMar>
          </w:tcPr>
          <w:p>
            <w:pPr>
              <w:spacing w:after="40"/>
            </w:pPr>
            <w:r>
              <w:rPr>
                <w:rFonts w:ascii="Calibri" w:hAnsi="Calibri"/>
                <w:b/>
                <w:sz w:val="19"/>
              </w:rPr>
              <w:t>Software requirement</w:t>
            </w:r>
          </w:p>
        </w:tc>
        <w:tc>
          <w:tcPr>
            <w:tcW w:type="dxa" w:w="3355"/>
            <w:vAlign w:val="top"/>
            <w:shd w:fill="E8EEF5"/>
            <w:tcMar>
              <w:top w:w="80" w:type="dxa"/>
              <w:bottom w:w="80" w:type="dxa"/>
              <w:start w:w="120" w:type="dxa"/>
              <w:end w:w="120" w:type="dxa"/>
            </w:tcMar>
          </w:tcPr>
          <w:p>
            <w:pPr>
              <w:spacing w:after="40"/>
            </w:pPr>
            <w:r>
              <w:rPr>
                <w:rFonts w:ascii="Calibri" w:hAnsi="Calibri"/>
                <w:b/>
                <w:sz w:val="19"/>
              </w:rPr>
              <w:t>Acceptance / verification</w:t>
            </w:r>
          </w:p>
        </w:tc>
      </w:tr>
      <w:tr>
        <w:tc>
          <w:tcPr>
            <w:tcW w:type="dxa" w:w="1036"/>
            <w:vAlign w:val="top"/>
            <w:tcMar>
              <w:top w:w="80" w:type="dxa"/>
              <w:bottom w:w="80" w:type="dxa"/>
              <w:start w:w="120" w:type="dxa"/>
              <w:end w:w="120" w:type="dxa"/>
            </w:tcMar>
          </w:tcPr>
          <w:p>
            <w:pPr>
              <w:spacing w:after="40"/>
            </w:pPr>
            <w:r>
              <w:rPr>
                <w:rFonts w:ascii="Calibri" w:hAnsi="Calibri"/>
                <w:b w:val="0"/>
                <w:sz w:val="19"/>
              </w:rPr>
              <w:t>F01</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create one household profile with display name, IANA time zone, preferred language, one or two resident profiles, a primary caregiver and a distinct backup caregiver.</w:t>
            </w:r>
          </w:p>
        </w:tc>
        <w:tc>
          <w:tcPr>
            <w:tcW w:type="dxa" w:w="3355"/>
            <w:vAlign w:val="top"/>
            <w:tcMar>
              <w:top w:w="80" w:type="dxa"/>
              <w:bottom w:w="80" w:type="dxa"/>
              <w:start w:w="120" w:type="dxa"/>
              <w:end w:w="120" w:type="dxa"/>
            </w:tcMar>
          </w:tcPr>
          <w:p>
            <w:pPr>
              <w:spacing w:after="40"/>
            </w:pPr>
            <w:r>
              <w:rPr>
                <w:rFonts w:ascii="Calibri" w:hAnsi="Calibri"/>
                <w:b w:val="0"/>
                <w:sz w:val="19"/>
              </w:rPr>
              <w:t>Create-home tests reject missing consent, duplicate caregiver roles and cross-house access.</w:t>
            </w:r>
          </w:p>
        </w:tc>
      </w:tr>
      <w:tr>
        <w:tc>
          <w:tcPr>
            <w:tcW w:type="dxa" w:w="1036"/>
            <w:vAlign w:val="top"/>
            <w:tcMar>
              <w:top w:w="80" w:type="dxa"/>
              <w:bottom w:w="80" w:type="dxa"/>
              <w:start w:w="120" w:type="dxa"/>
              <w:end w:w="120" w:type="dxa"/>
            </w:tcMar>
          </w:tcPr>
          <w:p>
            <w:pPr>
              <w:spacing w:after="40"/>
            </w:pPr>
            <w:r>
              <w:rPr>
                <w:rFonts w:ascii="Calibri" w:hAnsi="Calibri"/>
                <w:b w:val="0"/>
                <w:sz w:val="19"/>
              </w:rPr>
              <w:t>F02</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present the signals collected, purpose, recipients, limitations and retention in the configured language; record consent version, method, time and actor; and honour withdrawal.</w:t>
            </w:r>
          </w:p>
        </w:tc>
        <w:tc>
          <w:tcPr>
            <w:tcW w:type="dxa" w:w="3355"/>
            <w:vAlign w:val="top"/>
            <w:tcMar>
              <w:top w:w="80" w:type="dxa"/>
              <w:bottom w:w="80" w:type="dxa"/>
              <w:start w:w="120" w:type="dxa"/>
              <w:end w:w="120" w:type="dxa"/>
            </w:tcMar>
          </w:tcPr>
          <w:p>
            <w:pPr>
              <w:spacing w:after="40"/>
            </w:pPr>
            <w:r>
              <w:rPr>
                <w:rFonts w:ascii="Calibri" w:hAnsi="Calibri"/>
                <w:b w:val="0"/>
                <w:sz w:val="19"/>
              </w:rPr>
              <w:t>Withdrawal places the household in privacy mode, stops configured observation and records an auditable state change.</w:t>
            </w:r>
          </w:p>
        </w:tc>
      </w:tr>
      <w:tr>
        <w:tc>
          <w:tcPr>
            <w:tcW w:type="dxa" w:w="1036"/>
            <w:vAlign w:val="top"/>
            <w:tcMar>
              <w:top w:w="80" w:type="dxa"/>
              <w:bottom w:w="80" w:type="dxa"/>
              <w:start w:w="120" w:type="dxa"/>
              <w:end w:w="120" w:type="dxa"/>
            </w:tcMar>
          </w:tcPr>
          <w:p>
            <w:pPr>
              <w:spacing w:after="40"/>
            </w:pPr>
            <w:r>
              <w:rPr>
                <w:rFonts w:ascii="Calibri" w:hAnsi="Calibri"/>
                <w:b w:val="0"/>
                <w:sz w:val="19"/>
              </w:rPr>
              <w:t>F03</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provision/bind the hub and nodes, validate firmware/board/capabilities, verify placement and radio coverage, and run a caregiver delivery drill before unattended use.</w:t>
            </w:r>
          </w:p>
        </w:tc>
        <w:tc>
          <w:tcPr>
            <w:tcW w:type="dxa" w:w="3355"/>
            <w:vAlign w:val="top"/>
            <w:tcMar>
              <w:top w:w="80" w:type="dxa"/>
              <w:bottom w:w="80" w:type="dxa"/>
              <w:start w:w="120" w:type="dxa"/>
              <w:end w:w="120" w:type="dxa"/>
            </w:tcMar>
          </w:tcPr>
          <w:p>
            <w:pPr>
              <w:spacing w:after="40"/>
            </w:pPr>
            <w:r>
              <w:rPr>
                <w:rFonts w:ascii="Calibri" w:hAnsi="Calibri"/>
                <w:b w:val="0"/>
                <w:sz w:val="19"/>
              </w:rPr>
              <w:t>Installation gate enumerates every missing node, button, privacy, coverage and notification check.</w:t>
            </w:r>
          </w:p>
        </w:tc>
      </w:tr>
      <w:tr>
        <w:tc>
          <w:tcPr>
            <w:tcW w:type="dxa" w:w="1036"/>
            <w:vAlign w:val="top"/>
            <w:tcMar>
              <w:top w:w="80" w:type="dxa"/>
              <w:bottom w:w="80" w:type="dxa"/>
              <w:start w:w="120" w:type="dxa"/>
              <w:end w:w="120" w:type="dxa"/>
            </w:tcMar>
          </w:tcPr>
          <w:p>
            <w:pPr>
              <w:spacing w:after="40"/>
            </w:pPr>
            <w:r>
              <w:rPr>
                <w:rFonts w:ascii="Calibri" w:hAnsi="Calibri"/>
                <w:b w:val="0"/>
                <w:sz w:val="19"/>
              </w:rPr>
              <w:t>F04</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support one daily morning routine with start, deadline, grace interval, qualifying locations and active mode. Configuration shall be versioned and applied only after validation.</w:t>
            </w:r>
          </w:p>
        </w:tc>
        <w:tc>
          <w:tcPr>
            <w:tcW w:type="dxa" w:w="3355"/>
            <w:vAlign w:val="top"/>
            <w:tcMar>
              <w:top w:w="80" w:type="dxa"/>
              <w:bottom w:w="80" w:type="dxa"/>
              <w:start w:w="120" w:type="dxa"/>
              <w:end w:w="120" w:type="dxa"/>
            </w:tcMar>
          </w:tcPr>
          <w:p>
            <w:pPr>
              <w:spacing w:after="40"/>
            </w:pPr>
            <w:r>
              <w:rPr>
                <w:rFonts w:ascii="Calibri" w:hAnsi="Calibri"/>
                <w:b w:val="0"/>
                <w:sz w:val="19"/>
              </w:rPr>
              <w:t>Old versions are rejected; applied version and validation errors are visible.</w:t>
            </w:r>
          </w:p>
        </w:tc>
      </w:tr>
      <w:tr>
        <w:tc>
          <w:tcPr>
            <w:tcW w:type="dxa" w:w="1036"/>
            <w:vAlign w:val="top"/>
            <w:tcMar>
              <w:top w:w="80" w:type="dxa"/>
              <w:bottom w:w="80" w:type="dxa"/>
              <w:start w:w="120" w:type="dxa"/>
              <w:end w:w="120" w:type="dxa"/>
            </w:tcMar>
          </w:tcPr>
          <w:p>
            <w:pPr>
              <w:spacing w:after="40"/>
            </w:pPr>
            <w:r>
              <w:rPr>
                <w:rFonts w:ascii="Calibri" w:hAnsi="Calibri"/>
                <w:b w:val="0"/>
                <w:sz w:val="19"/>
              </w:rPr>
              <w:t>F05</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accept qualifying movement from eligible configured sensors, record first and latest observation, and avoid converting absence of evidence into a wellbeing claim.</w:t>
            </w:r>
          </w:p>
        </w:tc>
        <w:tc>
          <w:tcPr>
            <w:tcW w:type="dxa" w:w="3355"/>
            <w:vAlign w:val="top"/>
            <w:tcMar>
              <w:top w:w="80" w:type="dxa"/>
              <w:bottom w:w="80" w:type="dxa"/>
              <w:start w:w="120" w:type="dxa"/>
              <w:end w:w="120" w:type="dxa"/>
            </w:tcMar>
          </w:tcPr>
          <w:p>
            <w:pPr>
              <w:spacing w:after="40"/>
            </w:pPr>
            <w:r>
              <w:rPr>
                <w:rFonts w:ascii="Calibri" w:hAnsi="Calibri"/>
                <w:b w:val="0"/>
                <w:sz w:val="19"/>
              </w:rPr>
              <w:t>Evidence view shows activity, age and coverage separately; duplicate events do not duplicate evidence.</w:t>
            </w:r>
          </w:p>
        </w:tc>
      </w:tr>
    </w:tbl>
    <w:p>
      <w:pPr>
        <w:spacing w:after="40"/>
      </w:pPr>
    </w:p>
    <w:p>
      <w:pPr>
        <w:pStyle w:val="Heading1"/>
      </w:pPr>
      <w:r>
        <w:t>4.2 Resident actions and exception workflows</w:t>
      </w:r>
    </w:p>
    <w:p>
      <w:pPr>
        <w:pStyle w:val="Heading1"/>
      </w:pPr>
      <w:r>
        <w:t>4.2 Resident actions and exception workflows</w:t>
      </w:r>
    </w:p>
    <w:tbl>
      <w:tblPr>
        <w:tblW w:type="dxa" w:w="9360"/>
        <w:jc w:val="left"/>
        <w:tblLayout w:type="fixed"/>
        <w:tblLook w:firstColumn="1" w:firstRow="1" w:lastColumn="0" w:lastRow="0" w:noHBand="0" w:noVBand="1" w:val="04A0"/>
        <w:tblInd w:w="120" w:type="dxa"/>
      </w:tblPr>
      <w:tblGrid>
        <w:gridCol w:w="1036"/>
        <w:gridCol w:w="4968"/>
        <w:gridCol w:w="3355"/>
      </w:tblGrid>
      <w:tr>
        <w:tc>
          <w:tcPr>
            <w:tcW w:type="dxa" w:w="1036"/>
            <w:vAlign w:val="top"/>
            <w:shd w:fill="E8EEF5"/>
            <w:tcMar>
              <w:top w:w="80" w:type="dxa"/>
              <w:bottom w:w="80" w:type="dxa"/>
              <w:start w:w="120" w:type="dxa"/>
              <w:end w:w="120" w:type="dxa"/>
            </w:tcMar>
          </w:tcPr>
          <w:p>
            <w:pPr>
              <w:spacing w:after="40"/>
            </w:pPr>
            <w:r>
              <w:rPr>
                <w:rFonts w:ascii="Calibri" w:hAnsi="Calibri"/>
                <w:b/>
                <w:sz w:val="19"/>
              </w:rPr>
              <w:t>ID</w:t>
            </w:r>
          </w:p>
        </w:tc>
        <w:tc>
          <w:tcPr>
            <w:tcW w:type="dxa" w:w="4968"/>
            <w:vAlign w:val="top"/>
            <w:shd w:fill="E8EEF5"/>
            <w:tcMar>
              <w:top w:w="80" w:type="dxa"/>
              <w:bottom w:w="80" w:type="dxa"/>
              <w:start w:w="120" w:type="dxa"/>
              <w:end w:w="120" w:type="dxa"/>
            </w:tcMar>
          </w:tcPr>
          <w:p>
            <w:pPr>
              <w:spacing w:after="40"/>
            </w:pPr>
            <w:r>
              <w:rPr>
                <w:rFonts w:ascii="Calibri" w:hAnsi="Calibri"/>
                <w:b/>
                <w:sz w:val="19"/>
              </w:rPr>
              <w:t>Software requirement</w:t>
            </w:r>
          </w:p>
        </w:tc>
        <w:tc>
          <w:tcPr>
            <w:tcW w:type="dxa" w:w="3355"/>
            <w:vAlign w:val="top"/>
            <w:shd w:fill="E8EEF5"/>
            <w:tcMar>
              <w:top w:w="80" w:type="dxa"/>
              <w:bottom w:w="80" w:type="dxa"/>
              <w:start w:w="120" w:type="dxa"/>
              <w:end w:w="120" w:type="dxa"/>
            </w:tcMar>
          </w:tcPr>
          <w:p>
            <w:pPr>
              <w:spacing w:after="40"/>
            </w:pPr>
            <w:r>
              <w:rPr>
                <w:rFonts w:ascii="Calibri" w:hAnsi="Calibri"/>
                <w:b/>
                <w:sz w:val="19"/>
              </w:rPr>
              <w:t>Acceptance / verification</w:t>
            </w:r>
          </w:p>
        </w:tc>
      </w:tr>
      <w:tr>
        <w:tc>
          <w:tcPr>
            <w:tcW w:type="dxa" w:w="1036"/>
            <w:vAlign w:val="top"/>
            <w:tcMar>
              <w:top w:w="80" w:type="dxa"/>
              <w:bottom w:w="80" w:type="dxa"/>
              <w:start w:w="120" w:type="dxa"/>
              <w:end w:w="120" w:type="dxa"/>
            </w:tcMar>
          </w:tcPr>
          <w:p>
            <w:pPr>
              <w:spacing w:after="40"/>
            </w:pPr>
            <w:r>
              <w:rPr>
                <w:rFonts w:ascii="Calibri" w:hAnsi="Calibri"/>
                <w:b w:val="0"/>
                <w:sz w:val="19"/>
              </w:rPr>
              <w:t>F06</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provide a distinct large “I’m OK” action, confirm it locally within 500 ms, persist a separate self-check-in event and notify the caregiver view.</w:t>
            </w:r>
          </w:p>
        </w:tc>
        <w:tc>
          <w:tcPr>
            <w:tcW w:type="dxa" w:w="3355"/>
            <w:vAlign w:val="top"/>
            <w:tcMar>
              <w:top w:w="80" w:type="dxa"/>
              <w:bottom w:w="80" w:type="dxa"/>
              <w:start w:w="120" w:type="dxa"/>
              <w:end w:w="120" w:type="dxa"/>
            </w:tcMar>
          </w:tcPr>
          <w:p>
            <w:pPr>
              <w:spacing w:after="40"/>
            </w:pPr>
            <w:r>
              <w:rPr>
                <w:rFonts w:ascii="Calibri" w:hAnsi="Calibri"/>
                <w:b w:val="0"/>
                <w:sz w:val="19"/>
              </w:rPr>
              <w:t>A valid press is durable and independently visible from motion evidence.</w:t>
            </w:r>
          </w:p>
        </w:tc>
      </w:tr>
      <w:tr>
        <w:tc>
          <w:tcPr>
            <w:tcW w:type="dxa" w:w="1036"/>
            <w:vAlign w:val="top"/>
            <w:tcMar>
              <w:top w:w="80" w:type="dxa"/>
              <w:bottom w:w="80" w:type="dxa"/>
              <w:start w:w="120" w:type="dxa"/>
              <w:end w:w="120" w:type="dxa"/>
            </w:tcMar>
          </w:tcPr>
          <w:p>
            <w:pPr>
              <w:spacing w:after="40"/>
            </w:pPr>
            <w:r>
              <w:rPr>
                <w:rFonts w:ascii="Calibri" w:hAnsi="Calibri"/>
                <w:b w:val="0"/>
                <w:sz w:val="19"/>
              </w:rPr>
              <w:t>F07</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provide a distinct “Call family” action that creates a high-priority incident independent of routine windows and modes, with local confirmation and idempotency.</w:t>
            </w:r>
          </w:p>
        </w:tc>
        <w:tc>
          <w:tcPr>
            <w:tcW w:type="dxa" w:w="3355"/>
            <w:vAlign w:val="top"/>
            <w:tcMar>
              <w:top w:w="80" w:type="dxa"/>
              <w:bottom w:w="80" w:type="dxa"/>
              <w:start w:w="120" w:type="dxa"/>
              <w:end w:w="120" w:type="dxa"/>
            </w:tcMar>
          </w:tcPr>
          <w:p>
            <w:pPr>
              <w:spacing w:after="40"/>
            </w:pPr>
            <w:r>
              <w:rPr>
                <w:rFonts w:ascii="Calibri" w:hAnsi="Calibri"/>
                <w:b w:val="0"/>
                <w:sz w:val="19"/>
              </w:rPr>
              <w:t>One press creates at most one open incident for the same idempotency key.</w:t>
            </w:r>
          </w:p>
        </w:tc>
      </w:tr>
      <w:tr>
        <w:tc>
          <w:tcPr>
            <w:tcW w:type="dxa" w:w="1036"/>
            <w:vAlign w:val="top"/>
            <w:tcMar>
              <w:top w:w="80" w:type="dxa"/>
              <w:bottom w:w="80" w:type="dxa"/>
              <w:start w:w="120" w:type="dxa"/>
              <w:end w:w="120" w:type="dxa"/>
            </w:tcMar>
          </w:tcPr>
          <w:p>
            <w:pPr>
              <w:spacing w:after="40"/>
            </w:pPr>
            <w:r>
              <w:rPr>
                <w:rFonts w:ascii="Calibri" w:hAnsi="Calibri"/>
                <w:b w:val="0"/>
                <w:sz w:val="19"/>
              </w:rPr>
              <w:t>F08</w:t>
            </w:r>
          </w:p>
        </w:tc>
        <w:tc>
          <w:tcPr>
            <w:tcW w:type="dxa" w:w="4968"/>
            <w:vAlign w:val="top"/>
            <w:tcMar>
              <w:top w:w="80" w:type="dxa"/>
              <w:bottom w:w="80" w:type="dxa"/>
              <w:start w:w="120" w:type="dxa"/>
              <w:end w:w="120" w:type="dxa"/>
            </w:tcMar>
          </w:tcPr>
          <w:p>
            <w:pPr>
              <w:spacing w:after="40"/>
            </w:pPr>
            <w:r>
              <w:rPr>
                <w:rFonts w:ascii="Calibri" w:hAnsi="Calibri"/>
                <w:b w:val="0"/>
                <w:sz w:val="19"/>
              </w:rPr>
              <w:t>At the routine deadline, the hub shall distinguish covered absence from unknown observation. For trusted time and eligible coverage, it shall create one missing-activity intent; otherwise it shall create a coverage/service issue without claiming resident risk.</w:t>
            </w:r>
          </w:p>
        </w:tc>
        <w:tc>
          <w:tcPr>
            <w:tcW w:type="dxa" w:w="3355"/>
            <w:vAlign w:val="top"/>
            <w:tcMar>
              <w:top w:w="80" w:type="dxa"/>
              <w:bottom w:w="80" w:type="dxa"/>
              <w:start w:w="120" w:type="dxa"/>
              <w:end w:w="120" w:type="dxa"/>
            </w:tcMar>
          </w:tcPr>
          <w:p>
            <w:pPr>
              <w:spacing w:after="40"/>
            </w:pPr>
            <w:r>
              <w:rPr>
                <w:rFonts w:ascii="Calibri" w:hAnsi="Calibri"/>
                <w:b w:val="0"/>
                <w:sz w:val="19"/>
              </w:rPr>
              <w:t>Boundary tests cover time uncertainty, node lease gaps, privacy mode, hub offline and duplicate deadlines.</w:t>
            </w:r>
          </w:p>
        </w:tc>
      </w:tr>
      <w:tr>
        <w:tc>
          <w:tcPr>
            <w:tcW w:type="dxa" w:w="1036"/>
            <w:vAlign w:val="top"/>
            <w:tcMar>
              <w:top w:w="80" w:type="dxa"/>
              <w:bottom w:w="80" w:type="dxa"/>
              <w:start w:w="120" w:type="dxa"/>
              <w:end w:w="120" w:type="dxa"/>
            </w:tcMar>
          </w:tcPr>
          <w:p>
            <w:pPr>
              <w:spacing w:after="40"/>
            </w:pPr>
            <w:r>
              <w:rPr>
                <w:rFonts w:ascii="Calibri" w:hAnsi="Calibri"/>
                <w:b w:val="0"/>
                <w:sz w:val="19"/>
              </w:rPr>
              <w:t>F09</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record configured main-door open/close edges and known state; optional quiet-hour notices shall be opt-in, local-time bounded and explanatory.</w:t>
            </w:r>
          </w:p>
        </w:tc>
        <w:tc>
          <w:tcPr>
            <w:tcW w:type="dxa" w:w="3355"/>
            <w:vAlign w:val="top"/>
            <w:tcMar>
              <w:top w:w="80" w:type="dxa"/>
              <w:bottom w:w="80" w:type="dxa"/>
              <w:start w:w="120" w:type="dxa"/>
              <w:end w:w="120" w:type="dxa"/>
            </w:tcMar>
          </w:tcPr>
          <w:p>
            <w:pPr>
              <w:spacing w:after="40"/>
            </w:pPr>
            <w:r>
              <w:rPr>
                <w:rFonts w:ascii="Calibri" w:hAnsi="Calibri"/>
                <w:b w:val="0"/>
                <w:sz w:val="19"/>
              </w:rPr>
              <w:t>Door history is separate from routine evidence; notices are idempotent and suppressible.</w:t>
            </w:r>
          </w:p>
        </w:tc>
      </w:tr>
      <w:tr>
        <w:tc>
          <w:tcPr>
            <w:tcW w:type="dxa" w:w="1036"/>
            <w:vAlign w:val="top"/>
            <w:tcMar>
              <w:top w:w="80" w:type="dxa"/>
              <w:bottom w:w="80" w:type="dxa"/>
              <w:start w:w="120" w:type="dxa"/>
              <w:end w:w="120" w:type="dxa"/>
            </w:tcMar>
          </w:tcPr>
          <w:p>
            <w:pPr>
              <w:spacing w:after="40"/>
            </w:pPr>
            <w:r>
              <w:rPr>
                <w:rFonts w:ascii="Calibri" w:hAnsi="Calibri"/>
                <w:b w:val="0"/>
                <w:sz w:val="19"/>
              </w:rPr>
              <w:t>F10</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support HOME/ACTIVE, AWAY, PAUSED, VISITOR and PRIVACY states with actor, reason, effective time and version.</w:t>
            </w:r>
          </w:p>
        </w:tc>
        <w:tc>
          <w:tcPr>
            <w:tcW w:type="dxa" w:w="3355"/>
            <w:vAlign w:val="top"/>
            <w:tcMar>
              <w:top w:w="80" w:type="dxa"/>
              <w:bottom w:w="80" w:type="dxa"/>
              <w:start w:w="120" w:type="dxa"/>
              <w:end w:w="120" w:type="dxa"/>
            </w:tcMar>
          </w:tcPr>
          <w:p>
            <w:pPr>
              <w:spacing w:after="40"/>
            </w:pPr>
            <w:r>
              <w:rPr>
                <w:rFonts w:ascii="Calibri" w:hAnsi="Calibri"/>
                <w:b w:val="0"/>
                <w:sz w:val="19"/>
              </w:rPr>
              <w:t>AWAY/PAUSED suppress routine absence; PRIVACY suppresses passive observation and is visible to caregivers.</w:t>
            </w:r>
          </w:p>
        </w:tc>
      </w:tr>
    </w:tbl>
    <w:p>
      <w:pPr>
        <w:spacing w:after="40"/>
      </w:pPr>
    </w:p>
    <w:p>
      <w:pPr>
        <w:pStyle w:val="Heading1"/>
      </w:pPr>
      <w:r>
        <w:t>4.3 Caregiver experience and routing</w:t>
      </w:r>
    </w:p>
    <w:p>
      <w:pPr>
        <w:pStyle w:val="Heading1"/>
      </w:pPr>
      <w:r>
        <w:t>4.3 Caregiver experience and routing</w:t>
      </w:r>
    </w:p>
    <w:tbl>
      <w:tblPr>
        <w:tblW w:type="dxa" w:w="9360"/>
        <w:jc w:val="left"/>
        <w:tblLayout w:type="fixed"/>
        <w:tblLook w:firstColumn="1" w:firstRow="1" w:lastColumn="0" w:lastRow="0" w:noHBand="0" w:noVBand="1" w:val="04A0"/>
        <w:tblInd w:w="120" w:type="dxa"/>
      </w:tblPr>
      <w:tblGrid>
        <w:gridCol w:w="1036"/>
        <w:gridCol w:w="4968"/>
        <w:gridCol w:w="3355"/>
      </w:tblGrid>
      <w:tr>
        <w:tc>
          <w:tcPr>
            <w:tcW w:type="dxa" w:w="1036"/>
            <w:vAlign w:val="top"/>
            <w:shd w:fill="E8EEF5"/>
            <w:tcMar>
              <w:top w:w="80" w:type="dxa"/>
              <w:bottom w:w="80" w:type="dxa"/>
              <w:start w:w="120" w:type="dxa"/>
              <w:end w:w="120" w:type="dxa"/>
            </w:tcMar>
          </w:tcPr>
          <w:p>
            <w:pPr>
              <w:spacing w:after="40"/>
            </w:pPr>
            <w:r>
              <w:rPr>
                <w:rFonts w:ascii="Calibri" w:hAnsi="Calibri"/>
                <w:b/>
                <w:sz w:val="19"/>
              </w:rPr>
              <w:t>ID</w:t>
            </w:r>
          </w:p>
        </w:tc>
        <w:tc>
          <w:tcPr>
            <w:tcW w:type="dxa" w:w="4968"/>
            <w:vAlign w:val="top"/>
            <w:shd w:fill="E8EEF5"/>
            <w:tcMar>
              <w:top w:w="80" w:type="dxa"/>
              <w:bottom w:w="80" w:type="dxa"/>
              <w:start w:w="120" w:type="dxa"/>
              <w:end w:w="120" w:type="dxa"/>
            </w:tcMar>
          </w:tcPr>
          <w:p>
            <w:pPr>
              <w:spacing w:after="40"/>
            </w:pPr>
            <w:r>
              <w:rPr>
                <w:rFonts w:ascii="Calibri" w:hAnsi="Calibri"/>
                <w:b/>
                <w:sz w:val="19"/>
              </w:rPr>
              <w:t>Software requirement</w:t>
            </w:r>
          </w:p>
        </w:tc>
        <w:tc>
          <w:tcPr>
            <w:tcW w:type="dxa" w:w="3355"/>
            <w:vAlign w:val="top"/>
            <w:shd w:fill="E8EEF5"/>
            <w:tcMar>
              <w:top w:w="80" w:type="dxa"/>
              <w:bottom w:w="80" w:type="dxa"/>
              <w:start w:w="120" w:type="dxa"/>
              <w:end w:w="120" w:type="dxa"/>
            </w:tcMar>
          </w:tcPr>
          <w:p>
            <w:pPr>
              <w:spacing w:after="40"/>
            </w:pPr>
            <w:r>
              <w:rPr>
                <w:rFonts w:ascii="Calibri" w:hAnsi="Calibri"/>
                <w:b/>
                <w:sz w:val="19"/>
              </w:rPr>
              <w:t>Acceptance / verification</w:t>
            </w:r>
          </w:p>
        </w:tc>
      </w:tr>
      <w:tr>
        <w:tc>
          <w:tcPr>
            <w:tcW w:type="dxa" w:w="1036"/>
            <w:vAlign w:val="top"/>
            <w:tcMar>
              <w:top w:w="80" w:type="dxa"/>
              <w:bottom w:w="80" w:type="dxa"/>
              <w:start w:w="120" w:type="dxa"/>
              <w:end w:w="120" w:type="dxa"/>
            </w:tcMar>
          </w:tcPr>
          <w:p>
            <w:pPr>
              <w:spacing w:after="40"/>
            </w:pPr>
            <w:r>
              <w:rPr>
                <w:rFonts w:ascii="Calibri" w:hAnsi="Calibri"/>
                <w:b w:val="0"/>
                <w:sz w:val="19"/>
              </w:rPr>
              <w:t>F11</w:t>
            </w:r>
          </w:p>
        </w:tc>
        <w:tc>
          <w:tcPr>
            <w:tcW w:type="dxa" w:w="4968"/>
            <w:vAlign w:val="top"/>
            <w:tcMar>
              <w:top w:w="80" w:type="dxa"/>
              <w:bottom w:w="80" w:type="dxa"/>
              <w:start w:w="120" w:type="dxa"/>
              <w:end w:w="120" w:type="dxa"/>
            </w:tcMar>
          </w:tcPr>
          <w:p>
            <w:pPr>
              <w:spacing w:after="40"/>
            </w:pPr>
            <w:r>
              <w:rPr>
                <w:rFonts w:ascii="Calibri" w:hAnsi="Calibri"/>
                <w:b w:val="0"/>
                <w:sz w:val="19"/>
              </w:rPr>
              <w:t>The caregiver home shall show last activity, last self-check-in, observation/system coverage and open incidents as separate areas with local time and data age.</w:t>
            </w:r>
          </w:p>
        </w:tc>
        <w:tc>
          <w:tcPr>
            <w:tcW w:type="dxa" w:w="3355"/>
            <w:vAlign w:val="top"/>
            <w:tcMar>
              <w:top w:w="80" w:type="dxa"/>
              <w:bottom w:w="80" w:type="dxa"/>
              <w:start w:w="120" w:type="dxa"/>
              <w:end w:w="120" w:type="dxa"/>
            </w:tcMar>
          </w:tcPr>
          <w:p>
            <w:pPr>
              <w:spacing w:after="40"/>
            </w:pPr>
            <w:r>
              <w:rPr>
                <w:rFonts w:ascii="Calibri" w:hAnsi="Calibri"/>
                <w:b w:val="0"/>
                <w:sz w:val="19"/>
              </w:rPr>
              <w:t>Unavailable data is labelled unavailable/stale, never shown as positive wellbeing.</w:t>
            </w:r>
          </w:p>
        </w:tc>
      </w:tr>
      <w:tr>
        <w:tc>
          <w:tcPr>
            <w:tcW w:type="dxa" w:w="1036"/>
            <w:vAlign w:val="top"/>
            <w:tcMar>
              <w:top w:w="80" w:type="dxa"/>
              <w:bottom w:w="80" w:type="dxa"/>
              <w:start w:w="120" w:type="dxa"/>
              <w:end w:w="120" w:type="dxa"/>
            </w:tcMar>
          </w:tcPr>
          <w:p>
            <w:pPr>
              <w:spacing w:after="40"/>
            </w:pPr>
            <w:r>
              <w:rPr>
                <w:rFonts w:ascii="Calibri" w:hAnsi="Calibri"/>
                <w:b w:val="0"/>
                <w:sz w:val="19"/>
              </w:rPr>
              <w:t>F12</w:t>
            </w:r>
          </w:p>
        </w:tc>
        <w:tc>
          <w:tcPr>
            <w:tcW w:type="dxa" w:w="4968"/>
            <w:vAlign w:val="top"/>
            <w:tcMar>
              <w:top w:w="80" w:type="dxa"/>
              <w:bottom w:w="80" w:type="dxa"/>
              <w:start w:w="120" w:type="dxa"/>
              <w:end w:w="120" w:type="dxa"/>
            </w:tcMar>
          </w:tcPr>
          <w:p>
            <w:pPr>
              <w:spacing w:after="40"/>
            </w:pPr>
            <w:r>
              <w:rPr>
                <w:rFonts w:ascii="Calibri" w:hAnsi="Calibri"/>
                <w:b w:val="0"/>
                <w:sz w:val="19"/>
              </w:rPr>
              <w:t>A caregiver shall be able to claim, acknowledge, resolve, mark unable to reach and ask the backup caregiver; actions shall record actor and time and use a lease to prevent conflicting ownership.</w:t>
            </w:r>
          </w:p>
        </w:tc>
        <w:tc>
          <w:tcPr>
            <w:tcW w:type="dxa" w:w="3355"/>
            <w:vAlign w:val="top"/>
            <w:tcMar>
              <w:top w:w="80" w:type="dxa"/>
              <w:bottom w:w="80" w:type="dxa"/>
              <w:start w:w="120" w:type="dxa"/>
              <w:end w:w="120" w:type="dxa"/>
            </w:tcMar>
          </w:tcPr>
          <w:p>
            <w:pPr>
              <w:spacing w:after="40"/>
            </w:pPr>
            <w:r>
              <w:rPr>
                <w:rFonts w:ascii="Calibri" w:hAnsi="Calibri"/>
                <w:b w:val="0"/>
                <w:sz w:val="19"/>
              </w:rPr>
              <w:t>Concurrent caregiver tests permit one active owner and preserve the audit trail.</w:t>
            </w:r>
          </w:p>
        </w:tc>
      </w:tr>
      <w:tr>
        <w:tc>
          <w:tcPr>
            <w:tcW w:type="dxa" w:w="1036"/>
            <w:vAlign w:val="top"/>
            <w:tcMar>
              <w:top w:w="80" w:type="dxa"/>
              <w:bottom w:w="80" w:type="dxa"/>
              <w:start w:w="120" w:type="dxa"/>
              <w:end w:w="120" w:type="dxa"/>
            </w:tcMar>
          </w:tcPr>
          <w:p>
            <w:pPr>
              <w:spacing w:after="40"/>
            </w:pPr>
            <w:r>
              <w:rPr>
                <w:rFonts w:ascii="Calibri" w:hAnsi="Calibri"/>
                <w:b w:val="0"/>
                <w:sz w:val="19"/>
              </w:rPr>
              <w:t>F13</w:t>
            </w:r>
          </w:p>
        </w:tc>
        <w:tc>
          <w:tcPr>
            <w:tcW w:type="dxa" w:w="4968"/>
            <w:vAlign w:val="top"/>
            <w:tcMar>
              <w:top w:w="80" w:type="dxa"/>
              <w:bottom w:w="80" w:type="dxa"/>
              <w:start w:w="120" w:type="dxa"/>
              <w:end w:w="120" w:type="dxa"/>
            </w:tcMar>
          </w:tcPr>
          <w:p>
            <w:pPr>
              <w:spacing w:after="40"/>
            </w:pPr>
            <w:r>
              <w:rPr>
                <w:rFonts w:ascii="Calibri" w:hAnsi="Calibri"/>
                <w:b w:val="0"/>
                <w:sz w:val="19"/>
              </w:rPr>
              <w:t>A new request shall route to the primary first and to the consenting backup after a configurable default of five minutes without human acknowledgement. Delivery attempts and failures shall be visible.</w:t>
            </w:r>
          </w:p>
        </w:tc>
        <w:tc>
          <w:tcPr>
            <w:tcW w:type="dxa" w:w="3355"/>
            <w:vAlign w:val="top"/>
            <w:tcMar>
              <w:top w:w="80" w:type="dxa"/>
              <w:bottom w:w="80" w:type="dxa"/>
              <w:start w:w="120" w:type="dxa"/>
              <w:end w:w="120" w:type="dxa"/>
            </w:tcMar>
          </w:tcPr>
          <w:p>
            <w:pPr>
              <w:spacing w:after="40"/>
            </w:pPr>
            <w:r>
              <w:rPr>
                <w:rFonts w:ascii="Calibri" w:hAnsi="Calibri"/>
                <w:b w:val="0"/>
                <w:sz w:val="19"/>
              </w:rPr>
              <w:t>Provider failure does not silently mark a request delivered; fallback state is explicit.</w:t>
            </w:r>
          </w:p>
        </w:tc>
      </w:tr>
      <w:tr>
        <w:tc>
          <w:tcPr>
            <w:tcW w:type="dxa" w:w="1036"/>
            <w:vAlign w:val="top"/>
            <w:tcMar>
              <w:top w:w="80" w:type="dxa"/>
              <w:bottom w:w="80" w:type="dxa"/>
              <w:start w:w="120" w:type="dxa"/>
              <w:end w:w="120" w:type="dxa"/>
            </w:tcMar>
          </w:tcPr>
          <w:p>
            <w:pPr>
              <w:spacing w:after="40"/>
            </w:pPr>
            <w:r>
              <w:rPr>
                <w:rFonts w:ascii="Calibri" w:hAnsi="Calibri"/>
                <w:b w:val="0"/>
                <w:sz w:val="19"/>
              </w:rPr>
              <w:t>F14</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support an opt-in single daily morning summary after the routine grace period, containing activity, check-in, coverage limits, modes and unresolved incidents.</w:t>
            </w:r>
          </w:p>
        </w:tc>
        <w:tc>
          <w:tcPr>
            <w:tcW w:type="dxa" w:w="3355"/>
            <w:vAlign w:val="top"/>
            <w:tcMar>
              <w:top w:w="80" w:type="dxa"/>
              <w:bottom w:w="80" w:type="dxa"/>
              <w:start w:w="120" w:type="dxa"/>
              <w:end w:w="120" w:type="dxa"/>
            </w:tcMar>
          </w:tcPr>
          <w:p>
            <w:pPr>
              <w:spacing w:after="40"/>
            </w:pPr>
            <w:r>
              <w:rPr>
                <w:rFonts w:ascii="Calibri" w:hAnsi="Calibri"/>
                <w:b w:val="0"/>
                <w:sz w:val="19"/>
              </w:rPr>
              <w:t>Default is off; one summary per local day; no summary is sent when consent is absent.</w:t>
            </w:r>
          </w:p>
        </w:tc>
      </w:tr>
    </w:tbl>
    <w:p>
      <w:pPr>
        <w:spacing w:after="40"/>
      </w:pPr>
    </w:p>
    <w:p>
      <w:pPr>
        <w:pStyle w:val="Heading1"/>
      </w:pPr>
      <w:r>
        <w:t>5. Engineering and platform requirements</w:t>
      </w:r>
    </w:p>
    <w:p>
      <w:pPr>
        <w:pStyle w:val="Heading1"/>
      </w:pPr>
      <w:r>
        <w:t>5.1 Node, hub and transport</w:t>
      </w:r>
    </w:p>
    <w:tbl>
      <w:tblPr>
        <w:tblW w:type="dxa" w:w="9360"/>
        <w:jc w:val="left"/>
        <w:tblLayout w:type="fixed"/>
        <w:tblLook w:firstColumn="1" w:firstRow="1" w:lastColumn="0" w:lastRow="0" w:noHBand="0" w:noVBand="1" w:val="04A0"/>
        <w:tblInd w:w="120" w:type="dxa"/>
      </w:tblPr>
      <w:tblGrid>
        <w:gridCol w:w="1036"/>
        <w:gridCol w:w="4968"/>
        <w:gridCol w:w="3355"/>
      </w:tblGrid>
      <w:tr>
        <w:tc>
          <w:tcPr>
            <w:tcW w:type="dxa" w:w="1036"/>
            <w:vAlign w:val="top"/>
            <w:shd w:fill="E8EEF5"/>
            <w:tcMar>
              <w:top w:w="80" w:type="dxa"/>
              <w:bottom w:w="80" w:type="dxa"/>
              <w:start w:w="120" w:type="dxa"/>
              <w:end w:w="120" w:type="dxa"/>
            </w:tcMar>
          </w:tcPr>
          <w:p>
            <w:pPr>
              <w:spacing w:after="40"/>
            </w:pPr>
            <w:r>
              <w:rPr>
                <w:rFonts w:ascii="Calibri" w:hAnsi="Calibri"/>
                <w:b/>
                <w:sz w:val="19"/>
              </w:rPr>
              <w:t>ID</w:t>
            </w:r>
          </w:p>
        </w:tc>
        <w:tc>
          <w:tcPr>
            <w:tcW w:type="dxa" w:w="4968"/>
            <w:vAlign w:val="top"/>
            <w:shd w:fill="E8EEF5"/>
            <w:tcMar>
              <w:top w:w="80" w:type="dxa"/>
              <w:bottom w:w="80" w:type="dxa"/>
              <w:start w:w="120" w:type="dxa"/>
              <w:end w:w="120" w:type="dxa"/>
            </w:tcMar>
          </w:tcPr>
          <w:p>
            <w:pPr>
              <w:spacing w:after="40"/>
            </w:pPr>
            <w:r>
              <w:rPr>
                <w:rFonts w:ascii="Calibri" w:hAnsi="Calibri"/>
                <w:b/>
                <w:sz w:val="19"/>
              </w:rPr>
              <w:t>Software requirement</w:t>
            </w:r>
          </w:p>
        </w:tc>
        <w:tc>
          <w:tcPr>
            <w:tcW w:type="dxa" w:w="3355"/>
            <w:vAlign w:val="top"/>
            <w:shd w:fill="E8EEF5"/>
            <w:tcMar>
              <w:top w:w="80" w:type="dxa"/>
              <w:bottom w:w="80" w:type="dxa"/>
              <w:start w:w="120" w:type="dxa"/>
              <w:end w:w="120" w:type="dxa"/>
            </w:tcMar>
          </w:tcPr>
          <w:p>
            <w:pPr>
              <w:spacing w:after="40"/>
            </w:pPr>
            <w:r>
              <w:rPr>
                <w:rFonts w:ascii="Calibri" w:hAnsi="Calibri"/>
                <w:b/>
                <w:sz w:val="19"/>
              </w:rPr>
              <w:t>Acceptance / verification</w:t>
            </w:r>
          </w:p>
        </w:tc>
      </w:tr>
      <w:tr>
        <w:tc>
          <w:tcPr>
            <w:tcW w:type="dxa" w:w="1036"/>
            <w:vAlign w:val="top"/>
            <w:tcMar>
              <w:top w:w="80" w:type="dxa"/>
              <w:bottom w:w="80" w:type="dxa"/>
              <w:start w:w="120" w:type="dxa"/>
              <w:end w:w="120" w:type="dxa"/>
            </w:tcMar>
          </w:tcPr>
          <w:p>
            <w:pPr>
              <w:spacing w:after="40"/>
            </w:pPr>
            <w:r>
              <w:rPr>
                <w:rFonts w:ascii="Calibri" w:hAnsi="Calibri"/>
                <w:b w:val="0"/>
                <w:sz w:val="19"/>
              </w:rPr>
              <w:t>E01</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report per-node heartbeat age, firmware, reset reason, battery voltage, sensor availability and applied configuration; hub power/source health shall be separate.</w:t>
            </w:r>
          </w:p>
        </w:tc>
        <w:tc>
          <w:tcPr>
            <w:tcW w:type="dxa" w:w="3355"/>
            <w:vAlign w:val="top"/>
            <w:tcMar>
              <w:top w:w="80" w:type="dxa"/>
              <w:bottom w:w="80" w:type="dxa"/>
              <w:start w:w="120" w:type="dxa"/>
              <w:end w:w="120" w:type="dxa"/>
            </w:tcMar>
          </w:tcPr>
          <w:p>
            <w:pPr>
              <w:spacing w:after="40"/>
            </w:pPr>
            <w:r>
              <w:rPr>
                <w:rFonts w:ascii="Calibri" w:hAnsi="Calibri"/>
                <w:b w:val="0"/>
                <w:sz w:val="19"/>
              </w:rPr>
              <w:t>Dashboard and support export expose health fields with freshness.</w:t>
            </w:r>
          </w:p>
        </w:tc>
      </w:tr>
      <w:tr>
        <w:tc>
          <w:tcPr>
            <w:tcW w:type="dxa" w:w="1036"/>
            <w:vAlign w:val="top"/>
            <w:tcMar>
              <w:top w:w="80" w:type="dxa"/>
              <w:bottom w:w="80" w:type="dxa"/>
              <w:start w:w="120" w:type="dxa"/>
              <w:end w:w="120" w:type="dxa"/>
            </w:tcMar>
          </w:tcPr>
          <w:p>
            <w:pPr>
              <w:spacing w:after="40"/>
            </w:pPr>
            <w:r>
              <w:rPr>
                <w:rFonts w:ascii="Calibri" w:hAnsi="Calibri"/>
                <w:b w:val="0"/>
                <w:sz w:val="19"/>
              </w:rPr>
              <w:t>E02</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use unique source/session/sequence identifiers, authenticated encrypted transport, bounded retry and explicit ACK classes. Business events shall persist before transmission.</w:t>
            </w:r>
          </w:p>
        </w:tc>
        <w:tc>
          <w:tcPr>
            <w:tcW w:type="dxa" w:w="3355"/>
            <w:vAlign w:val="top"/>
            <w:tcMar>
              <w:top w:w="80" w:type="dxa"/>
              <w:bottom w:w="80" w:type="dxa"/>
              <w:start w:w="120" w:type="dxa"/>
              <w:end w:w="120" w:type="dxa"/>
            </w:tcMar>
          </w:tcPr>
          <w:p>
            <w:pPr>
              <w:spacing w:after="40"/>
            </w:pPr>
            <w:r>
              <w:rPr>
                <w:rFonts w:ascii="Calibri" w:hAnsi="Calibri"/>
                <w:b w:val="0"/>
                <w:sz w:val="19"/>
              </w:rPr>
              <w:t>Duplicate, replay, retry and reboot tests preserve one logical event.</w:t>
            </w:r>
          </w:p>
        </w:tc>
      </w:tr>
      <w:tr>
        <w:tc>
          <w:tcPr>
            <w:tcW w:type="dxa" w:w="1036"/>
            <w:vAlign w:val="top"/>
            <w:tcMar>
              <w:top w:w="80" w:type="dxa"/>
              <w:bottom w:w="80" w:type="dxa"/>
              <w:start w:w="120" w:type="dxa"/>
              <w:end w:w="120" w:type="dxa"/>
            </w:tcMar>
          </w:tcPr>
          <w:p>
            <w:pPr>
              <w:spacing w:after="40"/>
            </w:pPr>
            <w:r>
              <w:rPr>
                <w:rFonts w:ascii="Calibri" w:hAnsi="Calibri"/>
                <w:b w:val="0"/>
                <w:sz w:val="19"/>
              </w:rPr>
              <w:t>E03</w:t>
            </w:r>
          </w:p>
        </w:tc>
        <w:tc>
          <w:tcPr>
            <w:tcW w:type="dxa" w:w="4968"/>
            <w:vAlign w:val="top"/>
            <w:tcMar>
              <w:top w:w="80" w:type="dxa"/>
              <w:bottom w:w="80" w:type="dxa"/>
              <w:start w:w="120" w:type="dxa"/>
              <w:end w:w="120" w:type="dxa"/>
            </w:tcMar>
          </w:tcPr>
          <w:p>
            <w:pPr>
              <w:spacing w:after="40"/>
            </w:pPr>
            <w:r>
              <w:rPr>
                <w:rFonts w:ascii="Calibri" w:hAnsi="Calibri"/>
                <w:b w:val="0"/>
                <w:sz w:val="19"/>
              </w:rPr>
              <w:t>While hub power, time and configuration remain valid, local sensing, routine evaluation and resident actions shall continue during WAN failure; pending intents shall replay after reconnection.</w:t>
            </w:r>
          </w:p>
        </w:tc>
        <w:tc>
          <w:tcPr>
            <w:tcW w:type="dxa" w:w="3355"/>
            <w:vAlign w:val="top"/>
            <w:tcMar>
              <w:top w:w="80" w:type="dxa"/>
              <w:bottom w:w="80" w:type="dxa"/>
              <w:start w:w="120" w:type="dxa"/>
              <w:end w:w="120" w:type="dxa"/>
            </w:tcMar>
          </w:tcPr>
          <w:p>
            <w:pPr>
              <w:spacing w:after="40"/>
            </w:pPr>
            <w:r>
              <w:rPr>
                <w:rFonts w:ascii="Calibri" w:hAnsi="Calibri"/>
                <w:b w:val="0"/>
                <w:sz w:val="19"/>
              </w:rPr>
              <w:t>WAN cut tests show local decision and later exactly-once backend ingestion.</w:t>
            </w:r>
          </w:p>
        </w:tc>
      </w:tr>
      <w:tr>
        <w:tc>
          <w:tcPr>
            <w:tcW w:type="dxa" w:w="1036"/>
            <w:vAlign w:val="top"/>
            <w:tcMar>
              <w:top w:w="80" w:type="dxa"/>
              <w:bottom w:w="80" w:type="dxa"/>
              <w:start w:w="120" w:type="dxa"/>
              <w:end w:w="120" w:type="dxa"/>
            </w:tcMar>
          </w:tcPr>
          <w:p>
            <w:pPr>
              <w:spacing w:after="40"/>
            </w:pPr>
            <w:r>
              <w:rPr>
                <w:rFonts w:ascii="Calibri" w:hAnsi="Calibri"/>
                <w:b w:val="0"/>
                <w:sz w:val="19"/>
              </w:rPr>
              <w:t>E04</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track node↔hub, hub↔backend, notification route and phone↔backend reachability independently, with freshness and coverage states.</w:t>
            </w:r>
          </w:p>
        </w:tc>
        <w:tc>
          <w:tcPr>
            <w:tcW w:type="dxa" w:w="3355"/>
            <w:vAlign w:val="top"/>
            <w:tcMar>
              <w:top w:w="80" w:type="dxa"/>
              <w:bottom w:w="80" w:type="dxa"/>
              <w:start w:w="120" w:type="dxa"/>
              <w:end w:w="120" w:type="dxa"/>
            </w:tcMar>
          </w:tcPr>
          <w:p>
            <w:pPr>
              <w:spacing w:after="40"/>
            </w:pPr>
            <w:r>
              <w:rPr>
                <w:rFonts w:ascii="Calibri" w:hAnsi="Calibri"/>
                <w:b w:val="0"/>
                <w:sz w:val="19"/>
              </w:rPr>
              <w:t>A single broken link cannot be reported as general resident risk.</w:t>
            </w:r>
          </w:p>
        </w:tc>
      </w:tr>
      <w:tr>
        <w:tc>
          <w:tcPr>
            <w:tcW w:type="dxa" w:w="1036"/>
            <w:vAlign w:val="top"/>
            <w:tcMar>
              <w:top w:w="80" w:type="dxa"/>
              <w:bottom w:w="80" w:type="dxa"/>
              <w:start w:w="120" w:type="dxa"/>
              <w:end w:w="120" w:type="dxa"/>
            </w:tcMar>
          </w:tcPr>
          <w:p>
            <w:pPr>
              <w:spacing w:after="40"/>
            </w:pPr>
            <w:r>
              <w:rPr>
                <w:rFonts w:ascii="Calibri" w:hAnsi="Calibri"/>
                <w:b w:val="0"/>
                <w:sz w:val="19"/>
              </w:rPr>
              <w:t>E05</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durably store configuration, consent/mode versions, business events, active-window state and unsent intents with bounded overflow behaviour.</w:t>
            </w:r>
          </w:p>
        </w:tc>
        <w:tc>
          <w:tcPr>
            <w:tcW w:type="dxa" w:w="3355"/>
            <w:vAlign w:val="top"/>
            <w:tcMar>
              <w:top w:w="80" w:type="dxa"/>
              <w:bottom w:w="80" w:type="dxa"/>
              <w:start w:w="120" w:type="dxa"/>
              <w:end w:w="120" w:type="dxa"/>
            </w:tcMar>
          </w:tcPr>
          <w:p>
            <w:pPr>
              <w:spacing w:after="40"/>
            </w:pPr>
            <w:r>
              <w:rPr>
                <w:rFonts w:ascii="Calibri" w:hAnsi="Calibri"/>
                <w:b w:val="0"/>
                <w:sz w:val="19"/>
              </w:rPr>
              <w:t>Power-loss/restart tests preserve ordering and surface capacity exhaustion.</w:t>
            </w:r>
          </w:p>
        </w:tc>
      </w:tr>
      <w:tr>
        <w:tc>
          <w:tcPr>
            <w:tcW w:type="dxa" w:w="1036"/>
            <w:vAlign w:val="top"/>
            <w:tcMar>
              <w:top w:w="80" w:type="dxa"/>
              <w:bottom w:w="80" w:type="dxa"/>
              <w:start w:w="120" w:type="dxa"/>
              <w:end w:w="120" w:type="dxa"/>
            </w:tcMar>
          </w:tcPr>
          <w:p>
            <w:pPr>
              <w:spacing w:after="40"/>
            </w:pPr>
            <w:r>
              <w:rPr>
                <w:rFonts w:ascii="Calibri" w:hAnsi="Calibri"/>
                <w:b w:val="0"/>
                <w:sz w:val="19"/>
              </w:rPr>
              <w:t>E06</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represent trusted wall time, monotonic elapsed time and uncertainty separately, and apply explicit boundary rules to routine decisions.</w:t>
            </w:r>
          </w:p>
        </w:tc>
        <w:tc>
          <w:tcPr>
            <w:tcW w:type="dxa" w:w="3355"/>
            <w:vAlign w:val="top"/>
            <w:tcMar>
              <w:top w:w="80" w:type="dxa"/>
              <w:bottom w:w="80" w:type="dxa"/>
              <w:start w:w="120" w:type="dxa"/>
              <w:end w:w="120" w:type="dxa"/>
            </w:tcMar>
          </w:tcPr>
          <w:p>
            <w:pPr>
              <w:spacing w:after="40"/>
            </w:pPr>
            <w:r>
              <w:rPr>
                <w:rFonts w:ascii="Calibri" w:hAnsi="Calibri"/>
                <w:b w:val="0"/>
                <w:sz w:val="19"/>
              </w:rPr>
              <w:t>Clock recovery and DST/time-zone tests produce deterministic outcomes.</w:t>
            </w:r>
          </w:p>
        </w:tc>
      </w:tr>
      <w:tr>
        <w:tc>
          <w:tcPr>
            <w:tcW w:type="dxa" w:w="1036"/>
            <w:vAlign w:val="top"/>
            <w:tcMar>
              <w:top w:w="80" w:type="dxa"/>
              <w:bottom w:w="80" w:type="dxa"/>
              <w:start w:w="120" w:type="dxa"/>
              <w:end w:w="120" w:type="dxa"/>
            </w:tcMar>
          </w:tcPr>
          <w:p>
            <w:pPr>
              <w:spacing w:after="40"/>
            </w:pPr>
            <w:r>
              <w:rPr>
                <w:rFonts w:ascii="Calibri" w:hAnsi="Calibri"/>
                <w:b w:val="0"/>
                <w:sz w:val="19"/>
              </w:rPr>
              <w:t>E07</w:t>
            </w:r>
          </w:p>
        </w:tc>
        <w:tc>
          <w:tcPr>
            <w:tcW w:type="dxa" w:w="4968"/>
            <w:vAlign w:val="top"/>
            <w:tcMar>
              <w:top w:w="80" w:type="dxa"/>
              <w:bottom w:w="80" w:type="dxa"/>
              <w:start w:w="120" w:type="dxa"/>
              <w:end w:w="120" w:type="dxa"/>
            </w:tcMar>
          </w:tcPr>
          <w:p>
            <w:pPr>
              <w:spacing w:after="40"/>
            </w:pPr>
            <w:r>
              <w:rPr>
                <w:rFonts w:ascii="Calibri" w:hAnsi="Calibri"/>
                <w:b w:val="0"/>
                <w:sz w:val="19"/>
              </w:rPr>
              <w:t>Configuration and commands shall carry IDs, schema version, target, issue time, desired/applied versions, actor and validation result; stale or wrong-target commands shall be rejected.</w:t>
            </w:r>
          </w:p>
        </w:tc>
        <w:tc>
          <w:tcPr>
            <w:tcW w:type="dxa" w:w="3355"/>
            <w:vAlign w:val="top"/>
            <w:tcMar>
              <w:top w:w="80" w:type="dxa"/>
              <w:bottom w:w="80" w:type="dxa"/>
              <w:start w:w="120" w:type="dxa"/>
              <w:end w:w="120" w:type="dxa"/>
            </w:tcMar>
          </w:tcPr>
          <w:p>
            <w:pPr>
              <w:spacing w:after="40"/>
            </w:pPr>
            <w:r>
              <w:rPr>
                <w:rFonts w:ascii="Calibri" w:hAnsi="Calibri"/>
                <w:b w:val="0"/>
                <w:sz w:val="19"/>
              </w:rPr>
              <w:t>Out-of-order, duplicate, expired and wrong-device commands are safe and auditable.</w:t>
            </w:r>
          </w:p>
        </w:tc>
      </w:tr>
      <w:tr>
        <w:tc>
          <w:tcPr>
            <w:tcW w:type="dxa" w:w="1036"/>
            <w:vAlign w:val="top"/>
            <w:tcMar>
              <w:top w:w="80" w:type="dxa"/>
              <w:bottom w:w="80" w:type="dxa"/>
              <w:start w:w="120" w:type="dxa"/>
              <w:end w:w="120" w:type="dxa"/>
            </w:tcMar>
          </w:tcPr>
          <w:p>
            <w:pPr>
              <w:spacing w:after="40"/>
            </w:pPr>
            <w:r>
              <w:rPr>
                <w:rFonts w:ascii="Calibri" w:hAnsi="Calibri"/>
                <w:b w:val="0"/>
                <w:sz w:val="19"/>
              </w:rPr>
              <w:t>E08</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use unique device credentials, encrypted local unicast, TLS for remote APIs, least-privilege household access and consent-aware retention.</w:t>
            </w:r>
          </w:p>
        </w:tc>
        <w:tc>
          <w:tcPr>
            <w:tcW w:type="dxa" w:w="3355"/>
            <w:vAlign w:val="top"/>
            <w:tcMar>
              <w:top w:w="80" w:type="dxa"/>
              <w:bottom w:w="80" w:type="dxa"/>
              <w:start w:w="120" w:type="dxa"/>
              <w:end w:w="120" w:type="dxa"/>
            </w:tcMar>
          </w:tcPr>
          <w:p>
            <w:pPr>
              <w:spacing w:after="40"/>
            </w:pPr>
            <w:r>
              <w:rPr>
                <w:rFonts w:ascii="Calibri" w:hAnsi="Calibri"/>
                <w:b w:val="0"/>
                <w:sz w:val="19"/>
              </w:rPr>
              <w:t>Credential rotation/revocation and tenant-isolation tests pass; no public activity endpoint exists.</w:t>
            </w:r>
          </w:p>
        </w:tc>
      </w:tr>
      <w:tr>
        <w:tc>
          <w:tcPr>
            <w:tcW w:type="dxa" w:w="1036"/>
            <w:vAlign w:val="top"/>
            <w:tcMar>
              <w:top w:w="80" w:type="dxa"/>
              <w:bottom w:w="80" w:type="dxa"/>
              <w:start w:w="120" w:type="dxa"/>
              <w:end w:w="120" w:type="dxa"/>
            </w:tcMar>
          </w:tcPr>
          <w:p>
            <w:pPr>
              <w:spacing w:after="40"/>
            </w:pPr>
            <w:r>
              <w:rPr>
                <w:rFonts w:ascii="Calibri" w:hAnsi="Calibri"/>
                <w:b w:val="0"/>
                <w:sz w:val="19"/>
              </w:rPr>
              <w:t>E09</w:t>
            </w:r>
          </w:p>
        </w:tc>
        <w:tc>
          <w:tcPr>
            <w:tcW w:type="dxa" w:w="4968"/>
            <w:vAlign w:val="top"/>
            <w:tcMar>
              <w:top w:w="80" w:type="dxa"/>
              <w:bottom w:w="80" w:type="dxa"/>
              <w:start w:w="120" w:type="dxa"/>
              <w:end w:w="120" w:type="dxa"/>
            </w:tcMar>
          </w:tcPr>
          <w:p>
            <w:pPr>
              <w:spacing w:after="40"/>
            </w:pPr>
            <w:r>
              <w:rPr>
                <w:rFonts w:ascii="Calibri" w:hAnsi="Calibri"/>
                <w:b w:val="0"/>
                <w:sz w:val="19"/>
              </w:rPr>
              <w:t>Firmware shall report version, boot health and reset reason; signed updates, watchdogs, rollback protection and recovery paths shall be supported.</w:t>
            </w:r>
          </w:p>
        </w:tc>
        <w:tc>
          <w:tcPr>
            <w:tcW w:type="dxa" w:w="3355"/>
            <w:vAlign w:val="top"/>
            <w:tcMar>
              <w:top w:w="80" w:type="dxa"/>
              <w:bottom w:w="80" w:type="dxa"/>
              <w:start w:w="120" w:type="dxa"/>
              <w:end w:w="120" w:type="dxa"/>
            </w:tcMar>
          </w:tcPr>
          <w:p>
            <w:pPr>
              <w:spacing w:after="40"/>
            </w:pPr>
            <w:r>
              <w:rPr>
                <w:rFonts w:ascii="Calibri" w:hAnsi="Calibri"/>
                <w:b w:val="0"/>
                <w:sz w:val="19"/>
              </w:rPr>
              <w:t>Unsigned/wrong-board/rollback images are rejected; watchdog recovery is visible.</w:t>
            </w:r>
          </w:p>
        </w:tc>
      </w:tr>
      <w:tr>
        <w:tc>
          <w:tcPr>
            <w:tcW w:type="dxa" w:w="1036"/>
            <w:vAlign w:val="top"/>
            <w:tcMar>
              <w:top w:w="80" w:type="dxa"/>
              <w:bottom w:w="80" w:type="dxa"/>
              <w:start w:w="120" w:type="dxa"/>
              <w:end w:w="120" w:type="dxa"/>
            </w:tcMar>
          </w:tcPr>
          <w:p>
            <w:pPr>
              <w:spacing w:after="40"/>
            </w:pPr>
            <w:r>
              <w:rPr>
                <w:rFonts w:ascii="Calibri" w:hAnsi="Calibri"/>
                <w:b w:val="0"/>
                <w:sz w:val="19"/>
              </w:rPr>
              <w:t>E10</w:t>
            </w:r>
          </w:p>
        </w:tc>
        <w:tc>
          <w:tcPr>
            <w:tcW w:type="dxa" w:w="4968"/>
            <w:vAlign w:val="top"/>
            <w:tcMar>
              <w:top w:w="80" w:type="dxa"/>
              <w:bottom w:w="80" w:type="dxa"/>
              <w:start w:w="120" w:type="dxa"/>
              <w:end w:w="120" w:type="dxa"/>
            </w:tcMar>
          </w:tcPr>
          <w:p>
            <w:pPr>
              <w:spacing w:after="40"/>
            </w:pPr>
            <w:r>
              <w:rPr>
                <w:rFonts w:ascii="Calibri" w:hAnsi="Calibri"/>
                <w:b w:val="0"/>
                <w:sz w:val="19"/>
              </w:rPr>
              <w:t>Support diagnostics shall expose versions, reset causes, freshness, lease gaps, queue watermarks, retry/error counts and notification attempts without exposing secrets or raw household payloads.</w:t>
            </w:r>
          </w:p>
        </w:tc>
        <w:tc>
          <w:tcPr>
            <w:tcW w:type="dxa" w:w="3355"/>
            <w:vAlign w:val="top"/>
            <w:tcMar>
              <w:top w:w="80" w:type="dxa"/>
              <w:bottom w:w="80" w:type="dxa"/>
              <w:start w:w="120" w:type="dxa"/>
              <w:end w:w="120" w:type="dxa"/>
            </w:tcMar>
          </w:tcPr>
          <w:p>
            <w:pPr>
              <w:spacing w:after="40"/>
            </w:pPr>
            <w:r>
              <w:rPr>
                <w:rFonts w:ascii="Calibri" w:hAnsi="Calibri"/>
                <w:b w:val="0"/>
                <w:sz w:val="19"/>
              </w:rPr>
              <w:t>Production ERROR and development TRACE profiles pass bounded-log and privacy checks.</w:t>
            </w:r>
          </w:p>
        </w:tc>
      </w:tr>
    </w:tbl>
    <w:p>
      <w:pPr>
        <w:spacing w:after="40"/>
      </w:pPr>
    </w:p>
    <w:p>
      <w:pPr>
        <w:pStyle w:val="Heading1"/>
      </w:pPr>
      <w:r>
        <w:t>6. Data and interface requirements</w:t>
      </w:r>
    </w:p>
    <w:p>
      <w:pPr>
        <w:pStyle w:val="Heading2"/>
      </w:pPr>
      <w:r>
        <w:t>6.1 Canonical entities</w:t>
      </w:r>
    </w:p>
    <w:tbl>
      <w:tblPr>
        <w:tblW w:type="dxa" w:w="9360"/>
        <w:jc w:val="left"/>
        <w:tblLayout w:type="fixed"/>
        <w:tblLook w:firstColumn="1" w:firstRow="1" w:lastColumn="0" w:lastRow="0" w:noHBand="0" w:noVBand="1" w:val="04A0"/>
        <w:tblInd w:w="120" w:type="dxa"/>
      </w:tblPr>
      <w:tblGrid>
        <w:gridCol w:w="1872"/>
        <w:gridCol w:w="7488"/>
      </w:tblGrid>
      <w:tr>
        <w:tc>
          <w:tcPr>
            <w:tcW w:type="dxa" w:w="1872"/>
            <w:vAlign w:val="top"/>
            <w:shd w:fill="E8EEF5"/>
            <w:tcMar>
              <w:top w:w="80" w:type="dxa"/>
              <w:bottom w:w="80" w:type="dxa"/>
              <w:start w:w="120" w:type="dxa"/>
              <w:end w:w="120" w:type="dxa"/>
            </w:tcMar>
          </w:tcPr>
          <w:p>
            <w:pPr>
              <w:spacing w:after="40"/>
            </w:pPr>
            <w:r>
              <w:rPr>
                <w:rFonts w:ascii="Calibri" w:hAnsi="Calibri"/>
                <w:b/>
                <w:sz w:val="19"/>
              </w:rPr>
              <w:t>Entity</w:t>
            </w:r>
          </w:p>
        </w:tc>
        <w:tc>
          <w:tcPr>
            <w:tcW w:type="dxa" w:w="7488"/>
            <w:vAlign w:val="top"/>
            <w:shd w:fill="E8EEF5"/>
            <w:tcMar>
              <w:top w:w="80" w:type="dxa"/>
              <w:bottom w:w="80" w:type="dxa"/>
              <w:start w:w="120" w:type="dxa"/>
              <w:end w:w="120" w:type="dxa"/>
            </w:tcMar>
          </w:tcPr>
          <w:p>
            <w:pPr>
              <w:spacing w:after="40"/>
            </w:pPr>
            <w:r>
              <w:rPr>
                <w:rFonts w:ascii="Calibri" w:hAnsi="Calibri"/>
                <w:b/>
                <w:sz w:val="19"/>
              </w:rPr>
              <w:t>Required fields / rules</w:t>
            </w:r>
          </w:p>
        </w:tc>
      </w:tr>
      <w:tr>
        <w:tc>
          <w:tcPr>
            <w:tcW w:type="dxa" w:w="1872"/>
            <w:vAlign w:val="top"/>
            <w:tcMar>
              <w:top w:w="80" w:type="dxa"/>
              <w:bottom w:w="80" w:type="dxa"/>
              <w:start w:w="120" w:type="dxa"/>
              <w:end w:w="120" w:type="dxa"/>
            </w:tcMar>
          </w:tcPr>
          <w:p>
            <w:pPr>
              <w:spacing w:after="40"/>
            </w:pPr>
            <w:r>
              <w:rPr>
                <w:rFonts w:ascii="Calibri" w:hAnsi="Calibri"/>
                <w:b w:val="0"/>
                <w:sz w:val="19"/>
              </w:rPr>
              <w:t>Household</w:t>
            </w:r>
          </w:p>
        </w:tc>
        <w:tc>
          <w:tcPr>
            <w:tcW w:type="dxa" w:w="7488"/>
            <w:vAlign w:val="top"/>
            <w:tcMar>
              <w:top w:w="80" w:type="dxa"/>
              <w:bottom w:w="80" w:type="dxa"/>
              <w:start w:w="120" w:type="dxa"/>
              <w:end w:w="120" w:type="dxa"/>
            </w:tcMar>
          </w:tcPr>
          <w:p>
            <w:pPr>
              <w:spacing w:after="40"/>
            </w:pPr>
            <w:r>
              <w:rPr>
                <w:rFonts w:ascii="Calibri" w:hAnsi="Calibri"/>
                <w:b w:val="0"/>
                <w:sz w:val="19"/>
              </w:rPr>
              <w:t>home_id, display name, IANA time zone, language, mode/version, consent state, retention policy.</w:t>
            </w:r>
          </w:p>
        </w:tc>
      </w:tr>
      <w:tr>
        <w:tc>
          <w:tcPr>
            <w:tcW w:type="dxa" w:w="1872"/>
            <w:vAlign w:val="top"/>
            <w:tcMar>
              <w:top w:w="80" w:type="dxa"/>
              <w:bottom w:w="80" w:type="dxa"/>
              <w:start w:w="120" w:type="dxa"/>
              <w:end w:w="120" w:type="dxa"/>
            </w:tcMar>
          </w:tcPr>
          <w:p>
            <w:pPr>
              <w:spacing w:after="40"/>
            </w:pPr>
            <w:r>
              <w:rPr>
                <w:rFonts w:ascii="Calibri" w:hAnsi="Calibri"/>
                <w:b w:val="0"/>
                <w:sz w:val="19"/>
              </w:rPr>
              <w:t>Resident / caregiver</w:t>
            </w:r>
          </w:p>
        </w:tc>
        <w:tc>
          <w:tcPr>
            <w:tcW w:type="dxa" w:w="7488"/>
            <w:vAlign w:val="top"/>
            <w:tcMar>
              <w:top w:w="80" w:type="dxa"/>
              <w:bottom w:w="80" w:type="dxa"/>
              <w:start w:w="120" w:type="dxa"/>
              <w:end w:w="120" w:type="dxa"/>
            </w:tcMar>
          </w:tcPr>
          <w:p>
            <w:pPr>
              <w:spacing w:after="40"/>
            </w:pPr>
            <w:r>
              <w:rPr>
                <w:rFonts w:ascii="Calibri" w:hAnsi="Calibri"/>
                <w:b w:val="0"/>
                <w:sz w:val="19"/>
              </w:rPr>
              <w:t>Stable ID, role, consent/notification preference, status; access is household-scoped.</w:t>
            </w:r>
          </w:p>
        </w:tc>
      </w:tr>
      <w:tr>
        <w:tc>
          <w:tcPr>
            <w:tcW w:type="dxa" w:w="1872"/>
            <w:vAlign w:val="top"/>
            <w:tcMar>
              <w:top w:w="80" w:type="dxa"/>
              <w:bottom w:w="80" w:type="dxa"/>
              <w:start w:w="120" w:type="dxa"/>
              <w:end w:w="120" w:type="dxa"/>
            </w:tcMar>
          </w:tcPr>
          <w:p>
            <w:pPr>
              <w:spacing w:after="40"/>
            </w:pPr>
            <w:r>
              <w:rPr>
                <w:rFonts w:ascii="Calibri" w:hAnsi="Calibri"/>
                <w:b w:val="0"/>
                <w:sz w:val="19"/>
              </w:rPr>
              <w:t>Device</w:t>
            </w:r>
          </w:p>
        </w:tc>
        <w:tc>
          <w:tcPr>
            <w:tcW w:type="dxa" w:w="7488"/>
            <w:vAlign w:val="top"/>
            <w:tcMar>
              <w:top w:w="80" w:type="dxa"/>
              <w:bottom w:w="80" w:type="dxa"/>
              <w:start w:w="120" w:type="dxa"/>
              <w:end w:w="120" w:type="dxa"/>
            </w:tcMar>
          </w:tcPr>
          <w:p>
            <w:pPr>
              <w:spacing w:after="40"/>
            </w:pPr>
            <w:r>
              <w:rPr>
                <w:rFonts w:ascii="Calibri" w:hAnsi="Calibri"/>
                <w:b w:val="0"/>
                <w:sz w:val="19"/>
              </w:rPr>
              <w:t>device_id, board profile, capability profile, credential reference, firmware, config versions, health/freshness.</w:t>
            </w:r>
          </w:p>
        </w:tc>
      </w:tr>
      <w:tr>
        <w:tc>
          <w:tcPr>
            <w:tcW w:type="dxa" w:w="1872"/>
            <w:vAlign w:val="top"/>
            <w:tcMar>
              <w:top w:w="80" w:type="dxa"/>
              <w:bottom w:w="80" w:type="dxa"/>
              <w:start w:w="120" w:type="dxa"/>
              <w:end w:w="120" w:type="dxa"/>
            </w:tcMar>
          </w:tcPr>
          <w:p>
            <w:pPr>
              <w:spacing w:after="40"/>
            </w:pPr>
            <w:r>
              <w:rPr>
                <w:rFonts w:ascii="Calibri" w:hAnsi="Calibri"/>
                <w:b w:val="0"/>
                <w:sz w:val="19"/>
              </w:rPr>
              <w:t>Event</w:t>
            </w:r>
          </w:p>
        </w:tc>
        <w:tc>
          <w:tcPr>
            <w:tcW w:type="dxa" w:w="7488"/>
            <w:vAlign w:val="top"/>
            <w:tcMar>
              <w:top w:w="80" w:type="dxa"/>
              <w:bottom w:w="80" w:type="dxa"/>
              <w:start w:w="120" w:type="dxa"/>
              <w:end w:w="120" w:type="dxa"/>
            </w:tcMar>
          </w:tcPr>
          <w:p>
            <w:pPr>
              <w:spacing w:after="40"/>
            </w:pPr>
            <w:r>
              <w:rPr>
                <w:rFonts w:ascii="Calibri" w:hAnsi="Calibri"/>
                <w:b w:val="0"/>
                <w:sz w:val="19"/>
              </w:rPr>
              <w:t>source_id, session_id, sequence, kind, location, occurred_at, received_at, uncertainty, battery, test flag.</w:t>
            </w:r>
          </w:p>
        </w:tc>
      </w:tr>
      <w:tr>
        <w:tc>
          <w:tcPr>
            <w:tcW w:type="dxa" w:w="1872"/>
            <w:vAlign w:val="top"/>
            <w:tcMar>
              <w:top w:w="80" w:type="dxa"/>
              <w:bottom w:w="80" w:type="dxa"/>
              <w:start w:w="120" w:type="dxa"/>
              <w:end w:w="120" w:type="dxa"/>
            </w:tcMar>
          </w:tcPr>
          <w:p>
            <w:pPr>
              <w:spacing w:after="40"/>
            </w:pPr>
            <w:r>
              <w:rPr>
                <w:rFonts w:ascii="Calibri" w:hAnsi="Calibri"/>
                <w:b w:val="0"/>
                <w:sz w:val="19"/>
              </w:rPr>
              <w:t>Incident</w:t>
            </w:r>
          </w:p>
        </w:tc>
        <w:tc>
          <w:tcPr>
            <w:tcW w:type="dxa" w:w="7488"/>
            <w:vAlign w:val="top"/>
            <w:tcMar>
              <w:top w:w="80" w:type="dxa"/>
              <w:bottom w:w="80" w:type="dxa"/>
              <w:start w:w="120" w:type="dxa"/>
              <w:end w:w="120" w:type="dxa"/>
            </w:tcMar>
          </w:tcPr>
          <w:p>
            <w:pPr>
              <w:spacing w:after="40"/>
            </w:pPr>
            <w:r>
              <w:rPr>
                <w:rFonts w:ascii="Calibri" w:hAnsi="Calibri"/>
                <w:b w:val="0"/>
                <w:sz w:val="19"/>
              </w:rPr>
              <w:t>incident_id, type, evidence state, priority, owner lease, acknowledgement/resolution history, delivery attempts.</w:t>
            </w:r>
          </w:p>
        </w:tc>
      </w:tr>
      <w:tr>
        <w:tc>
          <w:tcPr>
            <w:tcW w:type="dxa" w:w="1872"/>
            <w:vAlign w:val="top"/>
            <w:tcMar>
              <w:top w:w="80" w:type="dxa"/>
              <w:bottom w:w="80" w:type="dxa"/>
              <w:start w:w="120" w:type="dxa"/>
              <w:end w:w="120" w:type="dxa"/>
            </w:tcMar>
          </w:tcPr>
          <w:p>
            <w:pPr>
              <w:spacing w:after="40"/>
            </w:pPr>
            <w:r>
              <w:rPr>
                <w:rFonts w:ascii="Calibri" w:hAnsi="Calibri"/>
                <w:b w:val="0"/>
                <w:sz w:val="19"/>
              </w:rPr>
              <w:t>Command</w:t>
            </w:r>
          </w:p>
        </w:tc>
        <w:tc>
          <w:tcPr>
            <w:tcW w:type="dxa" w:w="7488"/>
            <w:vAlign w:val="top"/>
            <w:tcMar>
              <w:top w:w="80" w:type="dxa"/>
              <w:bottom w:w="80" w:type="dxa"/>
              <w:start w:w="120" w:type="dxa"/>
              <w:end w:w="120" w:type="dxa"/>
            </w:tcMar>
          </w:tcPr>
          <w:p>
            <w:pPr>
              <w:spacing w:after="40"/>
            </w:pPr>
            <w:r>
              <w:rPr>
                <w:rFonts w:ascii="Calibri" w:hAnsi="Calibri"/>
                <w:b w:val="0"/>
                <w:sz w:val="19"/>
              </w:rPr>
              <w:t>command_id, target, schema version, actor, issue/effective time, desired version, validation/application result.</w:t>
            </w:r>
          </w:p>
        </w:tc>
      </w:tr>
    </w:tbl>
    <w:p>
      <w:pPr>
        <w:spacing w:after="40"/>
      </w:pPr>
    </w:p>
    <w:p>
      <w:pPr>
        <w:pStyle w:val="Heading2"/>
      </w:pPr>
      <w:r>
        <w:t>6.2 Transport and API rules</w:t>
      </w:r>
    </w:p>
    <w:p>
      <w:pPr>
        <w:pStyle w:val="ListBullet"/>
        <w:spacing w:after="80"/>
      </w:pPr>
      <w:r>
        <w:t>Every business event is idempotent by source/session/sequence and backend ingestion is safe to retry.</w:t>
      </w:r>
    </w:p>
    <w:p>
      <w:pPr>
        <w:pStyle w:val="ListBullet"/>
        <w:spacing w:after="80"/>
      </w:pPr>
      <w:r>
        <w:t>Durable ACK means the hub has committed the event; volatile receipt never retires a business event from node storage.</w:t>
      </w:r>
    </w:p>
    <w:p>
      <w:pPr>
        <w:pStyle w:val="ListBullet"/>
        <w:spacing w:after="80"/>
      </w:pPr>
      <w:r>
        <w:t>Commands and notification requests carry idempotency keys; duplicate submissions return the original outcome.</w:t>
      </w:r>
    </w:p>
    <w:p>
      <w:pPr>
        <w:pStyle w:val="ListBullet"/>
        <w:spacing w:after="80"/>
      </w:pPr>
      <w:r>
        <w:t>API responses include state, freshness/age, coverage and error code; they do not imply health from missing data.</w:t>
      </w:r>
    </w:p>
    <w:p>
      <w:pPr>
        <w:pStyle w:val="ListBullet"/>
        <w:spacing w:after="80"/>
      </w:pPr>
      <w:r>
        <w:t>Transport payloads are schema-versioned and validated before entering state-owning workers.</w:t>
      </w:r>
    </w:p>
    <w:p>
      <w:pPr>
        <w:pStyle w:val="Heading1"/>
      </w:pPr>
      <w:r>
        <w:t>7. Non-functional requirements</w:t>
      </w:r>
    </w:p>
    <w:tbl>
      <w:tblPr>
        <w:tblW w:type="dxa" w:w="9360"/>
        <w:jc w:val="left"/>
        <w:tblLayout w:type="fixed"/>
        <w:tblLook w:firstColumn="1" w:firstRow="1" w:lastColumn="0" w:lastRow="0" w:noHBand="0" w:noVBand="1" w:val="04A0"/>
        <w:tblInd w:w="120" w:type="dxa"/>
      </w:tblPr>
      <w:tblGrid>
        <w:gridCol w:w="1368"/>
        <w:gridCol w:w="4320"/>
        <w:gridCol w:w="3671"/>
      </w:tblGrid>
      <w:tr>
        <w:tc>
          <w:tcPr>
            <w:tcW w:type="dxa" w:w="1368"/>
            <w:vAlign w:val="top"/>
            <w:shd w:fill="E8EEF5"/>
            <w:tcMar>
              <w:top w:w="80" w:type="dxa"/>
              <w:bottom w:w="80" w:type="dxa"/>
              <w:start w:w="120" w:type="dxa"/>
              <w:end w:w="120" w:type="dxa"/>
            </w:tcMar>
          </w:tcPr>
          <w:p>
            <w:pPr>
              <w:spacing w:after="40"/>
            </w:pPr>
            <w:r>
              <w:rPr>
                <w:rFonts w:ascii="Calibri" w:hAnsi="Calibri"/>
                <w:b/>
                <w:sz w:val="19"/>
              </w:rPr>
              <w:t>ID</w:t>
            </w:r>
          </w:p>
        </w:tc>
        <w:tc>
          <w:tcPr>
            <w:tcW w:type="dxa" w:w="4320"/>
            <w:vAlign w:val="top"/>
            <w:shd w:fill="E8EEF5"/>
            <w:tcMar>
              <w:top w:w="80" w:type="dxa"/>
              <w:bottom w:w="80" w:type="dxa"/>
              <w:start w:w="120" w:type="dxa"/>
              <w:end w:w="120" w:type="dxa"/>
            </w:tcMar>
          </w:tcPr>
          <w:p>
            <w:pPr>
              <w:spacing w:after="40"/>
            </w:pPr>
            <w:r>
              <w:rPr>
                <w:rFonts w:ascii="Calibri" w:hAnsi="Calibri"/>
                <w:b/>
                <w:sz w:val="19"/>
              </w:rPr>
              <w:t>Quality requirement</w:t>
            </w:r>
          </w:p>
        </w:tc>
        <w:tc>
          <w:tcPr>
            <w:tcW w:type="dxa" w:w="3671"/>
            <w:vAlign w:val="top"/>
            <w:shd w:fill="E8EEF5"/>
            <w:tcMar>
              <w:top w:w="80" w:type="dxa"/>
              <w:bottom w:w="80" w:type="dxa"/>
              <w:start w:w="120" w:type="dxa"/>
              <w:end w:w="120" w:type="dxa"/>
            </w:tcMar>
          </w:tcPr>
          <w:p>
            <w:pPr>
              <w:spacing w:after="40"/>
            </w:pPr>
            <w:r>
              <w:rPr>
                <w:rFonts w:ascii="Calibri" w:hAnsi="Calibri"/>
                <w:b/>
                <w:sz w:val="19"/>
              </w:rPr>
              <w:t>Target / acceptance</w:t>
            </w:r>
          </w:p>
        </w:tc>
      </w:tr>
      <w:tr>
        <w:tc>
          <w:tcPr>
            <w:tcW w:type="dxa" w:w="1368"/>
            <w:vAlign w:val="top"/>
            <w:tcMar>
              <w:top w:w="80" w:type="dxa"/>
              <w:bottom w:w="80" w:type="dxa"/>
              <w:start w:w="120" w:type="dxa"/>
              <w:end w:w="120" w:type="dxa"/>
            </w:tcMar>
          </w:tcPr>
          <w:p>
            <w:pPr>
              <w:spacing w:after="40"/>
            </w:pPr>
            <w:r>
              <w:rPr>
                <w:rFonts w:ascii="Calibri" w:hAnsi="Calibri"/>
                <w:b w:val="0"/>
                <w:sz w:val="19"/>
              </w:rPr>
              <w:t>NFR-01</w:t>
            </w:r>
          </w:p>
        </w:tc>
        <w:tc>
          <w:tcPr>
            <w:tcW w:type="dxa" w:w="4320"/>
            <w:vAlign w:val="top"/>
            <w:tcMar>
              <w:top w:w="80" w:type="dxa"/>
              <w:bottom w:w="80" w:type="dxa"/>
              <w:start w:w="120" w:type="dxa"/>
              <w:end w:w="120" w:type="dxa"/>
            </w:tcMar>
          </w:tcPr>
          <w:p>
            <w:pPr>
              <w:spacing w:after="40"/>
            </w:pPr>
            <w:r>
              <w:rPr>
                <w:rFonts w:ascii="Calibri" w:hAnsi="Calibri"/>
                <w:b w:val="0"/>
                <w:sz w:val="19"/>
              </w:rPr>
              <w:t>Safety of interpretation</w:t>
            </w:r>
          </w:p>
        </w:tc>
        <w:tc>
          <w:tcPr>
            <w:tcW w:type="dxa" w:w="3671"/>
            <w:vAlign w:val="top"/>
            <w:tcMar>
              <w:top w:w="80" w:type="dxa"/>
              <w:bottom w:w="80" w:type="dxa"/>
              <w:start w:w="120" w:type="dxa"/>
              <w:end w:w="120" w:type="dxa"/>
            </w:tcMar>
          </w:tcPr>
          <w:p>
            <w:pPr>
              <w:spacing w:after="40"/>
            </w:pPr>
            <w:r>
              <w:rPr>
                <w:rFonts w:ascii="Calibri" w:hAnsi="Calibri"/>
                <w:b w:val="0"/>
                <w:sz w:val="19"/>
              </w:rPr>
              <w:t>No fall, medical, emergency-dispatch or wellbeing claim from P0 evidence.</w:t>
            </w:r>
          </w:p>
        </w:tc>
      </w:tr>
      <w:tr>
        <w:tc>
          <w:tcPr>
            <w:tcW w:type="dxa" w:w="1368"/>
            <w:vAlign w:val="top"/>
            <w:tcMar>
              <w:top w:w="80" w:type="dxa"/>
              <w:bottom w:w="80" w:type="dxa"/>
              <w:start w:w="120" w:type="dxa"/>
              <w:end w:w="120" w:type="dxa"/>
            </w:tcMar>
          </w:tcPr>
          <w:p>
            <w:pPr>
              <w:spacing w:after="40"/>
            </w:pPr>
            <w:r>
              <w:rPr>
                <w:rFonts w:ascii="Calibri" w:hAnsi="Calibri"/>
                <w:b w:val="0"/>
                <w:sz w:val="19"/>
              </w:rPr>
              <w:t>NFR-02</w:t>
            </w:r>
          </w:p>
        </w:tc>
        <w:tc>
          <w:tcPr>
            <w:tcW w:type="dxa" w:w="4320"/>
            <w:vAlign w:val="top"/>
            <w:tcMar>
              <w:top w:w="80" w:type="dxa"/>
              <w:bottom w:w="80" w:type="dxa"/>
              <w:start w:w="120" w:type="dxa"/>
              <w:end w:w="120" w:type="dxa"/>
            </w:tcMar>
          </w:tcPr>
          <w:p>
            <w:pPr>
              <w:spacing w:after="40"/>
            </w:pPr>
            <w:r>
              <w:rPr>
                <w:rFonts w:ascii="Calibri" w:hAnsi="Calibri"/>
                <w:b w:val="0"/>
                <w:sz w:val="19"/>
              </w:rPr>
              <w:t>Responsiveness</w:t>
            </w:r>
          </w:p>
        </w:tc>
        <w:tc>
          <w:tcPr>
            <w:tcW w:type="dxa" w:w="3671"/>
            <w:vAlign w:val="top"/>
            <w:tcMar>
              <w:top w:w="80" w:type="dxa"/>
              <w:bottom w:w="80" w:type="dxa"/>
              <w:start w:w="120" w:type="dxa"/>
              <w:end w:w="120" w:type="dxa"/>
            </w:tcMar>
          </w:tcPr>
          <w:p>
            <w:pPr>
              <w:spacing w:after="40"/>
            </w:pPr>
            <w:r>
              <w:rPr>
                <w:rFonts w:ascii="Calibri" w:hAnsi="Calibri"/>
                <w:b w:val="0"/>
                <w:sz w:val="19"/>
              </w:rPr>
              <w:t>Local valid button confirmation within 500 ms; dashboard displays data age.</w:t>
            </w:r>
          </w:p>
        </w:tc>
      </w:tr>
      <w:tr>
        <w:tc>
          <w:tcPr>
            <w:tcW w:type="dxa" w:w="1368"/>
            <w:vAlign w:val="top"/>
            <w:tcMar>
              <w:top w:w="80" w:type="dxa"/>
              <w:bottom w:w="80" w:type="dxa"/>
              <w:start w:w="120" w:type="dxa"/>
              <w:end w:w="120" w:type="dxa"/>
            </w:tcMar>
          </w:tcPr>
          <w:p>
            <w:pPr>
              <w:spacing w:after="40"/>
            </w:pPr>
            <w:r>
              <w:rPr>
                <w:rFonts w:ascii="Calibri" w:hAnsi="Calibri"/>
                <w:b w:val="0"/>
                <w:sz w:val="19"/>
              </w:rPr>
              <w:t>NFR-03</w:t>
            </w:r>
          </w:p>
        </w:tc>
        <w:tc>
          <w:tcPr>
            <w:tcW w:type="dxa" w:w="4320"/>
            <w:vAlign w:val="top"/>
            <w:tcMar>
              <w:top w:w="80" w:type="dxa"/>
              <w:bottom w:w="80" w:type="dxa"/>
              <w:start w:w="120" w:type="dxa"/>
              <w:end w:w="120" w:type="dxa"/>
            </w:tcMar>
          </w:tcPr>
          <w:p>
            <w:pPr>
              <w:spacing w:after="40"/>
            </w:pPr>
            <w:r>
              <w:rPr>
                <w:rFonts w:ascii="Calibri" w:hAnsi="Calibri"/>
                <w:b w:val="0"/>
                <w:sz w:val="19"/>
              </w:rPr>
              <w:t>Availability</w:t>
            </w:r>
          </w:p>
        </w:tc>
        <w:tc>
          <w:tcPr>
            <w:tcW w:type="dxa" w:w="3671"/>
            <w:vAlign w:val="top"/>
            <w:tcMar>
              <w:top w:w="80" w:type="dxa"/>
              <w:bottom w:w="80" w:type="dxa"/>
              <w:start w:w="120" w:type="dxa"/>
              <w:end w:w="120" w:type="dxa"/>
            </w:tcMar>
          </w:tcPr>
          <w:p>
            <w:pPr>
              <w:spacing w:after="40"/>
            </w:pPr>
            <w:r>
              <w:rPr>
                <w:rFonts w:ascii="Calibri" w:hAnsi="Calibri"/>
                <w:b w:val="0"/>
                <w:sz w:val="19"/>
              </w:rPr>
              <w:t>Local operation during WAN outage; recovery replays unsent events without duplication.</w:t>
            </w:r>
          </w:p>
        </w:tc>
      </w:tr>
      <w:tr>
        <w:tc>
          <w:tcPr>
            <w:tcW w:type="dxa" w:w="1368"/>
            <w:vAlign w:val="top"/>
            <w:tcMar>
              <w:top w:w="80" w:type="dxa"/>
              <w:bottom w:w="80" w:type="dxa"/>
              <w:start w:w="120" w:type="dxa"/>
              <w:end w:w="120" w:type="dxa"/>
            </w:tcMar>
          </w:tcPr>
          <w:p>
            <w:pPr>
              <w:spacing w:after="40"/>
            </w:pPr>
            <w:r>
              <w:rPr>
                <w:rFonts w:ascii="Calibri" w:hAnsi="Calibri"/>
                <w:b w:val="0"/>
                <w:sz w:val="19"/>
              </w:rPr>
              <w:t>NFR-04</w:t>
            </w:r>
          </w:p>
        </w:tc>
        <w:tc>
          <w:tcPr>
            <w:tcW w:type="dxa" w:w="4320"/>
            <w:vAlign w:val="top"/>
            <w:tcMar>
              <w:top w:w="80" w:type="dxa"/>
              <w:bottom w:w="80" w:type="dxa"/>
              <w:start w:w="120" w:type="dxa"/>
              <w:end w:w="120" w:type="dxa"/>
            </w:tcMar>
          </w:tcPr>
          <w:p>
            <w:pPr>
              <w:spacing w:after="40"/>
            </w:pPr>
            <w:r>
              <w:rPr>
                <w:rFonts w:ascii="Calibri" w:hAnsi="Calibri"/>
                <w:b w:val="0"/>
                <w:sz w:val="19"/>
              </w:rPr>
              <w:t>Performance</w:t>
            </w:r>
          </w:p>
        </w:tc>
        <w:tc>
          <w:tcPr>
            <w:tcW w:type="dxa" w:w="3671"/>
            <w:vAlign w:val="top"/>
            <w:tcMar>
              <w:top w:w="80" w:type="dxa"/>
              <w:bottom w:w="80" w:type="dxa"/>
              <w:start w:w="120" w:type="dxa"/>
              <w:end w:w="120" w:type="dxa"/>
            </w:tcMar>
          </w:tcPr>
          <w:p>
            <w:pPr>
              <w:spacing w:after="40"/>
            </w:pPr>
            <w:r>
              <w:rPr>
                <w:rFonts w:ascii="Calibri" w:hAnsi="Calibri"/>
                <w:b w:val="0"/>
                <w:sz w:val="19"/>
              </w:rPr>
              <w:t>State-owner queues are bounded; no unbounded retry or blocking work in radio callback.</w:t>
            </w:r>
          </w:p>
        </w:tc>
      </w:tr>
      <w:tr>
        <w:tc>
          <w:tcPr>
            <w:tcW w:type="dxa" w:w="1368"/>
            <w:vAlign w:val="top"/>
            <w:tcMar>
              <w:top w:w="80" w:type="dxa"/>
              <w:bottom w:w="80" w:type="dxa"/>
              <w:start w:w="120" w:type="dxa"/>
              <w:end w:w="120" w:type="dxa"/>
            </w:tcMar>
          </w:tcPr>
          <w:p>
            <w:pPr>
              <w:spacing w:after="40"/>
            </w:pPr>
            <w:r>
              <w:rPr>
                <w:rFonts w:ascii="Calibri" w:hAnsi="Calibri"/>
                <w:b w:val="0"/>
                <w:sz w:val="19"/>
              </w:rPr>
              <w:t>NFR-05</w:t>
            </w:r>
          </w:p>
        </w:tc>
        <w:tc>
          <w:tcPr>
            <w:tcW w:type="dxa" w:w="4320"/>
            <w:vAlign w:val="top"/>
            <w:tcMar>
              <w:top w:w="80" w:type="dxa"/>
              <w:bottom w:w="80" w:type="dxa"/>
              <w:start w:w="120" w:type="dxa"/>
              <w:end w:w="120" w:type="dxa"/>
            </w:tcMar>
          </w:tcPr>
          <w:p>
            <w:pPr>
              <w:spacing w:after="40"/>
            </w:pPr>
            <w:r>
              <w:rPr>
                <w:rFonts w:ascii="Calibri" w:hAnsi="Calibri"/>
                <w:b w:val="0"/>
                <w:sz w:val="19"/>
              </w:rPr>
              <w:t>Resource use</w:t>
            </w:r>
          </w:p>
        </w:tc>
        <w:tc>
          <w:tcPr>
            <w:tcW w:type="dxa" w:w="3671"/>
            <w:vAlign w:val="top"/>
            <w:tcMar>
              <w:top w:w="80" w:type="dxa"/>
              <w:bottom w:w="80" w:type="dxa"/>
              <w:start w:w="120" w:type="dxa"/>
              <w:end w:w="120" w:type="dxa"/>
            </w:tcMar>
          </w:tcPr>
          <w:p>
            <w:pPr>
              <w:spacing w:after="40"/>
            </w:pPr>
            <w:r>
              <w:rPr>
                <w:rFonts w:ascii="Calibri" w:hAnsi="Calibri"/>
                <w:b w:val="0"/>
                <w:sz w:val="19"/>
              </w:rPr>
              <w:t>Measure RAM/flash/CPU/battery on actual ESP32 hardware; fail release if agreed budgets are exceeded.</w:t>
            </w:r>
          </w:p>
        </w:tc>
      </w:tr>
      <w:tr>
        <w:tc>
          <w:tcPr>
            <w:tcW w:type="dxa" w:w="1368"/>
            <w:vAlign w:val="top"/>
            <w:tcMar>
              <w:top w:w="80" w:type="dxa"/>
              <w:bottom w:w="80" w:type="dxa"/>
              <w:start w:w="120" w:type="dxa"/>
              <w:end w:w="120" w:type="dxa"/>
            </w:tcMar>
          </w:tcPr>
          <w:p>
            <w:pPr>
              <w:spacing w:after="40"/>
            </w:pPr>
            <w:r>
              <w:rPr>
                <w:rFonts w:ascii="Calibri" w:hAnsi="Calibri"/>
                <w:b w:val="0"/>
                <w:sz w:val="19"/>
              </w:rPr>
              <w:t>NFR-06</w:t>
            </w:r>
          </w:p>
        </w:tc>
        <w:tc>
          <w:tcPr>
            <w:tcW w:type="dxa" w:w="4320"/>
            <w:vAlign w:val="top"/>
            <w:tcMar>
              <w:top w:w="80" w:type="dxa"/>
              <w:bottom w:w="80" w:type="dxa"/>
              <w:start w:w="120" w:type="dxa"/>
              <w:end w:w="120" w:type="dxa"/>
            </w:tcMar>
          </w:tcPr>
          <w:p>
            <w:pPr>
              <w:spacing w:after="40"/>
            </w:pPr>
            <w:r>
              <w:rPr>
                <w:rFonts w:ascii="Calibri" w:hAnsi="Calibri"/>
                <w:b w:val="0"/>
                <w:sz w:val="19"/>
              </w:rPr>
              <w:t>Security</w:t>
            </w:r>
          </w:p>
        </w:tc>
        <w:tc>
          <w:tcPr>
            <w:tcW w:type="dxa" w:w="3671"/>
            <w:vAlign w:val="top"/>
            <w:tcMar>
              <w:top w:w="80" w:type="dxa"/>
              <w:bottom w:w="80" w:type="dxa"/>
              <w:start w:w="120" w:type="dxa"/>
              <w:end w:w="120" w:type="dxa"/>
            </w:tcMar>
          </w:tcPr>
          <w:p>
            <w:pPr>
              <w:spacing w:after="40"/>
            </w:pPr>
            <w:r>
              <w:rPr>
                <w:rFonts w:ascii="Calibri" w:hAnsi="Calibri"/>
                <w:b w:val="0"/>
                <w:sz w:val="19"/>
              </w:rPr>
              <w:t>Unique credentials, encrypted/authenticated transport, signed OTA and least-privilege access.</w:t>
            </w:r>
          </w:p>
        </w:tc>
      </w:tr>
      <w:tr>
        <w:tc>
          <w:tcPr>
            <w:tcW w:type="dxa" w:w="1368"/>
            <w:vAlign w:val="top"/>
            <w:tcMar>
              <w:top w:w="80" w:type="dxa"/>
              <w:bottom w:w="80" w:type="dxa"/>
              <w:start w:w="120" w:type="dxa"/>
              <w:end w:w="120" w:type="dxa"/>
            </w:tcMar>
          </w:tcPr>
          <w:p>
            <w:pPr>
              <w:spacing w:after="40"/>
            </w:pPr>
            <w:r>
              <w:rPr>
                <w:rFonts w:ascii="Calibri" w:hAnsi="Calibri"/>
                <w:b w:val="0"/>
                <w:sz w:val="19"/>
              </w:rPr>
              <w:t>NFR-07</w:t>
            </w:r>
          </w:p>
        </w:tc>
        <w:tc>
          <w:tcPr>
            <w:tcW w:type="dxa" w:w="4320"/>
            <w:vAlign w:val="top"/>
            <w:tcMar>
              <w:top w:w="80" w:type="dxa"/>
              <w:bottom w:w="80" w:type="dxa"/>
              <w:start w:w="120" w:type="dxa"/>
              <w:end w:w="120" w:type="dxa"/>
            </w:tcMar>
          </w:tcPr>
          <w:p>
            <w:pPr>
              <w:spacing w:after="40"/>
            </w:pPr>
            <w:r>
              <w:rPr>
                <w:rFonts w:ascii="Calibri" w:hAnsi="Calibri"/>
                <w:b w:val="0"/>
                <w:sz w:val="19"/>
              </w:rPr>
              <w:t>Privacy</w:t>
            </w:r>
          </w:p>
        </w:tc>
        <w:tc>
          <w:tcPr>
            <w:tcW w:type="dxa" w:w="3671"/>
            <w:vAlign w:val="top"/>
            <w:tcMar>
              <w:top w:w="80" w:type="dxa"/>
              <w:bottom w:w="80" w:type="dxa"/>
              <w:start w:w="120" w:type="dxa"/>
              <w:end w:w="120" w:type="dxa"/>
            </w:tcMar>
          </w:tcPr>
          <w:p>
            <w:pPr>
              <w:spacing w:after="40"/>
            </w:pPr>
            <w:r>
              <w:rPr>
                <w:rFonts w:ascii="Calibri" w:hAnsi="Calibri"/>
                <w:b w:val="0"/>
                <w:sz w:val="19"/>
              </w:rPr>
              <w:t>Camera-free/no always-on listening P0; consent withdrawal is effective and auditable.</w:t>
            </w:r>
          </w:p>
        </w:tc>
      </w:tr>
      <w:tr>
        <w:tc>
          <w:tcPr>
            <w:tcW w:type="dxa" w:w="1368"/>
            <w:vAlign w:val="top"/>
            <w:tcMar>
              <w:top w:w="80" w:type="dxa"/>
              <w:bottom w:w="80" w:type="dxa"/>
              <w:start w:w="120" w:type="dxa"/>
              <w:end w:w="120" w:type="dxa"/>
            </w:tcMar>
          </w:tcPr>
          <w:p>
            <w:pPr>
              <w:spacing w:after="40"/>
            </w:pPr>
            <w:r>
              <w:rPr>
                <w:rFonts w:ascii="Calibri" w:hAnsi="Calibri"/>
                <w:b w:val="0"/>
                <w:sz w:val="19"/>
              </w:rPr>
              <w:t>NFR-08</w:t>
            </w:r>
          </w:p>
        </w:tc>
        <w:tc>
          <w:tcPr>
            <w:tcW w:type="dxa" w:w="4320"/>
            <w:vAlign w:val="top"/>
            <w:tcMar>
              <w:top w:w="80" w:type="dxa"/>
              <w:bottom w:w="80" w:type="dxa"/>
              <w:start w:w="120" w:type="dxa"/>
              <w:end w:w="120" w:type="dxa"/>
            </w:tcMar>
          </w:tcPr>
          <w:p>
            <w:pPr>
              <w:spacing w:after="40"/>
            </w:pPr>
            <w:r>
              <w:rPr>
                <w:rFonts w:ascii="Calibri" w:hAnsi="Calibri"/>
                <w:b w:val="0"/>
                <w:sz w:val="19"/>
              </w:rPr>
              <w:t>Maintainability</w:t>
            </w:r>
          </w:p>
        </w:tc>
        <w:tc>
          <w:tcPr>
            <w:tcW w:type="dxa" w:w="3671"/>
            <w:vAlign w:val="top"/>
            <w:tcMar>
              <w:top w:w="80" w:type="dxa"/>
              <w:bottom w:w="80" w:type="dxa"/>
              <w:start w:w="120" w:type="dxa"/>
              <w:end w:w="120" w:type="dxa"/>
            </w:tcMar>
          </w:tcPr>
          <w:p>
            <w:pPr>
              <w:spacing w:after="40"/>
            </w:pPr>
            <w:r>
              <w:rPr>
                <w:rFonts w:ascii="Calibri" w:hAnsi="Calibri"/>
                <w:b w:val="0"/>
                <w:sz w:val="19"/>
              </w:rPr>
              <w:t>Module IDs, contracts, deterministic rules, automated tests and reproducible builds.</w:t>
            </w:r>
          </w:p>
        </w:tc>
      </w:tr>
      <w:tr>
        <w:tc>
          <w:tcPr>
            <w:tcW w:type="dxa" w:w="1368"/>
            <w:vAlign w:val="top"/>
            <w:tcMar>
              <w:top w:w="80" w:type="dxa"/>
              <w:bottom w:w="80" w:type="dxa"/>
              <w:start w:w="120" w:type="dxa"/>
              <w:end w:w="120" w:type="dxa"/>
            </w:tcMar>
          </w:tcPr>
          <w:p>
            <w:pPr>
              <w:spacing w:after="40"/>
            </w:pPr>
            <w:r>
              <w:rPr>
                <w:rFonts w:ascii="Calibri" w:hAnsi="Calibri"/>
                <w:b w:val="0"/>
                <w:sz w:val="19"/>
              </w:rPr>
              <w:t>NFR-09</w:t>
            </w:r>
          </w:p>
        </w:tc>
        <w:tc>
          <w:tcPr>
            <w:tcW w:type="dxa" w:w="4320"/>
            <w:vAlign w:val="top"/>
            <w:tcMar>
              <w:top w:w="80" w:type="dxa"/>
              <w:bottom w:w="80" w:type="dxa"/>
              <w:start w:w="120" w:type="dxa"/>
              <w:end w:w="120" w:type="dxa"/>
            </w:tcMar>
          </w:tcPr>
          <w:p>
            <w:pPr>
              <w:spacing w:after="40"/>
            </w:pPr>
            <w:r>
              <w:rPr>
                <w:rFonts w:ascii="Calibri" w:hAnsi="Calibri"/>
                <w:b w:val="0"/>
                <w:sz w:val="19"/>
              </w:rPr>
              <w:t>Supportability</w:t>
            </w:r>
          </w:p>
        </w:tc>
        <w:tc>
          <w:tcPr>
            <w:tcW w:type="dxa" w:w="3671"/>
            <w:vAlign w:val="top"/>
            <w:tcMar>
              <w:top w:w="80" w:type="dxa"/>
              <w:bottom w:w="80" w:type="dxa"/>
              <w:start w:w="120" w:type="dxa"/>
              <w:end w:w="120" w:type="dxa"/>
            </w:tcMar>
          </w:tcPr>
          <w:p>
            <w:pPr>
              <w:spacing w:after="40"/>
            </w:pPr>
            <w:r>
              <w:rPr>
                <w:rFonts w:ascii="Calibri" w:hAnsi="Calibri"/>
                <w:b w:val="0"/>
                <w:sz w:val="19"/>
              </w:rPr>
              <w:t>Bounded structured `.txt` diagnostics; ERROR always; TRACE build-gated; no secrets.</w:t>
            </w:r>
          </w:p>
        </w:tc>
      </w:tr>
      <w:tr>
        <w:tc>
          <w:tcPr>
            <w:tcW w:type="dxa" w:w="1368"/>
            <w:vAlign w:val="top"/>
            <w:tcMar>
              <w:top w:w="80" w:type="dxa"/>
              <w:bottom w:w="80" w:type="dxa"/>
              <w:start w:w="120" w:type="dxa"/>
              <w:end w:w="120" w:type="dxa"/>
            </w:tcMar>
          </w:tcPr>
          <w:p>
            <w:pPr>
              <w:spacing w:after="40"/>
            </w:pPr>
            <w:r>
              <w:rPr>
                <w:rFonts w:ascii="Calibri" w:hAnsi="Calibri"/>
                <w:b w:val="0"/>
                <w:sz w:val="19"/>
              </w:rPr>
              <w:t>NFR-10</w:t>
            </w:r>
          </w:p>
        </w:tc>
        <w:tc>
          <w:tcPr>
            <w:tcW w:type="dxa" w:w="4320"/>
            <w:vAlign w:val="top"/>
            <w:tcMar>
              <w:top w:w="80" w:type="dxa"/>
              <w:bottom w:w="80" w:type="dxa"/>
              <w:start w:w="120" w:type="dxa"/>
              <w:end w:w="120" w:type="dxa"/>
            </w:tcMar>
          </w:tcPr>
          <w:p>
            <w:pPr>
              <w:spacing w:after="40"/>
            </w:pPr>
            <w:r>
              <w:rPr>
                <w:rFonts w:ascii="Calibri" w:hAnsi="Calibri"/>
                <w:b w:val="0"/>
                <w:sz w:val="19"/>
              </w:rPr>
              <w:t>Accessibility</w:t>
            </w:r>
          </w:p>
        </w:tc>
        <w:tc>
          <w:tcPr>
            <w:tcW w:type="dxa" w:w="3671"/>
            <w:vAlign w:val="top"/>
            <w:tcMar>
              <w:top w:w="80" w:type="dxa"/>
              <w:bottom w:w="80" w:type="dxa"/>
              <w:start w:w="120" w:type="dxa"/>
              <w:end w:w="120" w:type="dxa"/>
            </w:tcMar>
          </w:tcPr>
          <w:p>
            <w:pPr>
              <w:spacing w:after="40"/>
            </w:pPr>
            <w:r>
              <w:rPr>
                <w:rFonts w:ascii="Calibri" w:hAnsi="Calibri"/>
                <w:b w:val="0"/>
                <w:sz w:val="19"/>
              </w:rPr>
              <w:t>Large resident actions, clear labels, visible local state and caregiver-readable uncertainty.</w:t>
            </w:r>
          </w:p>
        </w:tc>
      </w:tr>
    </w:tbl>
    <w:p>
      <w:pPr>
        <w:spacing w:after="40"/>
      </w:pPr>
    </w:p>
    <w:p>
      <w:pPr>
        <w:pStyle w:val="Heading1"/>
      </w:pPr>
      <w:r>
        <w:t>8. Privacy, security and consent requirements</w:t>
      </w:r>
    </w:p>
    <w:p>
      <w:pPr>
        <w:pStyle w:val="ListBullet"/>
        <w:spacing w:after="80"/>
      </w:pPr>
      <w:r>
        <w:t>Resident consent is required before passive observation; withdrawal enters PRIVACY and stops configured passive collection.</w:t>
      </w:r>
    </w:p>
    <w:p>
      <w:pPr>
        <w:pStyle w:val="ListBullet"/>
        <w:spacing w:after="80"/>
      </w:pPr>
      <w:r>
        <w:t>The P0 default has no camera, microphone, speech recognition or audio upload. Any future sensor must have a separate consent and retention decision.</w:t>
      </w:r>
    </w:p>
    <w:p>
      <w:pPr>
        <w:pStyle w:val="ListBullet"/>
        <w:spacing w:after="80"/>
      </w:pPr>
      <w:r>
        <w:t>Caregiver access is tenant-scoped. A caregiver may see only households for which an active role exists.</w:t>
      </w:r>
    </w:p>
    <w:p>
      <w:pPr>
        <w:pStyle w:val="ListBullet"/>
        <w:spacing w:after="80"/>
      </w:pPr>
      <w:r>
        <w:t>Secrets are stored by reference, never in logs, exports, test fixtures or UI error messages.</w:t>
      </w:r>
    </w:p>
    <w:p>
      <w:pPr>
        <w:pStyle w:val="ListBullet"/>
        <w:spacing w:after="80"/>
      </w:pPr>
      <w:r>
        <w:t>Support tooling uses minimum necessary data and records support access; test events are visibly marked and never create production incidents.</w:t>
      </w:r>
    </w:p>
    <w:p>
      <w:pPr>
        <w:pStyle w:val="ListBullet"/>
        <w:spacing w:after="80"/>
      </w:pPr>
      <w:r>
        <w:t>Retention and deletion are explicit configuration, with deletion/revocation reflected in backend and device state.</w:t>
      </w:r>
    </w:p>
    <w:p>
      <w:pPr>
        <w:pStyle w:val="Heading1"/>
      </w:pPr>
      <w:r>
        <w:t>9. Logging and diagnostics requirements</w:t>
      </w:r>
    </w:p>
    <w:p>
      <w:r>
        <w:t>The implementation uses a common structured record: level, category, module, event and bounded detail. ERROR is always retained for critical flow breaks; TRACE is build/deployment gated and shows development call flow. Host/backend files rotate at 128 KiB; browser memory is limited to 128 records. Logging failure must never block product logic.</w:t>
      </w:r>
    </w:p>
    <w:tbl>
      <w:tblPr>
        <w:tblW w:type="dxa" w:w="9360"/>
        <w:jc w:val="left"/>
        <w:tblLayout w:type="fixed"/>
        <w:tblLook w:firstColumn="1" w:firstRow="1" w:lastColumn="0" w:lastRow="0" w:noHBand="0" w:noVBand="1" w:val="04A0"/>
        <w:tblInd w:w="120" w:type="dxa"/>
      </w:tblPr>
      <w:tblGrid>
        <w:gridCol w:w="1944"/>
        <w:gridCol w:w="7416"/>
      </w:tblGrid>
      <w:tr>
        <w:tc>
          <w:tcPr>
            <w:tcW w:type="dxa" w:w="1944"/>
            <w:vAlign w:val="top"/>
            <w:shd w:fill="E8EEF5"/>
            <w:tcMar>
              <w:top w:w="80" w:type="dxa"/>
              <w:bottom w:w="80" w:type="dxa"/>
              <w:start w:w="120" w:type="dxa"/>
              <w:end w:w="120" w:type="dxa"/>
            </w:tcMar>
          </w:tcPr>
          <w:p>
            <w:pPr>
              <w:spacing w:after="40"/>
            </w:pPr>
            <w:r>
              <w:rPr>
                <w:rFonts w:ascii="Calibri" w:hAnsi="Calibri"/>
                <w:b/>
                <w:sz w:val="19"/>
              </w:rPr>
              <w:t>Requirement</w:t>
            </w:r>
          </w:p>
        </w:tc>
        <w:tc>
          <w:tcPr>
            <w:tcW w:type="dxa" w:w="7416"/>
            <w:vAlign w:val="top"/>
            <w:shd w:fill="E8EEF5"/>
            <w:tcMar>
              <w:top w:w="80" w:type="dxa"/>
              <w:bottom w:w="80" w:type="dxa"/>
              <w:start w:w="120" w:type="dxa"/>
              <w:end w:w="120" w:type="dxa"/>
            </w:tcMar>
          </w:tcPr>
          <w:p>
            <w:pPr>
              <w:spacing w:after="40"/>
            </w:pPr>
            <w:r>
              <w:rPr>
                <w:rFonts w:ascii="Calibri" w:hAnsi="Calibri"/>
                <w:b/>
                <w:sz w:val="19"/>
              </w:rPr>
              <w:t>Implementation / verification</w:t>
            </w:r>
          </w:p>
        </w:tc>
      </w:tr>
      <w:tr>
        <w:tc>
          <w:tcPr>
            <w:tcW w:type="dxa" w:w="1944"/>
            <w:vAlign w:val="top"/>
            <w:tcMar>
              <w:top w:w="80" w:type="dxa"/>
              <w:bottom w:w="80" w:type="dxa"/>
              <w:start w:w="120" w:type="dxa"/>
              <w:end w:w="120" w:type="dxa"/>
            </w:tcMar>
          </w:tcPr>
          <w:p>
            <w:pPr>
              <w:spacing w:after="40"/>
            </w:pPr>
            <w:r>
              <w:rPr>
                <w:rFonts w:ascii="Calibri" w:hAnsi="Calibri"/>
                <w:b w:val="0"/>
                <w:sz w:val="19"/>
              </w:rPr>
              <w:t>ERROR always</w:t>
            </w:r>
          </w:p>
        </w:tc>
        <w:tc>
          <w:tcPr>
            <w:tcW w:type="dxa" w:w="7416"/>
            <w:vAlign w:val="top"/>
            <w:tcMar>
              <w:top w:w="80" w:type="dxa"/>
              <w:bottom w:w="80" w:type="dxa"/>
              <w:start w:w="120" w:type="dxa"/>
              <w:end w:w="120" w:type="dxa"/>
            </w:tcMar>
          </w:tcPr>
          <w:p>
            <w:pPr>
              <w:spacing w:after="40"/>
            </w:pPr>
            <w:r>
              <w:rPr>
                <w:rFonts w:ascii="Calibri" w:hAnsi="Calibri"/>
                <w:b w:val="0"/>
                <w:sz w:val="19"/>
              </w:rPr>
              <w:t>C++ GS_ERROR and backend/app error paths; forced-error tests confirm retention.</w:t>
            </w:r>
          </w:p>
        </w:tc>
      </w:tr>
      <w:tr>
        <w:tc>
          <w:tcPr>
            <w:tcW w:type="dxa" w:w="1944"/>
            <w:vAlign w:val="top"/>
            <w:tcMar>
              <w:top w:w="80" w:type="dxa"/>
              <w:bottom w:w="80" w:type="dxa"/>
              <w:start w:w="120" w:type="dxa"/>
              <w:end w:w="120" w:type="dxa"/>
            </w:tcMar>
          </w:tcPr>
          <w:p>
            <w:pPr>
              <w:spacing w:after="40"/>
            </w:pPr>
            <w:r>
              <w:rPr>
                <w:rFonts w:ascii="Calibri" w:hAnsi="Calibri"/>
                <w:b w:val="0"/>
                <w:sz w:val="19"/>
              </w:rPr>
              <w:t>TRACE optional</w:t>
            </w:r>
          </w:p>
        </w:tc>
        <w:tc>
          <w:tcPr>
            <w:tcW w:type="dxa" w:w="7416"/>
            <w:vAlign w:val="top"/>
            <w:tcMar>
              <w:top w:w="80" w:type="dxa"/>
              <w:bottom w:w="80" w:type="dxa"/>
              <w:start w:w="120" w:type="dxa"/>
              <w:end w:w="120" w:type="dxa"/>
            </w:tcMar>
          </w:tcPr>
          <w:p>
            <w:pPr>
              <w:spacing w:after="40"/>
            </w:pPr>
            <w:r>
              <w:rPr>
                <w:rFonts w:ascii="Calibri" w:hAnsi="Calibri"/>
                <w:b w:val="0"/>
                <w:sz w:val="19"/>
              </w:rPr>
              <w:t>GS_ENABLE_TRACE for C++; GS_TRACE for backend; __GS_TRACE__ build injection for app.</w:t>
            </w:r>
          </w:p>
        </w:tc>
      </w:tr>
      <w:tr>
        <w:tc>
          <w:tcPr>
            <w:tcW w:type="dxa" w:w="1944"/>
            <w:vAlign w:val="top"/>
            <w:tcMar>
              <w:top w:w="80" w:type="dxa"/>
              <w:bottom w:w="80" w:type="dxa"/>
              <w:start w:w="120" w:type="dxa"/>
              <w:end w:w="120" w:type="dxa"/>
            </w:tcMar>
          </w:tcPr>
          <w:p>
            <w:pPr>
              <w:spacing w:after="40"/>
            </w:pPr>
            <w:r>
              <w:rPr>
                <w:rFonts w:ascii="Calibri" w:hAnsi="Calibri"/>
                <w:b w:val="0"/>
                <w:sz w:val="19"/>
              </w:rPr>
              <w:t>Low memory</w:t>
            </w:r>
          </w:p>
        </w:tc>
        <w:tc>
          <w:tcPr>
            <w:tcW w:type="dxa" w:w="7416"/>
            <w:vAlign w:val="top"/>
            <w:tcMar>
              <w:top w:w="80" w:type="dxa"/>
              <w:bottom w:w="80" w:type="dxa"/>
              <w:start w:w="120" w:type="dxa"/>
              <w:end w:w="120" w:type="dxa"/>
            </w:tcMar>
          </w:tcPr>
          <w:p>
            <w:pPr>
              <w:spacing w:after="40"/>
            </w:pPr>
            <w:r>
              <w:rPr>
                <w:rFonts w:ascii="Calibri" w:hAnsi="Calibri"/>
                <w:b w:val="0"/>
                <w:sz w:val="19"/>
              </w:rPr>
              <w:t>Fixed C++ stack buffer; bounded ring/rotation; no resident payloads or credentials.</w:t>
            </w:r>
          </w:p>
        </w:tc>
      </w:tr>
      <w:tr>
        <w:tc>
          <w:tcPr>
            <w:tcW w:type="dxa" w:w="1944"/>
            <w:vAlign w:val="top"/>
            <w:tcMar>
              <w:top w:w="80" w:type="dxa"/>
              <w:bottom w:w="80" w:type="dxa"/>
              <w:start w:w="120" w:type="dxa"/>
              <w:end w:w="120" w:type="dxa"/>
            </w:tcMar>
          </w:tcPr>
          <w:p>
            <w:pPr>
              <w:spacing w:after="40"/>
            </w:pPr>
            <w:r>
              <w:rPr>
                <w:rFonts w:ascii="Calibri" w:hAnsi="Calibri"/>
                <w:b w:val="0"/>
                <w:sz w:val="19"/>
              </w:rPr>
              <w:t>Fault analysis</w:t>
            </w:r>
          </w:p>
        </w:tc>
        <w:tc>
          <w:tcPr>
            <w:tcW w:type="dxa" w:w="7416"/>
            <w:vAlign w:val="top"/>
            <w:tcMar>
              <w:top w:w="80" w:type="dxa"/>
              <w:bottom w:w="80" w:type="dxa"/>
              <w:start w:w="120" w:type="dxa"/>
              <w:end w:w="120" w:type="dxa"/>
            </w:tcMar>
          </w:tcPr>
          <w:p>
            <w:pPr>
              <w:spacing w:after="40"/>
            </w:pPr>
            <w:r>
              <w:rPr>
                <w:rFonts w:ascii="Calibri" w:hAnsi="Calibri"/>
                <w:b w:val="0"/>
                <w:sz w:val="19"/>
              </w:rPr>
              <w:t>tools/logs/analyze_logs.py validates records; sanitizer tests address memory faults separately.</w:t>
            </w:r>
          </w:p>
        </w:tc>
      </w:tr>
      <w:tr>
        <w:tc>
          <w:tcPr>
            <w:tcW w:type="dxa" w:w="1944"/>
            <w:vAlign w:val="top"/>
            <w:tcMar>
              <w:top w:w="80" w:type="dxa"/>
              <w:bottom w:w="80" w:type="dxa"/>
              <w:start w:w="120" w:type="dxa"/>
              <w:end w:w="120" w:type="dxa"/>
            </w:tcMar>
          </w:tcPr>
          <w:p>
            <w:pPr>
              <w:spacing w:after="40"/>
            </w:pPr>
            <w:r>
              <w:rPr>
                <w:rFonts w:ascii="Calibri" w:hAnsi="Calibri"/>
                <w:b w:val="0"/>
                <w:sz w:val="19"/>
              </w:rPr>
              <w:t>Hardware pending</w:t>
            </w:r>
          </w:p>
        </w:tc>
        <w:tc>
          <w:tcPr>
            <w:tcW w:type="dxa" w:w="7416"/>
            <w:vAlign w:val="top"/>
            <w:tcMar>
              <w:top w:w="80" w:type="dxa"/>
              <w:bottom w:w="80" w:type="dxa"/>
              <w:start w:w="120" w:type="dxa"/>
              <w:end w:w="120" w:type="dxa"/>
            </w:tcMar>
          </w:tcPr>
          <w:p>
            <w:pPr>
              <w:spacing w:after="40"/>
            </w:pPr>
            <w:r>
              <w:rPr>
                <w:rFonts w:ascii="Calibri" w:hAnsi="Calibri"/>
                <w:b w:val="0"/>
                <w:sz w:val="19"/>
              </w:rPr>
              <w:t>ESP-IDF sink, FreeRTOS concurrent writes, flash wear, brown-out, watchdog/panic and coredump retrieval require board validation.</w:t>
            </w:r>
          </w:p>
        </w:tc>
      </w:tr>
    </w:tbl>
    <w:p>
      <w:pPr>
        <w:spacing w:after="40"/>
      </w:pPr>
    </w:p>
    <w:p>
      <w:pPr>
        <w:pStyle w:val="Heading1"/>
      </w:pPr>
      <w:r>
        <w:t>10. Verification and release criteria</w:t>
      </w:r>
    </w:p>
    <w:p>
      <w:pPr>
        <w:pStyle w:val="Heading2"/>
      </w:pPr>
      <w:r>
        <w:t>Host/software exit criteria</w:t>
      </w:r>
    </w:p>
    <w:p>
      <w:pPr>
        <w:pStyle w:val="ListBullet"/>
        <w:spacing w:after="80"/>
      </w:pPr>
      <w:r>
        <w:t>All F01–F14 and E01–E10 requirement tests pass, including negative and boundary cases.</w:t>
      </w:r>
    </w:p>
    <w:p>
      <w:pPr>
        <w:pStyle w:val="ListBullet"/>
        <w:spacing w:after="80"/>
      </w:pPr>
      <w:r>
        <w:t>C++ production, trace and sanitizer profiles pass; backend and app tests pass; contracts are validated.</w:t>
      </w:r>
    </w:p>
    <w:p>
      <w:pPr>
        <w:pStyle w:val="ListBullet"/>
        <w:spacing w:after="80"/>
      </w:pPr>
      <w:r>
        <w:t>Production diagnostic sample contains no TRACE; development sample contains structured traces across module groups.</w:t>
      </w:r>
    </w:p>
    <w:p>
      <w:pPr>
        <w:pStyle w:val="ListBullet"/>
        <w:spacing w:after="80"/>
      </w:pPr>
      <w:r>
        <w:t>No test fixture or diagnostic record contains secrets, resident names or raw household event payloads.</w:t>
      </w:r>
    </w:p>
    <w:p>
      <w:pPr>
        <w:pStyle w:val="ListBullet"/>
        <w:spacing w:after="80"/>
      </w:pPr>
      <w:r>
        <w:t>Build and test commands are reproducible from a clean checkout.</w:t>
      </w:r>
    </w:p>
    <w:p>
      <w:pPr>
        <w:pStyle w:val="Heading2"/>
      </w:pPr>
      <w:r>
        <w:t>Physical pilot/commercial gates</w:t>
      </w:r>
    </w:p>
    <w:p>
      <w:pPr>
        <w:pStyle w:val="ListBullet"/>
        <w:spacing w:after="80"/>
      </w:pPr>
      <w:r>
        <w:t>One hub plus four C3 nodes pass installation, placement, radio, button, privacy and notification drills in the target home.</w:t>
      </w:r>
    </w:p>
    <w:p>
      <w:pPr>
        <w:pStyle w:val="ListBullet"/>
        <w:spacing w:after="80"/>
      </w:pPr>
      <w:r>
        <w:t>Power/UPS, battery, brown-out, reboot, flash-wear, watchdog and measured RAM/flash/CPU/battery targets pass on the selected hardware.</w:t>
      </w:r>
    </w:p>
    <w:p>
      <w:pPr>
        <w:pStyle w:val="ListBullet"/>
        <w:spacing w:after="80"/>
      </w:pPr>
      <w:r>
        <w:t>WAN outage, router outage, node offline, hub offline and notification-provider failure are clearly separated in UI and support logs.</w:t>
      </w:r>
    </w:p>
    <w:p>
      <w:pPr>
        <w:pStyle w:val="ListBullet"/>
        <w:spacing w:after="80"/>
      </w:pPr>
      <w:r>
        <w:t>Consent, retention, OTA signing, rollback, credential revocation and support access are reviewed before unattended pilot.</w:t>
      </w:r>
    </w:p>
    <w:p>
      <w:pPr>
        <w:pStyle w:val="ListBullet"/>
        <w:spacing w:after="80"/>
      </w:pPr>
      <w:r>
        <w:t>Caregiver and resident usability tests confirm that “no activity” and “coverage unavailable” are not confused.</w:t>
      </w:r>
    </w:p>
    <w:p>
      <w:pPr>
        <w:pStyle w:val="Heading1"/>
      </w:pPr>
      <w:r>
        <w:t>11. Traceability and implementation status</w:t>
      </w:r>
    </w:p>
    <w:tbl>
      <w:tblPr>
        <w:tblW w:type="dxa" w:w="9360"/>
        <w:jc w:val="left"/>
        <w:tblLayout w:type="fixed"/>
        <w:tblLook w:firstColumn="1" w:firstRow="1" w:lastColumn="0" w:lastRow="0" w:noHBand="0" w:noVBand="1" w:val="04A0"/>
        <w:tblInd w:w="120" w:type="dxa"/>
      </w:tblPr>
      <w:tblGrid>
        <w:gridCol w:w="1800"/>
        <w:gridCol w:w="4536"/>
        <w:gridCol w:w="3024"/>
      </w:tblGrid>
      <w:tr>
        <w:tc>
          <w:tcPr>
            <w:tcW w:type="dxa" w:w="1800"/>
            <w:vAlign w:val="top"/>
            <w:shd w:fill="E8EEF5"/>
            <w:tcMar>
              <w:top w:w="80" w:type="dxa"/>
              <w:bottom w:w="80" w:type="dxa"/>
              <w:start w:w="120" w:type="dxa"/>
              <w:end w:w="120" w:type="dxa"/>
            </w:tcMar>
          </w:tcPr>
          <w:p>
            <w:pPr>
              <w:spacing w:after="40"/>
            </w:pPr>
            <w:r>
              <w:rPr>
                <w:rFonts w:ascii="Calibri" w:hAnsi="Calibri"/>
                <w:b/>
                <w:sz w:val="19"/>
              </w:rPr>
              <w:t>Requirement group</w:t>
            </w:r>
          </w:p>
        </w:tc>
        <w:tc>
          <w:tcPr>
            <w:tcW w:type="dxa" w:w="4536"/>
            <w:vAlign w:val="top"/>
            <w:shd w:fill="E8EEF5"/>
            <w:tcMar>
              <w:top w:w="80" w:type="dxa"/>
              <w:bottom w:w="80" w:type="dxa"/>
              <w:start w:w="120" w:type="dxa"/>
              <w:end w:w="120" w:type="dxa"/>
            </w:tcMar>
          </w:tcPr>
          <w:p>
            <w:pPr>
              <w:spacing w:after="40"/>
            </w:pPr>
            <w:r>
              <w:rPr>
                <w:rFonts w:ascii="Calibri" w:hAnsi="Calibri"/>
                <w:b/>
                <w:sz w:val="19"/>
              </w:rPr>
              <w:t>Primary modules / artefacts</w:t>
            </w:r>
          </w:p>
        </w:tc>
        <w:tc>
          <w:tcPr>
            <w:tcW w:type="dxa" w:w="3024"/>
            <w:vAlign w:val="top"/>
            <w:shd w:fill="E8EEF5"/>
            <w:tcMar>
              <w:top w:w="80" w:type="dxa"/>
              <w:bottom w:w="80" w:type="dxa"/>
              <w:start w:w="120" w:type="dxa"/>
              <w:end w:w="120" w:type="dxa"/>
            </w:tcMar>
          </w:tcPr>
          <w:p>
            <w:pPr>
              <w:spacing w:after="40"/>
            </w:pPr>
            <w:r>
              <w:rPr>
                <w:rFonts w:ascii="Calibri" w:hAnsi="Calibri"/>
                <w:b/>
                <w:sz w:val="19"/>
              </w:rPr>
              <w:t>Current state</w:t>
            </w:r>
          </w:p>
        </w:tc>
      </w:tr>
      <w:tr>
        <w:tc>
          <w:tcPr>
            <w:tcW w:type="dxa" w:w="1800"/>
            <w:vAlign w:val="top"/>
            <w:tcMar>
              <w:top w:w="80" w:type="dxa"/>
              <w:bottom w:w="80" w:type="dxa"/>
              <w:start w:w="120" w:type="dxa"/>
              <w:end w:w="120" w:type="dxa"/>
            </w:tcMar>
          </w:tcPr>
          <w:p>
            <w:pPr>
              <w:spacing w:after="40"/>
            </w:pPr>
            <w:r>
              <w:rPr>
                <w:rFonts w:ascii="Calibri" w:hAnsi="Calibri"/>
                <w:b w:val="0"/>
                <w:sz w:val="19"/>
              </w:rPr>
              <w:t>F01–F14</w:t>
            </w:r>
          </w:p>
        </w:tc>
        <w:tc>
          <w:tcPr>
            <w:tcW w:type="dxa" w:w="4536"/>
            <w:vAlign w:val="top"/>
            <w:tcMar>
              <w:top w:w="80" w:type="dxa"/>
              <w:bottom w:w="80" w:type="dxa"/>
              <w:start w:w="120" w:type="dxa"/>
              <w:end w:w="120" w:type="dxa"/>
            </w:tcMar>
          </w:tcPr>
          <w:p>
            <w:pPr>
              <w:spacing w:after="40"/>
            </w:pPr>
            <w:r>
              <w:rPr>
                <w:rFonts w:ascii="Calibri" w:hAnsi="Calibri"/>
                <w:b w:val="0"/>
                <w:sz w:val="19"/>
              </w:rPr>
              <w:t>Node N01–N05; hub H01–H08; backend B01–B12; app A01–A05; S00–S01</w:t>
            </w:r>
          </w:p>
        </w:tc>
        <w:tc>
          <w:tcPr>
            <w:tcW w:type="dxa" w:w="3024"/>
            <w:vAlign w:val="top"/>
            <w:tcMar>
              <w:top w:w="80" w:type="dxa"/>
              <w:bottom w:w="80" w:type="dxa"/>
              <w:start w:w="120" w:type="dxa"/>
              <w:end w:w="120" w:type="dxa"/>
            </w:tcMar>
          </w:tcPr>
          <w:p>
            <w:pPr>
              <w:spacing w:after="40"/>
            </w:pPr>
            <w:r>
              <w:rPr>
                <w:rFonts w:ascii="Calibri" w:hAnsi="Calibri"/>
                <w:b w:val="0"/>
                <w:sz w:val="19"/>
              </w:rPr>
              <w:t>Hardware-independent reference implementation and host tests available.</w:t>
            </w:r>
          </w:p>
        </w:tc>
      </w:tr>
      <w:tr>
        <w:tc>
          <w:tcPr>
            <w:tcW w:type="dxa" w:w="1800"/>
            <w:vAlign w:val="top"/>
            <w:tcMar>
              <w:top w:w="80" w:type="dxa"/>
              <w:bottom w:w="80" w:type="dxa"/>
              <w:start w:w="120" w:type="dxa"/>
              <w:end w:w="120" w:type="dxa"/>
            </w:tcMar>
          </w:tcPr>
          <w:p>
            <w:pPr>
              <w:spacing w:after="40"/>
            </w:pPr>
            <w:r>
              <w:rPr>
                <w:rFonts w:ascii="Calibri" w:hAnsi="Calibri"/>
                <w:b w:val="0"/>
                <w:sz w:val="19"/>
              </w:rPr>
              <w:t>E01–E10</w:t>
            </w:r>
          </w:p>
        </w:tc>
        <w:tc>
          <w:tcPr>
            <w:tcW w:type="dxa" w:w="4536"/>
            <w:vAlign w:val="top"/>
            <w:tcMar>
              <w:top w:w="80" w:type="dxa"/>
              <w:bottom w:w="80" w:type="dxa"/>
              <w:start w:w="120" w:type="dxa"/>
              <w:end w:w="120" w:type="dxa"/>
            </w:tcMar>
          </w:tcPr>
          <w:p>
            <w:pPr>
              <w:spacing w:after="40"/>
            </w:pPr>
            <w:r>
              <w:rPr>
                <w:rFonts w:ascii="Calibri" w:hAnsi="Calibri"/>
                <w:b w:val="0"/>
                <w:sz w:val="19"/>
              </w:rPr>
              <w:t>Firmware runtime, contracts, storage, security, operations</w:t>
            </w:r>
          </w:p>
        </w:tc>
        <w:tc>
          <w:tcPr>
            <w:tcW w:type="dxa" w:w="3024"/>
            <w:vAlign w:val="top"/>
            <w:tcMar>
              <w:top w:w="80" w:type="dxa"/>
              <w:bottom w:w="80" w:type="dxa"/>
              <w:start w:w="120" w:type="dxa"/>
              <w:end w:w="120" w:type="dxa"/>
            </w:tcMar>
          </w:tcPr>
          <w:p>
            <w:pPr>
              <w:spacing w:after="40"/>
            </w:pPr>
            <w:r>
              <w:rPr>
                <w:rFonts w:ascii="Calibri" w:hAnsi="Calibri"/>
                <w:b w:val="0"/>
                <w:sz w:val="19"/>
              </w:rPr>
              <w:t>Host implementation available; physical integration and resource measurements pending.</w:t>
            </w:r>
          </w:p>
        </w:tc>
      </w:tr>
      <w:tr>
        <w:tc>
          <w:tcPr>
            <w:tcW w:type="dxa" w:w="1800"/>
            <w:vAlign w:val="top"/>
            <w:tcMar>
              <w:top w:w="80" w:type="dxa"/>
              <w:bottom w:w="80" w:type="dxa"/>
              <w:start w:w="120" w:type="dxa"/>
              <w:end w:w="120" w:type="dxa"/>
            </w:tcMar>
          </w:tcPr>
          <w:p>
            <w:pPr>
              <w:spacing w:after="40"/>
            </w:pPr>
            <w:r>
              <w:rPr>
                <w:rFonts w:ascii="Calibri" w:hAnsi="Calibri"/>
                <w:b w:val="0"/>
                <w:sz w:val="19"/>
              </w:rPr>
              <w:t>Diagnostics</w:t>
            </w:r>
          </w:p>
        </w:tc>
        <w:tc>
          <w:tcPr>
            <w:tcW w:type="dxa" w:w="4536"/>
            <w:vAlign w:val="top"/>
            <w:tcMar>
              <w:top w:w="80" w:type="dxa"/>
              <w:bottom w:w="80" w:type="dxa"/>
              <w:start w:w="120" w:type="dxa"/>
              <w:end w:w="120" w:type="dxa"/>
            </w:tcMar>
          </w:tcPr>
          <w:p>
            <w:pPr>
              <w:spacing w:after="40"/>
            </w:pPr>
            <w:r>
              <w:rPr>
                <w:rFonts w:ascii="Calibri" w:hAnsi="Calibri"/>
                <w:b w:val="0"/>
                <w:sz w:val="19"/>
              </w:rPr>
              <w:t>shared logging, host sink, backend logging_config, app logging, log analyzer</w:t>
            </w:r>
          </w:p>
        </w:tc>
        <w:tc>
          <w:tcPr>
            <w:tcW w:type="dxa" w:w="3024"/>
            <w:vAlign w:val="top"/>
            <w:tcMar>
              <w:top w:w="80" w:type="dxa"/>
              <w:bottom w:w="80" w:type="dxa"/>
              <w:start w:w="120" w:type="dxa"/>
              <w:end w:w="120" w:type="dxa"/>
            </w:tcMar>
          </w:tcPr>
          <w:p>
            <w:pPr>
              <w:spacing w:after="40"/>
            </w:pPr>
            <w:r>
              <w:rPr>
                <w:rFonts w:ascii="Calibri" w:hAnsi="Calibri"/>
                <w:b w:val="0"/>
                <w:sz w:val="19"/>
              </w:rPr>
              <w:t>Implemented and host-verified in v1.1 source package.</w:t>
            </w:r>
          </w:p>
        </w:tc>
      </w:tr>
      <w:tr>
        <w:tc>
          <w:tcPr>
            <w:tcW w:type="dxa" w:w="1800"/>
            <w:vAlign w:val="top"/>
            <w:tcMar>
              <w:top w:w="80" w:type="dxa"/>
              <w:bottom w:w="80" w:type="dxa"/>
              <w:start w:w="120" w:type="dxa"/>
              <w:end w:w="120" w:type="dxa"/>
            </w:tcMar>
          </w:tcPr>
          <w:p>
            <w:pPr>
              <w:spacing w:after="40"/>
            </w:pPr>
            <w:r>
              <w:rPr>
                <w:rFonts w:ascii="Calibri" w:hAnsi="Calibri"/>
                <w:b w:val="0"/>
                <w:sz w:val="19"/>
              </w:rPr>
              <w:t>Documents</w:t>
            </w:r>
          </w:p>
        </w:tc>
        <w:tc>
          <w:tcPr>
            <w:tcW w:type="dxa" w:w="4536"/>
            <w:vAlign w:val="top"/>
            <w:tcMar>
              <w:top w:w="80" w:type="dxa"/>
              <w:bottom w:w="80" w:type="dxa"/>
              <w:start w:w="120" w:type="dxa"/>
              <w:end w:w="120" w:type="dxa"/>
            </w:tcMar>
          </w:tcPr>
          <w:p>
            <w:pPr>
              <w:spacing w:after="40"/>
            </w:pPr>
            <w:r>
              <w:rPr>
                <w:rFonts w:ascii="Calibri" w:hAnsi="Calibri"/>
                <w:b w:val="0"/>
                <w:sz w:val="19"/>
              </w:rPr>
              <w:t>P0 requirements/design v1.3; LLD v1.1; UML/sequence/architecture artefacts</w:t>
            </w:r>
          </w:p>
        </w:tc>
        <w:tc>
          <w:tcPr>
            <w:tcW w:type="dxa" w:w="3024"/>
            <w:vAlign w:val="top"/>
            <w:tcMar>
              <w:top w:w="80" w:type="dxa"/>
              <w:bottom w:w="80" w:type="dxa"/>
              <w:start w:w="120" w:type="dxa"/>
              <w:end w:w="120" w:type="dxa"/>
            </w:tcMar>
          </w:tcPr>
          <w:p>
            <w:pPr>
              <w:spacing w:after="40"/>
            </w:pPr>
            <w:r>
              <w:rPr>
                <w:rFonts w:ascii="Calibri" w:hAnsi="Calibri"/>
                <w:b w:val="0"/>
                <w:sz w:val="19"/>
              </w:rPr>
              <w:t>Maintained separately; this SRD is the software requirement authority.</w:t>
            </w:r>
          </w:p>
        </w:tc>
      </w:tr>
    </w:tbl>
    <w:p>
      <w:pPr>
        <w:spacing w:after="40"/>
      </w:pPr>
    </w:p>
    <w:p>
      <w:pPr>
        <w:pStyle w:val="Heading1"/>
      </w:pPr>
      <w:r>
        <w:t>12. P1/P2 enhancement boundary</w:t>
      </w:r>
    </w:p>
    <w:p>
      <w:r>
        <w:t>Potential future work includes temperature/humidity context experiments, smoke/fire-specific certified hardware, external-camera event adapters, additional routines, multilingual prerecorded prompts, optional professional response service, fall-detection research and carefully consented audio/AI features. Each requires a new threat, privacy, reliability, liability and acceptance review; none is implied by this SRD.</w:t>
      </w:r>
    </w:p>
    <w:p>
      <w:pPr>
        <w:pStyle w:val="Heading1"/>
      </w:pPr>
      <w:r>
        <w:t>Appendix A. Glossary</w:t>
      </w:r>
    </w:p>
    <w:tbl>
      <w:tblPr>
        <w:tblW w:type="dxa" w:w="9360"/>
        <w:jc w:val="left"/>
        <w:tblLayout w:type="fixed"/>
        <w:tblLook w:firstColumn="1" w:firstRow="1" w:lastColumn="0" w:lastRow="0" w:noHBand="0" w:noVBand="1" w:val="04A0"/>
        <w:tblInd w:w="120" w:type="dxa"/>
      </w:tblPr>
      <w:tblGrid>
        <w:gridCol w:w="2232"/>
        <w:gridCol w:w="7128"/>
      </w:tblGrid>
      <w:tr>
        <w:tc>
          <w:tcPr>
            <w:tcW w:type="dxa" w:w="2232"/>
            <w:vAlign w:val="top"/>
            <w:shd w:fill="E8EEF5"/>
            <w:tcMar>
              <w:top w:w="80" w:type="dxa"/>
              <w:bottom w:w="80" w:type="dxa"/>
              <w:start w:w="120" w:type="dxa"/>
              <w:end w:w="120" w:type="dxa"/>
            </w:tcMar>
          </w:tcPr>
          <w:p>
            <w:pPr>
              <w:spacing w:after="40"/>
            </w:pPr>
            <w:r>
              <w:rPr>
                <w:rFonts w:ascii="Calibri" w:hAnsi="Calibri"/>
                <w:b/>
                <w:sz w:val="19"/>
              </w:rPr>
              <w:t>Term</w:t>
            </w:r>
          </w:p>
        </w:tc>
        <w:tc>
          <w:tcPr>
            <w:tcW w:type="dxa" w:w="7128"/>
            <w:vAlign w:val="top"/>
            <w:shd w:fill="E8EEF5"/>
            <w:tcMar>
              <w:top w:w="80" w:type="dxa"/>
              <w:bottom w:w="80" w:type="dxa"/>
              <w:start w:w="120" w:type="dxa"/>
              <w:end w:w="120" w:type="dxa"/>
            </w:tcMar>
          </w:tcPr>
          <w:p>
            <w:pPr>
              <w:spacing w:after="40"/>
            </w:pPr>
            <w:r>
              <w:rPr>
                <w:rFonts w:ascii="Calibri" w:hAnsi="Calibri"/>
                <w:b/>
                <w:sz w:val="19"/>
              </w:rPr>
              <w:t>Meaning</w:t>
            </w:r>
          </w:p>
        </w:tc>
      </w:tr>
      <w:tr>
        <w:tc>
          <w:tcPr>
            <w:tcW w:type="dxa" w:w="2232"/>
            <w:vAlign w:val="top"/>
            <w:tcMar>
              <w:top w:w="80" w:type="dxa"/>
              <w:bottom w:w="80" w:type="dxa"/>
              <w:start w:w="120" w:type="dxa"/>
              <w:end w:w="120" w:type="dxa"/>
            </w:tcMar>
          </w:tcPr>
          <w:p>
            <w:pPr>
              <w:spacing w:after="40"/>
            </w:pPr>
            <w:r>
              <w:rPr>
                <w:rFonts w:ascii="Calibri" w:hAnsi="Calibri"/>
                <w:b w:val="0"/>
                <w:sz w:val="19"/>
              </w:rPr>
              <w:t>Activity evidence</w:t>
            </w:r>
          </w:p>
        </w:tc>
        <w:tc>
          <w:tcPr>
            <w:tcW w:type="dxa" w:w="7128"/>
            <w:vAlign w:val="top"/>
            <w:tcMar>
              <w:top w:w="80" w:type="dxa"/>
              <w:bottom w:w="80" w:type="dxa"/>
              <w:start w:w="120" w:type="dxa"/>
              <w:end w:w="120" w:type="dxa"/>
            </w:tcMar>
          </w:tcPr>
          <w:p>
            <w:pPr>
              <w:spacing w:after="40"/>
            </w:pPr>
            <w:r>
              <w:rPr>
                <w:rFonts w:ascii="Calibri" w:hAnsi="Calibri"/>
                <w:b w:val="0"/>
                <w:sz w:val="19"/>
              </w:rPr>
              <w:t>A qualifying sensor event observed within a configured window; it is not a wellbeing conclusion.</w:t>
            </w:r>
          </w:p>
        </w:tc>
      </w:tr>
      <w:tr>
        <w:tc>
          <w:tcPr>
            <w:tcW w:type="dxa" w:w="2232"/>
            <w:vAlign w:val="top"/>
            <w:tcMar>
              <w:top w:w="80" w:type="dxa"/>
              <w:bottom w:w="80" w:type="dxa"/>
              <w:start w:w="120" w:type="dxa"/>
              <w:end w:w="120" w:type="dxa"/>
            </w:tcMar>
          </w:tcPr>
          <w:p>
            <w:pPr>
              <w:spacing w:after="40"/>
            </w:pPr>
            <w:r>
              <w:rPr>
                <w:rFonts w:ascii="Calibri" w:hAnsi="Calibri"/>
                <w:b w:val="0"/>
                <w:sz w:val="19"/>
              </w:rPr>
              <w:t>Coverage</w:t>
            </w:r>
          </w:p>
        </w:tc>
        <w:tc>
          <w:tcPr>
            <w:tcW w:type="dxa" w:w="7128"/>
            <w:vAlign w:val="top"/>
            <w:tcMar>
              <w:top w:w="80" w:type="dxa"/>
              <w:bottom w:w="80" w:type="dxa"/>
              <w:start w:w="120" w:type="dxa"/>
              <w:end w:w="120" w:type="dxa"/>
            </w:tcMar>
          </w:tcPr>
          <w:p>
            <w:pPr>
              <w:spacing w:after="40"/>
            </w:pPr>
            <w:r>
              <w:rPr>
                <w:rFonts w:ascii="Calibri" w:hAnsi="Calibri"/>
                <w:b w:val="0"/>
                <w:sz w:val="19"/>
              </w:rPr>
              <w:t>Whether configured sensors/hub/time are sufficiently reachable and valid to interpret absence.</w:t>
            </w:r>
          </w:p>
        </w:tc>
      </w:tr>
      <w:tr>
        <w:tc>
          <w:tcPr>
            <w:tcW w:type="dxa" w:w="2232"/>
            <w:vAlign w:val="top"/>
            <w:tcMar>
              <w:top w:w="80" w:type="dxa"/>
              <w:bottom w:w="80" w:type="dxa"/>
              <w:start w:w="120" w:type="dxa"/>
              <w:end w:w="120" w:type="dxa"/>
            </w:tcMar>
          </w:tcPr>
          <w:p>
            <w:pPr>
              <w:spacing w:after="40"/>
            </w:pPr>
            <w:r>
              <w:rPr>
                <w:rFonts w:ascii="Calibri" w:hAnsi="Calibri"/>
                <w:b w:val="0"/>
                <w:sz w:val="19"/>
              </w:rPr>
              <w:t>Durable ACK</w:t>
            </w:r>
          </w:p>
        </w:tc>
        <w:tc>
          <w:tcPr>
            <w:tcW w:type="dxa" w:w="7128"/>
            <w:vAlign w:val="top"/>
            <w:tcMar>
              <w:top w:w="80" w:type="dxa"/>
              <w:bottom w:w="80" w:type="dxa"/>
              <w:start w:w="120" w:type="dxa"/>
              <w:end w:w="120" w:type="dxa"/>
            </w:tcMar>
          </w:tcPr>
          <w:p>
            <w:pPr>
              <w:spacing w:after="40"/>
            </w:pPr>
            <w:r>
              <w:rPr>
                <w:rFonts w:ascii="Calibri" w:hAnsi="Calibri"/>
                <w:b w:val="0"/>
                <w:sz w:val="19"/>
              </w:rPr>
              <w:t>Application acknowledgement after the receiving state owner has committed an event.</w:t>
            </w:r>
          </w:p>
        </w:tc>
      </w:tr>
      <w:tr>
        <w:tc>
          <w:tcPr>
            <w:tcW w:type="dxa" w:w="2232"/>
            <w:vAlign w:val="top"/>
            <w:tcMar>
              <w:top w:w="80" w:type="dxa"/>
              <w:bottom w:w="80" w:type="dxa"/>
              <w:start w:w="120" w:type="dxa"/>
              <w:end w:w="120" w:type="dxa"/>
            </w:tcMar>
          </w:tcPr>
          <w:p>
            <w:pPr>
              <w:spacing w:after="40"/>
            </w:pPr>
            <w:r>
              <w:rPr>
                <w:rFonts w:ascii="Calibri" w:hAnsi="Calibri"/>
                <w:b w:val="0"/>
                <w:sz w:val="19"/>
              </w:rPr>
              <w:t>Grace interval</w:t>
            </w:r>
          </w:p>
        </w:tc>
        <w:tc>
          <w:tcPr>
            <w:tcW w:type="dxa" w:w="7128"/>
            <w:vAlign w:val="top"/>
            <w:tcMar>
              <w:top w:w="80" w:type="dxa"/>
              <w:bottom w:w="80" w:type="dxa"/>
              <w:start w:w="120" w:type="dxa"/>
              <w:end w:w="120" w:type="dxa"/>
            </w:tcMar>
          </w:tcPr>
          <w:p>
            <w:pPr>
              <w:spacing w:after="40"/>
            </w:pPr>
            <w:r>
              <w:rPr>
                <w:rFonts w:ascii="Calibri" w:hAnsi="Calibri"/>
                <w:b w:val="0"/>
                <w:sz w:val="19"/>
              </w:rPr>
              <w:t>Configured period after a routine deadline before absence handling is finalised.</w:t>
            </w:r>
          </w:p>
        </w:tc>
      </w:tr>
      <w:tr>
        <w:tc>
          <w:tcPr>
            <w:tcW w:type="dxa" w:w="2232"/>
            <w:vAlign w:val="top"/>
            <w:tcMar>
              <w:top w:w="80" w:type="dxa"/>
              <w:bottom w:w="80" w:type="dxa"/>
              <w:start w:w="120" w:type="dxa"/>
              <w:end w:w="120" w:type="dxa"/>
            </w:tcMar>
          </w:tcPr>
          <w:p>
            <w:pPr>
              <w:spacing w:after="40"/>
            </w:pPr>
            <w:r>
              <w:rPr>
                <w:rFonts w:ascii="Calibri" w:hAnsi="Calibri"/>
                <w:b w:val="0"/>
                <w:sz w:val="19"/>
              </w:rPr>
              <w:t>Privacy mode</w:t>
            </w:r>
          </w:p>
        </w:tc>
        <w:tc>
          <w:tcPr>
            <w:tcW w:type="dxa" w:w="7128"/>
            <w:vAlign w:val="top"/>
            <w:tcMar>
              <w:top w:w="80" w:type="dxa"/>
              <w:bottom w:w="80" w:type="dxa"/>
              <w:start w:w="120" w:type="dxa"/>
              <w:end w:w="120" w:type="dxa"/>
            </w:tcMar>
          </w:tcPr>
          <w:p>
            <w:pPr>
              <w:spacing w:after="40"/>
            </w:pPr>
            <w:r>
              <w:rPr>
                <w:rFonts w:ascii="Calibri" w:hAnsi="Calibri"/>
                <w:b w:val="0"/>
                <w:sz w:val="19"/>
              </w:rPr>
              <w:t>Resident-controlled state that suppresses configured passive observation.</w:t>
            </w:r>
          </w:p>
        </w:tc>
      </w:tr>
      <w:tr>
        <w:tc>
          <w:tcPr>
            <w:tcW w:type="dxa" w:w="2232"/>
            <w:vAlign w:val="top"/>
            <w:tcMar>
              <w:top w:w="80" w:type="dxa"/>
              <w:bottom w:w="80" w:type="dxa"/>
              <w:start w:w="120" w:type="dxa"/>
              <w:end w:w="120" w:type="dxa"/>
            </w:tcMar>
          </w:tcPr>
          <w:p>
            <w:pPr>
              <w:spacing w:after="40"/>
            </w:pPr>
            <w:r>
              <w:rPr>
                <w:rFonts w:ascii="Calibri" w:hAnsi="Calibri"/>
                <w:b w:val="0"/>
                <w:sz w:val="19"/>
              </w:rPr>
              <w:t>P0</w:t>
            </w:r>
          </w:p>
        </w:tc>
        <w:tc>
          <w:tcPr>
            <w:tcW w:type="dxa" w:w="7128"/>
            <w:vAlign w:val="top"/>
            <w:tcMar>
              <w:top w:w="80" w:type="dxa"/>
              <w:bottom w:w="80" w:type="dxa"/>
              <w:start w:w="120" w:type="dxa"/>
              <w:end w:w="120" w:type="dxa"/>
            </w:tcMar>
          </w:tcPr>
          <w:p>
            <w:pPr>
              <w:spacing w:after="40"/>
            </w:pPr>
            <w:r>
              <w:rPr>
                <w:rFonts w:ascii="Calibri" w:hAnsi="Calibri"/>
                <w:b w:val="0"/>
                <w:sz w:val="19"/>
              </w:rPr>
              <w:t>First-launch requirements required for a trustworthy prototype/pilot; P1/P2 are excluded unless stated.</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Ghar Sajag SRD v1.0  |  8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646464"/>
        <w:sz w:val="16"/>
      </w:rPr>
      <w:t>GHAR SAJAG  /  SOFTWARE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