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300"/>
        <w:jc w:val="center"/>
      </w:pPr>
      <w:r>
        <w:rPr>
          <w:rFonts w:ascii="Calibri" w:hAnsi="Calibri"/>
          <w:b/>
          <w:color w:val="B68118"/>
          <w:sz w:val="21"/>
        </w:rPr>
        <w:t>PROTOTYPE DEPLOYMENT GUIDE</w:t>
      </w:r>
    </w:p>
    <w:p>
      <w:pPr>
        <w:spacing w:after="140"/>
        <w:jc w:val="center"/>
      </w:pPr>
      <w:r>
        <w:rPr>
          <w:rFonts w:ascii="Calibri" w:hAnsi="Calibri"/>
          <w:b/>
          <w:color w:val="17324D"/>
          <w:sz w:val="60"/>
        </w:rPr>
        <w:t>Family Check-In</w:t>
      </w:r>
    </w:p>
    <w:p>
      <w:pPr>
        <w:spacing w:after="400"/>
        <w:jc w:val="center"/>
      </w:pPr>
      <w:r>
        <w:rPr>
          <w:rFonts w:ascii="Calibri" w:hAnsi="Calibri"/>
          <w:color w:val="1F4D78"/>
          <w:sz w:val="28"/>
        </w:rPr>
        <w:t>House placement, morning-routine logic and communication behaviour</w:t>
      </w:r>
    </w:p>
    <w:p>
      <w:pPr>
        <w:spacing w:after="160"/>
        <w:jc w:val="center"/>
      </w:pPr>
      <w:r>
        <w:drawing>
          <wp:inline xmlns:a="http://schemas.openxmlformats.org/drawingml/2006/main" xmlns:pic="http://schemas.openxmlformats.org/drawingml/2006/picture">
            <wp:extent cx="5715000" cy="3211210"/>
            <wp:docPr id="1" name="Picture 1" title="Annotated home placement" descr="Conceptual house layout with hub, four P0 sensor nodes, main-door contact and deferred coverage zone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715000" cy="3211210"/>
                    </a:xfrm>
                    <a:prstGeom prst="rect"/>
                  </pic:spPr>
                </pic:pic>
              </a:graphicData>
            </a:graphic>
          </wp:inline>
        </w:drawing>
      </w:r>
    </w:p>
    <w:p>
      <w:pPr>
        <w:spacing w:after="320"/>
        <w:jc w:val="center"/>
      </w:pPr>
      <w:r>
        <w:rPr>
          <w:rFonts w:ascii="Calibri" w:hAnsi="Calibri"/>
          <w:i/>
          <w:color w:val="5D6B78"/>
          <w:sz w:val="17"/>
        </w:rPr>
        <w:t>Conceptual placement based on the supplied sketch; validate exact walls, sockets and movement paths on site.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96"/>
        <w:gridCol w:w="2448"/>
        <w:gridCol w:w="3312"/>
        <w:gridCol w:w="2304"/>
      </w:tblGrid>
      <w:tr>
        <w:trPr>
          <w:tblHeader w:val="true"/>
          <w:cantSplit/>
        </w:trPr>
        <w:tc>
          <w:tcPr>
            <w:tcW w:type="dxa" w:w="1296"/>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Version</w:t>
            </w:r>
          </w:p>
        </w:tc>
        <w:tc>
          <w:tcPr>
            <w:tcW w:type="dxa" w:w="2448"/>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Status</w:t>
            </w:r>
          </w:p>
        </w:tc>
        <w:tc>
          <w:tcPr>
            <w:tcW w:type="dxa" w:w="3312"/>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Base configuration</w:t>
            </w:r>
          </w:p>
        </w:tc>
        <w:tc>
          <w:tcPr>
            <w:tcW w:type="dxa" w:w="2304"/>
            <w:tcMar>
              <w:top w:w="80" w:type="dxa"/>
              <w:start w:w="120" w:type="dxa"/>
              <w:bottom w:w="80" w:type="dxa"/>
              <w:end w:w="120" w:type="dxa"/>
            </w:tcMar>
            <w:vAlign w:val="center"/>
            <w:shd w:fill="1F4D78"/>
          </w:tcPr>
          <w:p>
            <w:pPr>
              <w:spacing w:before="0" w:after="40" w:line="259" w:lineRule="auto"/>
            </w:pPr>
            <w:r>
              <w:rPr>
                <w:rFonts w:ascii="Calibri" w:hAnsi="Calibri"/>
                <w:b/>
                <w:color w:val="FFFFFF"/>
                <w:sz w:val="19"/>
              </w:rPr>
              <w:t>Date</w:t>
            </w:r>
          </w:p>
        </w:tc>
      </w:tr>
      <w:tr>
        <w:trPr>
          <w:cantSplit/>
        </w:trPr>
        <w:tc>
          <w:tcPr>
            <w:tcW w:type="dxa" w:w="1296"/>
            <w:tcMar>
              <w:top w:w="80" w:type="dxa"/>
              <w:start w:w="120" w:type="dxa"/>
              <w:bottom w:w="80" w:type="dxa"/>
              <w:end w:w="120" w:type="dxa"/>
            </w:tcMar>
            <w:vAlign w:val="center"/>
            <w:shd w:fill="F8FAFC"/>
          </w:tcPr>
          <w:p>
            <w:pPr>
              <w:spacing w:before="0" w:after="40" w:line="259" w:lineRule="auto"/>
            </w:pPr>
            <w:r>
              <w:rPr>
                <w:rFonts w:ascii="Calibri" w:hAnsi="Calibri"/>
                <w:color w:val="20262E"/>
                <w:sz w:val="19"/>
              </w:rPr>
              <w:t>1.0</w:t>
            </w:r>
          </w:p>
        </w:tc>
        <w:tc>
          <w:tcPr>
            <w:tcW w:type="dxa" w:w="2448"/>
            <w:tcMar>
              <w:top w:w="80" w:type="dxa"/>
              <w:start w:w="120" w:type="dxa"/>
              <w:bottom w:w="80" w:type="dxa"/>
              <w:end w:w="120" w:type="dxa"/>
            </w:tcMar>
            <w:vAlign w:val="center"/>
            <w:shd w:fill="F8FAFC"/>
          </w:tcPr>
          <w:p>
            <w:pPr>
              <w:spacing w:before="0" w:after="40" w:line="259" w:lineRule="auto"/>
            </w:pPr>
            <w:r>
              <w:rPr>
                <w:rFonts w:ascii="Calibri" w:hAnsi="Calibri"/>
                <w:color w:val="20262E"/>
                <w:sz w:val="19"/>
              </w:rPr>
              <w:t>Prototype baseline</w:t>
            </w:r>
          </w:p>
        </w:tc>
        <w:tc>
          <w:tcPr>
            <w:tcW w:type="dxa" w:w="3312"/>
            <w:tcMar>
              <w:top w:w="80" w:type="dxa"/>
              <w:start w:w="120" w:type="dxa"/>
              <w:bottom w:w="80" w:type="dxa"/>
              <w:end w:w="120" w:type="dxa"/>
            </w:tcMar>
            <w:vAlign w:val="center"/>
            <w:shd w:fill="F8FAFC"/>
          </w:tcPr>
          <w:p>
            <w:pPr>
              <w:spacing w:before="0" w:after="40" w:line="259" w:lineRule="auto"/>
            </w:pPr>
            <w:r>
              <w:rPr>
                <w:rFonts w:ascii="Calibri" w:hAnsi="Calibri"/>
                <w:color w:val="20262E"/>
                <w:sz w:val="19"/>
              </w:rPr>
              <w:t>1 hub + 4 nodes</w:t>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9"/>
              </w:rPr>
              <w:t>4 September 2026</w:t>
            </w:r>
          </w:p>
        </w:tc>
      </w:tr>
    </w:tbl>
    <w:p>
      <w:pPr>
        <w:spacing w:after="40"/>
      </w:pPr>
    </w:p>
    <w:p>
      <w:pPr>
        <w:pStyle w:val="Heading1"/>
        <w:keepNext/>
      </w:pPr>
      <w:r>
        <w:t>1. Purpose and frozen decisions</w:t>
      </w:r>
    </w:p>
    <w:p>
      <w:pPr>
        <w:spacing w:before="0" w:after="120" w:line="300" w:lineRule="auto"/>
      </w:pPr>
      <w:r>
        <w:rPr>
          <w:rFonts w:ascii="Calibri" w:hAnsi="Calibri"/>
          <w:i w:val="0"/>
          <w:color w:val="20262E"/>
          <w:sz w:val="22"/>
        </w:rPr>
        <w:t>This guide converts the current product requirements into an installable first prototype. It fixes the P0 device placement, defines how raw sensor events become a morning check-in decision, and states the communication and testing behaviour needed before enabling caregiver alerts.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P0 product claim: </w:t>
            </w:r>
            <w:r>
              <w:rPr>
                <w:rFonts w:ascii="Calibri" w:hAnsi="Calibri"/>
                <w:color w:val="20262E"/>
                <w:sz w:val="21"/>
              </w:rPr>
              <w:t>Camera-free household routine-deviation and family check-in support. It is not a fall detector, medical monitor, smoke detector, cooking detector or emergency-response service.</w:t>
            </w:r>
          </w:p>
        </w:tc>
      </w:tr>
    </w:tbl>
    <w:p>
      <w:pPr>
        <w:spacing w:after="20"/>
      </w:pPr>
    </w:p>
    <w:p>
      <w:pPr>
        <w:pStyle w:val="Heading2"/>
        <w:keepNext/>
      </w:pPr>
      <w:r>
        <w:t>1.1 Decisions fixed for this prototype</w:t>
      </w:r>
    </w:p>
    <w:p>
      <w:pPr>
        <w:pStyle w:val="ListBullet"/>
        <w:spacing w:before="0" w:after="80" w:line="300" w:lineRule="auto"/>
        <w:ind w:left="540" w:hanging="271"/>
      </w:pPr>
      <w:r>
        <w:rPr>
          <w:rFonts w:ascii="Calibri" w:hAnsi="Calibri"/>
          <w:color w:val="20262E"/>
          <w:sz w:val="22"/>
        </w:rPr>
        <w:t>One ESP32 DevKit V1 hub remains continuously powered where practical and contains the common-room PIR, buzzer, OLED and OK button.</w:t>
      </w:r>
    </w:p>
    <w:p>
      <w:pPr>
        <w:pStyle w:val="ListBullet"/>
        <w:spacing w:before="0" w:after="80" w:line="300" w:lineRule="auto"/>
        <w:ind w:left="540" w:hanging="271"/>
      </w:pPr>
      <w:r>
        <w:rPr>
          <w:rFonts w:ascii="Calibri" w:hAnsi="Calibri"/>
          <w:color w:val="20262E"/>
          <w:sz w:val="22"/>
        </w:rPr>
        <w:t>Four ESP32-C3 SuperMini nodes cover Room 1, the pooja/balcony sitting area, the kitchen and the kitchen-side primary bathroom entrance.</w:t>
      </w:r>
    </w:p>
    <w:p>
      <w:pPr>
        <w:pStyle w:val="ListBullet"/>
        <w:spacing w:before="0" w:after="80" w:line="300" w:lineRule="auto"/>
        <w:ind w:left="540" w:hanging="271"/>
      </w:pPr>
      <w:r>
        <w:rPr>
          <w:rFonts w:ascii="Calibri" w:hAnsi="Calibri"/>
          <w:color w:val="20262E"/>
          <w:sz w:val="22"/>
        </w:rPr>
        <w:t>The main-door magnetic contact connects to the hub because the hub is placed inside the common room near the existing camera power socket. This avoids a fifth node in the base build.</w:t>
      </w:r>
    </w:p>
    <w:p>
      <w:pPr>
        <w:pStyle w:val="ListBullet"/>
        <w:spacing w:before="0" w:after="80" w:line="300" w:lineRule="auto"/>
        <w:ind w:left="540" w:hanging="271"/>
      </w:pPr>
      <w:r>
        <w:rPr>
          <w:rFonts w:ascii="Calibri" w:hAnsi="Calibri"/>
          <w:color w:val="20262E"/>
          <w:sz w:val="22"/>
        </w:rPr>
        <w:t>Nodes communicate to the hub using ESP-NOW. The hub uses home Wi-Fi for the dashboard and outbound caregiver notifications.</w:t>
      </w:r>
    </w:p>
    <w:p>
      <w:pPr>
        <w:pStyle w:val="ListBullet"/>
        <w:spacing w:before="0" w:after="80" w:line="300" w:lineRule="auto"/>
        <w:ind w:left="540" w:hanging="271"/>
      </w:pPr>
      <w:r>
        <w:rPr>
          <w:rFonts w:ascii="Calibri" w:hAnsi="Calibri"/>
          <w:color w:val="20262E"/>
          <w:sz w:val="22"/>
        </w:rPr>
        <w:t>P0 decisions are rule-based and configurable. Historical learning is deferred until the system has collected reliable labelled data.</w:t>
      </w:r>
    </w:p>
    <w:p>
      <w:pPr>
        <w:pStyle w:val="ListBullet"/>
        <w:spacing w:before="0" w:after="80" w:line="300" w:lineRule="auto"/>
        <w:ind w:left="540" w:hanging="271"/>
      </w:pPr>
      <w:r>
        <w:rPr>
          <w:rFonts w:ascii="Calibri" w:hAnsi="Calibri"/>
          <w:color w:val="20262E"/>
          <w:sz w:val="22"/>
        </w:rPr>
        <w:t>Room 2 and the secondary bathroom are documented coverage gaps, not silently treated as monitored areas.</w:t>
      </w:r>
    </w:p>
    <w:p>
      <w:pPr>
        <w:pStyle w:val="Heading2"/>
        <w:keepNext/>
      </w:pPr>
      <w:r>
        <w:t>1.2 Non-negotiable interpretations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3384"/>
        <w:gridCol w:w="3600"/>
      </w:tblGrid>
      <w:tr>
        <w:trPr>
          <w:tblHeader w:val="true"/>
          <w:cantSplit/>
        </w:trPr>
        <w:tc>
          <w:tcPr>
            <w:tcW w:type="dxa" w:w="237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Observed signal</w:t>
            </w:r>
          </w:p>
        </w:tc>
        <w:tc>
          <w:tcPr>
            <w:tcW w:type="dxa" w:w="338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P0 may say</w:t>
            </w:r>
          </w:p>
        </w:tc>
        <w:tc>
          <w:tcPr>
            <w:tcW w:type="dxa" w:w="36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P0 must not claim</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PIR event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detected in a named zone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Which person moved, travel direction, a fall, sleep or wellbeing</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Kitchen event cluster</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Kitchen activity occurred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Food was cooked, milk boiled or a stove was used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Bathroom-entrance motion</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Movement occurred near the bathroom entrance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Bathroom occupancy, duration or an emergency</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No expected event</w:t>
            </w:r>
          </w:p>
        </w:tc>
        <w:tc>
          <w:tcPr>
            <w:tcW w:type="dxa" w:w="3384"/>
            <w:tcMar>
              <w:top w:w="80" w:type="dxa"/>
              <w:start w:w="120" w:type="dxa"/>
              <w:bottom w:w="80" w:type="dxa"/>
              <w:end w:w="120" w:type="dxa"/>
            </w:tcMar>
            <w:vAlign w:val="center"/>
          </w:tcPr>
          <w:p>
            <w:pPr>
              <w:spacing w:before="0" w:after="40" w:line="259" w:lineRule="auto"/>
            </w:pPr>
            <w:r>
              <w:rPr>
                <w:rFonts w:ascii="Calibri" w:hAnsi="Calibri"/>
                <w:color w:val="20262E"/>
                <w:sz w:val="17"/>
              </w:rPr>
              <w:t>Expected household activity was not observed</w:t>
            </w:r>
          </w:p>
        </w:tc>
        <w:tc>
          <w:tcPr>
            <w:tcW w:type="dxa" w:w="3600"/>
            <w:tcMar>
              <w:top w:w="80" w:type="dxa"/>
              <w:start w:w="120" w:type="dxa"/>
              <w:bottom w:w="80" w:type="dxa"/>
              <w:end w:w="120" w:type="dxa"/>
            </w:tcMar>
            <w:vAlign w:val="center"/>
          </w:tcPr>
          <w:p>
            <w:pPr>
              <w:spacing w:before="0" w:after="40" w:line="259" w:lineRule="auto"/>
            </w:pPr>
            <w:r>
              <w:rPr>
                <w:rFonts w:ascii="Calibri" w:hAnsi="Calibri"/>
                <w:color w:val="20262E"/>
                <w:sz w:val="17"/>
              </w:rPr>
              <w:t>A person is inactive or in danger</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Missing heartbeat</w:t>
            </w:r>
          </w:p>
        </w:tc>
        <w:tc>
          <w:tcPr>
            <w:tcW w:type="dxa" w:w="338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Coverage is unknown because a node is offline</w:t>
            </w:r>
          </w:p>
        </w:tc>
        <w:tc>
          <w:tcPr>
            <w:tcW w:type="dxa" w:w="36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 resident activity</w:t>
            </w:r>
          </w:p>
        </w:tc>
      </w:tr>
    </w:tbl>
    <w:p>
      <w:pPr>
        <w:spacing w:after="40"/>
      </w:pPr>
    </w:p>
    <w:p>
      <w:pPr>
        <w:pStyle w:val="Heading1"/>
        <w:keepNext/>
      </w:pPr>
      <w:r>
        <w:t>2. House layout and placement</w:t>
      </w:r>
    </w:p>
    <w:p>
      <w:pPr>
        <w:spacing w:after="80"/>
        <w:jc w:val="center"/>
      </w:pPr>
      <w:r>
        <w:drawing>
          <wp:inline xmlns:a="http://schemas.openxmlformats.org/drawingml/2006/main" xmlns:pic="http://schemas.openxmlformats.org/drawingml/2006/picture">
            <wp:extent cx="5897880" cy="3313969"/>
            <wp:docPr id="2" name="Picture 2" title="P0 placement map" descr="Annotated supplied house sketch showing proposed locations of the hub, four nodes, main-door contact and P1 gaps."/>
            <wp:cNvGraphicFramePr>
              <a:graphicFrameLocks noChangeAspect="1"/>
            </wp:cNvGraphicFramePr>
            <a:graphic>
              <a:graphicData uri="http://schemas.openxmlformats.org/drawingml/2006/picture">
                <pic:pic>
                  <pic:nvPicPr>
                    <pic:cNvPr id="0" name="annotated_house_layout.png"/>
                    <pic:cNvPicPr/>
                  </pic:nvPicPr>
                  <pic:blipFill>
                    <a:blip r:embed="rId11"/>
                    <a:stretch>
                      <a:fillRect/>
                    </a:stretch>
                  </pic:blipFill>
                  <pic:spPr>
                    <a:xfrm>
                      <a:off x="0" y="0"/>
                      <a:ext cx="5897880" cy="3313969"/>
                    </a:xfrm>
                    <a:prstGeom prst="rect"/>
                  </pic:spPr>
                </pic:pic>
              </a:graphicData>
            </a:graphic>
          </wp:inline>
        </w:drawing>
      </w:r>
    </w:p>
    <w:p>
      <w:pPr>
        <w:spacing w:after="200"/>
        <w:jc w:val="center"/>
      </w:pPr>
      <w:r>
        <w:rPr>
          <w:rFonts w:ascii="Calibri" w:hAnsi="Calibri"/>
          <w:i/>
          <w:color w:val="5D6B78"/>
          <w:sz w:val="18"/>
        </w:rPr>
        <w:t>Figure 1. Proposed P0 placement and indicative PIR look directions.</w:t>
      </w:r>
    </w:p>
    <w:p>
      <w:pPr>
        <w:pStyle w:val="Heading2"/>
        <w:keepNext/>
      </w:pPr>
      <w:r>
        <w:t>2.1 Device placement register</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
        <w:gridCol w:w="2088"/>
        <w:gridCol w:w="1944"/>
        <w:gridCol w:w="2664"/>
        <w:gridCol w:w="1728"/>
      </w:tblGrid>
      <w:tr>
        <w:trPr>
          <w:tblHeader w:val="true"/>
          <w:cantSplit/>
        </w:trPr>
        <w:tc>
          <w:tcPr>
            <w:tcW w:type="dxa" w:w="936"/>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ID</w:t>
            </w:r>
          </w:p>
        </w:tc>
        <w:tc>
          <w:tcPr>
            <w:tcW w:type="dxa" w:w="2088"/>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Location</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Hardware</w:t>
            </w:r>
          </w:p>
        </w:tc>
        <w:tc>
          <w:tcPr>
            <w:tcW w:type="dxa" w:w="2664"/>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Mounting intent</w:t>
            </w:r>
          </w:p>
        </w:tc>
        <w:tc>
          <w:tcPr>
            <w:tcW w:type="dxa" w:w="1728"/>
            <w:tcMar>
              <w:top w:w="80" w:type="dxa"/>
              <w:start w:w="120" w:type="dxa"/>
              <w:bottom w:w="80" w:type="dxa"/>
              <w:end w:w="120" w:type="dxa"/>
            </w:tcMar>
            <w:vAlign w:val="center"/>
            <w:shd w:fill="1F4D78"/>
          </w:tcPr>
          <w:p>
            <w:pPr>
              <w:spacing w:before="0" w:after="40" w:line="259" w:lineRule="auto"/>
            </w:pPr>
            <w:r>
              <w:rPr>
                <w:rFonts w:ascii="Calibri" w:hAnsi="Calibri"/>
                <w:b/>
                <w:color w:val="FFFFFF"/>
                <w:sz w:val="16"/>
              </w:rPr>
              <w:t>Routine value</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HUB-01</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Common room wall near main entrance and camera-power socket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 DevKit V1, PIR, buzzer, OLED, OK button; door contact input</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PIR about 1.8-2.2m high, facing across common/dining movement; hub accessible for USB service</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Common/dining activity, local prompts, door event and central communications</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NODE-R1</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Room 1</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High corner or wall facing the room crossing path, not directly at the bed</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Mother's main-room activity and first-morning movement evidence</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NODE-PJ</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Unlabelled pooja/balcony sitting area</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Face across the sitting/entry path; verify the exact pooja boundary before mounting</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Repeated motion over a time span may support a pooja-session proxy</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NODE-KT</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Kitchen</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Face across the preparation path; keep away from stove heat, direct sunlight and exhaust airflow</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Kitchen activity proxy; never treated as proof that food was cooked</w:t>
            </w:r>
          </w:p>
        </w:tc>
      </w:tr>
      <w:tr>
        <w:trPr>
          <w:cantSplit/>
        </w:trPr>
        <w:tc>
          <w:tcPr>
            <w:tcW w:type="dxa" w:w="936"/>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NODE-B1</w:t>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Outside kitchen-side primary bathroom</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ESP32-C3 + AM312 PIR</w:t>
            </w:r>
          </w:p>
        </w:tc>
        <w:tc>
          <w:tcPr>
            <w:tcW w:type="dxa" w:w="2664"/>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Install outside the wet area and face across the approach</w:t>
            </w:r>
          </w:p>
        </w:tc>
        <w:tc>
          <w:tcPr>
            <w:tcW w:type="dxa" w:w="1728"/>
            <w:tcMar>
              <w:top w:w="80" w:type="dxa"/>
              <w:start w:w="120" w:type="dxa"/>
              <w:bottom w:w="80" w:type="dxa"/>
              <w:end w:w="120" w:type="dxa"/>
            </w:tcMar>
            <w:vAlign w:val="center"/>
            <w:shd w:fill="F8FAFC"/>
          </w:tcPr>
          <w:p>
            <w:pPr>
              <w:spacing w:before="0" w:after="40" w:line="259" w:lineRule="auto"/>
            </w:pPr>
            <w:r>
              <w:rPr>
                <w:rFonts w:ascii="Calibri" w:hAnsi="Calibri"/>
                <w:color w:val="20262E"/>
                <w:sz w:val="16"/>
              </w:rPr>
              <w:t>Bathroom-approach evidence without sensing inside the bathroom</w:t>
            </w:r>
          </w:p>
        </w:tc>
      </w:tr>
      <w:tr>
        <w:trPr>
          <w:cantSplit/>
        </w:trPr>
        <w:tc>
          <w:tcPr>
            <w:tcW w:type="dxa" w:w="936"/>
            <w:tcMar>
              <w:top w:w="80" w:type="dxa"/>
              <w:start w:w="120" w:type="dxa"/>
              <w:bottom w:w="80" w:type="dxa"/>
              <w:end w:w="120" w:type="dxa"/>
            </w:tcMar>
            <w:vAlign w:val="center"/>
          </w:tcPr>
          <w:p>
            <w:pPr>
              <w:spacing w:before="0" w:after="40" w:line="259" w:lineRule="auto"/>
            </w:pPr>
            <w:r>
              <w:rPr>
                <w:rFonts w:ascii="Calibri" w:hAnsi="Calibri"/>
                <w:color w:val="20262E"/>
                <w:sz w:val="16"/>
              </w:rPr>
              <w:t>DOOR-01</w:t>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6"/>
              </w:rPr>
              <w:t>Main entrance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6"/>
              </w:rPr>
              <w:t>MC-38 magnetic contact</w:t>
            </w:r>
          </w:p>
        </w:tc>
        <w:tc>
          <w:tcPr>
            <w:tcW w:type="dxa" w:w="2664"/>
            <w:tcMar>
              <w:top w:w="80" w:type="dxa"/>
              <w:start w:w="120" w:type="dxa"/>
              <w:bottom w:w="80" w:type="dxa"/>
              <w:end w:w="120" w:type="dxa"/>
            </w:tcMar>
            <w:vAlign w:val="center"/>
          </w:tcPr>
          <w:p>
            <w:pPr>
              <w:spacing w:before="0" w:after="40" w:line="259" w:lineRule="auto"/>
            </w:pPr>
            <w:r>
              <w:rPr>
                <w:rFonts w:ascii="Calibri" w:hAnsi="Calibri"/>
                <w:color w:val="20262E"/>
                <w:sz w:val="16"/>
              </w:rPr>
              <w:t>Fixed and moving halves aligned; short cable to HUB-01 with strain relief</w:t>
            </w:r>
          </w:p>
        </w:tc>
        <w:tc>
          <w:tcPr>
            <w:tcW w:type="dxa" w:w="1728"/>
            <w:tcMar>
              <w:top w:w="80" w:type="dxa"/>
              <w:start w:w="120" w:type="dxa"/>
              <w:bottom w:w="80" w:type="dxa"/>
              <w:end w:w="120" w:type="dxa"/>
            </w:tcMar>
            <w:vAlign w:val="center"/>
          </w:tcPr>
          <w:p>
            <w:pPr>
              <w:spacing w:before="0" w:after="40" w:line="259" w:lineRule="auto"/>
            </w:pPr>
            <w:r>
              <w:rPr>
                <w:rFonts w:ascii="Calibri" w:hAnsi="Calibri"/>
                <w:color w:val="20262E"/>
                <w:sz w:val="16"/>
              </w:rPr>
              <w:t>Door-open/closed event; not direction or identity</w:t>
            </w:r>
          </w:p>
        </w:tc>
      </w:tr>
    </w:tbl>
    <w:p>
      <w:pPr>
        <w:spacing w:after="40"/>
      </w:pPr>
    </w:p>
    <w:p>
      <w:pPr>
        <w:pStyle w:val="Heading2"/>
        <w:keepNext/>
      </w:pPr>
      <w:r>
        <w:t>2.2 Placement rules</w:t>
      </w:r>
    </w:p>
    <w:p>
      <w:pPr>
        <w:pStyle w:val="ListBullet"/>
        <w:spacing w:before="0" w:after="80" w:line="300" w:lineRule="auto"/>
        <w:ind w:left="540" w:hanging="271"/>
      </w:pPr>
      <w:r>
        <w:rPr>
          <w:rFonts w:ascii="Calibri" w:hAnsi="Calibri"/>
          <w:color w:val="20262E"/>
          <w:sz w:val="22"/>
        </w:rPr>
        <w:t>Aim each PIR so people cross its field of view. Direct approach or departure along the sensor centre line is less reliable, and one PIR cannot determine direction.</w:t>
      </w:r>
    </w:p>
    <w:p>
      <w:pPr>
        <w:pStyle w:val="ListBullet"/>
        <w:spacing w:before="0" w:after="80" w:line="300" w:lineRule="auto"/>
        <w:ind w:left="540" w:hanging="271"/>
      </w:pPr>
      <w:r>
        <w:rPr>
          <w:rFonts w:ascii="Calibri" w:hAnsi="Calibri"/>
          <w:color w:val="20262E"/>
          <w:sz w:val="22"/>
        </w:rPr>
        <w:t>Start with removable tape or a temporary bracket. Drill only after the walk test and seven-day shadow trial.</w:t>
      </w:r>
    </w:p>
    <w:p>
      <w:pPr>
        <w:pStyle w:val="ListBullet"/>
        <w:spacing w:before="0" w:after="80" w:line="300" w:lineRule="auto"/>
        <w:ind w:left="540" w:hanging="271"/>
      </w:pPr>
      <w:r>
        <w:rPr>
          <w:rFonts w:ascii="Calibri" w:hAnsi="Calibri"/>
          <w:color w:val="20262E"/>
          <w:sz w:val="22"/>
        </w:rPr>
        <w:t>Keep the PIR away from direct sun, hot appliances, strong drafts and rapidly changing heat sources that can cause false events.</w:t>
      </w:r>
    </w:p>
    <w:p>
      <w:pPr>
        <w:pStyle w:val="ListBullet"/>
        <w:spacing w:before="0" w:after="80" w:line="300" w:lineRule="auto"/>
        <w:ind w:left="540" w:hanging="271"/>
      </w:pPr>
      <w:r>
        <w:rPr>
          <w:rFonts w:ascii="Calibri" w:hAnsi="Calibri"/>
          <w:color w:val="20262E"/>
          <w:sz w:val="22"/>
        </w:rPr>
        <w:t>Keep ESP32 antennas clear of batteries, large wires, metal enclosures and the CP Plus camera power adapter where possible.</w:t>
      </w:r>
    </w:p>
    <w:p>
      <w:pPr>
        <w:pStyle w:val="ListBullet"/>
        <w:spacing w:before="0" w:after="80" w:line="300" w:lineRule="auto"/>
        <w:ind w:left="540" w:hanging="271"/>
      </w:pPr>
      <w:r>
        <w:rPr>
          <w:rFonts w:ascii="Calibri" w:hAnsi="Calibri"/>
          <w:color w:val="20262E"/>
          <w:sz w:val="22"/>
        </w:rPr>
        <w:t>The base system is household-level. It cannot independently confirm the mother in Room 1 and the father in Room 2.</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E8EEF5"/>
          </w:tcPr>
          <w:p>
            <w:pPr>
              <w:spacing w:before="60" w:after="60"/>
            </w:pPr>
            <w:r>
              <w:rPr>
                <w:rFonts w:ascii="Calibri" w:hAnsi="Calibri"/>
                <w:b/>
                <w:color w:val="2E74B5"/>
                <w:sz w:val="21"/>
              </w:rPr>
              <w:t xml:space="preserve">Room 2 decision: </w:t>
            </w:r>
            <w:r>
              <w:rPr>
                <w:rFonts w:ascii="Calibri" w:hAnsi="Calibri"/>
                <w:color w:val="20262E"/>
                <w:sz w:val="21"/>
              </w:rPr>
              <w:t>Do not move a P0 node there initially. During the shadow trial, record how often meaningful activity begins or remains in Room 2. Add a fifth node only if the gap causes missed or misleading routine decisions.</w:t>
            </w:r>
          </w:p>
        </w:tc>
      </w:tr>
    </w:tbl>
    <w:p>
      <w:pPr>
        <w:spacing w:after="20"/>
      </w:pPr>
    </w:p>
    <w:p>
      <w:pPr>
        <w:pStyle w:val="Heading1"/>
        <w:keepNext/>
      </w:pPr>
      <w:r>
        <w:t>3. P0 morning-routine algorithm</w:t>
      </w:r>
    </w:p>
    <w:p>
      <w:pPr>
        <w:spacing w:before="0" w:after="120" w:line="300" w:lineRule="auto"/>
      </w:pPr>
      <w:r>
        <w:rPr>
          <w:rFonts w:ascii="Calibri" w:hAnsi="Calibri"/>
          <w:i w:val="0"/>
          <w:color w:val="20262E"/>
          <w:sz w:val="22"/>
        </w:rPr>
        <w:t>The algorithm evaluates household evidence, not individual identity. It must first prove that monitoring coverage is healthy, then evaluate whether sufficient expected morning activity occurred. Only after both conditions hold may it ask the resident to check in or notify a caregiver.</w:t>
      </w:r>
    </w:p>
    <w:p>
      <w:pPr>
        <w:spacing w:after="80"/>
        <w:jc w:val="center"/>
      </w:pPr>
      <w:r>
        <w:drawing>
          <wp:inline xmlns:a="http://schemas.openxmlformats.org/drawingml/2006/main" xmlns:pic="http://schemas.openxmlformats.org/drawingml/2006/picture">
            <wp:extent cx="5897880" cy="2359152"/>
            <wp:docPr id="3" name="Picture 3" title="Morning routine decision flow" descr="Flow from sensor health gate through morning observation, evidence test, local check-in, caregiver alert and coverage-unknown handling."/>
            <wp:cNvGraphicFramePr>
              <a:graphicFrameLocks noChangeAspect="1"/>
            </wp:cNvGraphicFramePr>
            <a:graphic>
              <a:graphicData uri="http://schemas.openxmlformats.org/drawingml/2006/picture">
                <pic:pic>
                  <pic:nvPicPr>
                    <pic:cNvPr id="0" name="morning_routine_flow.png"/>
                    <pic:cNvPicPr/>
                  </pic:nvPicPr>
                  <pic:blipFill>
                    <a:blip r:embed="rId12"/>
                    <a:stretch>
                      <a:fillRect/>
                    </a:stretch>
                  </pic:blipFill>
                  <pic:spPr>
                    <a:xfrm>
                      <a:off x="0" y="0"/>
                      <a:ext cx="5897880" cy="2359152"/>
                    </a:xfrm>
                    <a:prstGeom prst="rect"/>
                  </pic:spPr>
                </pic:pic>
              </a:graphicData>
            </a:graphic>
          </wp:inline>
        </w:drawing>
      </w:r>
    </w:p>
    <w:p>
      <w:pPr>
        <w:spacing w:after="200"/>
        <w:jc w:val="center"/>
      </w:pPr>
      <w:r>
        <w:rPr>
          <w:rFonts w:ascii="Calibri" w:hAnsi="Calibri"/>
          <w:i/>
          <w:color w:val="5D6B78"/>
          <w:sz w:val="18"/>
        </w:rPr>
        <w:t>Figure 2. Sensor health always precedes inactivity interpretation.</w:t>
      </w:r>
    </w:p>
    <w:p>
      <w:pPr>
        <w:pStyle w:val="Heading2"/>
        <w:keepNext/>
      </w:pPr>
      <w:r>
        <w:t>3.1 Configurable starting parameters</w:t>
      </w:r>
    </w:p>
    <w:p>
      <w:pPr>
        <w:spacing w:before="0" w:after="120" w:line="300" w:lineRule="auto"/>
      </w:pPr>
      <w:r>
        <w:rPr>
          <w:rFonts w:ascii="Calibri" w:hAnsi="Calibri"/>
          <w:i w:val="0"/>
          <w:color w:val="20262E"/>
          <w:sz w:val="22"/>
        </w:rPr>
        <w:t>These are safe starting values for a shadow trial, not assumptions about the parents' actual schedule. Update them after observing normal routines.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880"/>
        <w:gridCol w:w="1944"/>
        <w:gridCol w:w="4536"/>
      </w:tblGrid>
      <w:tr>
        <w:trPr>
          <w:tblHeader w:val="true"/>
          <w:cantSplit/>
        </w:trPr>
        <w:tc>
          <w:tcPr>
            <w:tcW w:type="dxa" w:w="2880"/>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Parameter</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Initial value</w:t>
            </w:r>
          </w:p>
        </w:tc>
        <w:tc>
          <w:tcPr>
            <w:tcW w:type="dxa" w:w="4536"/>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Meaning and tuning rule</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Morning watch start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05:30</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Begin evaluating morning evidence; events remain logged outside this window</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Routine deadline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10:00</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If evidence remains insufficient at this time, enter CHECK_IN_PENDING only when coverage is healthy</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Distinct-zone threshold</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2 zones / 120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Two different expected zones are a strong household-activity signal; tune from shadow data</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Pooja-session proxy</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3 events spanning &gt;=10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Indicates repeated movement in the pooja zone; does not prove continuous presence</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Kitchen-session proxy</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2 events within 20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Indicates kitchen activity; does not infer cooking</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Heartbeat interval</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15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Node health report while idle; measure battery impact before reducing</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Offline threshold</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35 min</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Two missed heartbeats plus margin; affected coverage becomes UNKNOWN</w:t>
            </w:r>
          </w:p>
        </w:tc>
      </w:tr>
      <w:tr>
        <w:trPr>
          <w:cantSplit/>
        </w:trPr>
        <w:tc>
          <w:tcPr>
            <w:tcW w:type="dxa" w:w="2880"/>
            <w:tcMar>
              <w:top w:w="80" w:type="dxa"/>
              <w:start w:w="120" w:type="dxa"/>
              <w:bottom w:w="80" w:type="dxa"/>
              <w:end w:w="120" w:type="dxa"/>
            </w:tcMar>
            <w:vAlign w:val="center"/>
          </w:tcPr>
          <w:p>
            <w:pPr>
              <w:spacing w:before="0" w:after="40" w:line="259" w:lineRule="auto"/>
            </w:pPr>
            <w:r>
              <w:rPr>
                <w:rFonts w:ascii="Calibri" w:hAnsi="Calibri"/>
                <w:color w:val="20262E"/>
                <w:sz w:val="18"/>
              </w:rPr>
              <w:t>Local check-in grace</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t>10 min</w:t>
            </w:r>
          </w:p>
        </w:tc>
        <w:tc>
          <w:tcPr>
            <w:tcW w:type="dxa" w:w="4536"/>
            <w:tcMar>
              <w:top w:w="80" w:type="dxa"/>
              <w:start w:w="120" w:type="dxa"/>
              <w:bottom w:w="80" w:type="dxa"/>
              <w:end w:w="120" w:type="dxa"/>
            </w:tcMar>
            <w:vAlign w:val="center"/>
          </w:tcPr>
          <w:p>
            <w:pPr>
              <w:spacing w:before="0" w:after="40" w:line="259" w:lineRule="auto"/>
            </w:pPr>
            <w:r>
              <w:rPr>
                <w:rFonts w:ascii="Calibri" w:hAnsi="Calibri"/>
                <w:color w:val="20262E"/>
                <w:sz w:val="18"/>
              </w:rPr>
              <w:t>Time for the resident to press OK after the hub prompt</w:t>
            </w:r>
          </w:p>
        </w:tc>
      </w:tr>
      <w:tr>
        <w:trPr>
          <w:cantSplit/>
        </w:trPr>
        <w:tc>
          <w:tcPr>
            <w:tcW w:type="dxa" w:w="288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Caregiver acknowledgement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10 min reminder</w:t>
            </w:r>
          </w:p>
        </w:tc>
        <w:tc>
          <w:tcPr>
            <w:tcW w:type="dxa" w:w="453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Repeat notification if not acknowledged; do not auto-call emergency services in P0</w:t>
            </w:r>
          </w:p>
        </w:tc>
      </w:tr>
    </w:tbl>
    <w:p>
      <w:pPr>
        <w:spacing w:after="40"/>
      </w:pPr>
    </w:p>
    <w:p>
      <w:pPr>
        <w:pStyle w:val="Heading2"/>
        <w:keepNext/>
      </w:pPr>
      <w:r>
        <w:t>3.2 Evidence evaluation</w:t>
      </w:r>
    </w:p>
    <w:p>
      <w:pPr>
        <w:pStyle w:val="ListNumber"/>
        <w:spacing w:before="0" w:after="80" w:line="300" w:lineRule="auto"/>
        <w:ind w:left="540" w:hanging="271"/>
      </w:pPr>
      <w:r>
        <w:rPr>
          <w:rFonts w:ascii="Calibri" w:hAnsi="Calibri"/>
          <w:color w:val="20262E"/>
          <w:sz w:val="22"/>
        </w:rPr>
        <w:t>At the watch start, create a new daily routine record and set the state to WATCHING.</w:t>
      </w:r>
    </w:p>
    <w:p>
      <w:pPr>
        <w:pStyle w:val="ListNumber"/>
        <w:spacing w:before="0" w:after="80" w:line="300" w:lineRule="auto"/>
        <w:ind w:left="540" w:hanging="271"/>
      </w:pPr>
      <w:r>
        <w:rPr>
          <w:rFonts w:ascii="Calibri" w:hAnsi="Calibri"/>
          <w:color w:val="20262E"/>
          <w:sz w:val="22"/>
        </w:rPr>
        <w:t>Run the health gate. A required node is healthy only if its heartbeat is recent and its battery status is valid.</w:t>
      </w:r>
    </w:p>
    <w:p>
      <w:pPr>
        <w:pStyle w:val="ListNumber"/>
        <w:spacing w:before="0" w:after="80" w:line="300" w:lineRule="auto"/>
        <w:ind w:left="540" w:hanging="271"/>
      </w:pPr>
      <w:r>
        <w:rPr>
          <w:rFonts w:ascii="Calibri" w:hAnsi="Calibri"/>
          <w:color w:val="20262E"/>
          <w:sz w:val="22"/>
        </w:rPr>
        <w:t>Convert raw PIR edges into de-duplicated motion events. The hub assigns the household wall-clock timestamp.</w:t>
      </w:r>
    </w:p>
    <w:p>
      <w:pPr>
        <w:pStyle w:val="ListNumber"/>
        <w:spacing w:before="0" w:after="80" w:line="300" w:lineRule="auto"/>
        <w:ind w:left="540" w:hanging="271"/>
      </w:pPr>
      <w:r>
        <w:rPr>
          <w:rFonts w:ascii="Calibri" w:hAnsi="Calibri"/>
          <w:color w:val="20262E"/>
          <w:sz w:val="22"/>
        </w:rPr>
        <w:t>Build short zone sessions by grouping events separated by less than the configured session-gap threshold.</w:t>
      </w:r>
    </w:p>
    <w:p>
      <w:pPr>
        <w:pStyle w:val="ListNumber"/>
        <w:spacing w:before="0" w:after="80" w:line="300" w:lineRule="auto"/>
        <w:ind w:left="540" w:hanging="271"/>
      </w:pPr>
      <w:r>
        <w:rPr>
          <w:rFonts w:ascii="Calibri" w:hAnsi="Calibri"/>
          <w:color w:val="20262E"/>
          <w:sz w:val="22"/>
        </w:rPr>
        <w:t>Mark routine evidence sufficient after an explicit OK, two distinct expected zones within the evidence window, or another deliberately configured rule.</w:t>
      </w:r>
    </w:p>
    <w:p>
      <w:pPr>
        <w:pStyle w:val="ListNumber"/>
        <w:spacing w:before="0" w:after="80" w:line="300" w:lineRule="auto"/>
        <w:ind w:left="540" w:hanging="271"/>
      </w:pPr>
      <w:r>
        <w:rPr>
          <w:rFonts w:ascii="Calibri" w:hAnsi="Calibri"/>
          <w:color w:val="20262E"/>
          <w:sz w:val="22"/>
        </w:rPr>
        <w:t>At the routine deadline, enter CHECK_IN_PENDING only if evidence is insufficient and all required coverage is healthy.</w:t>
      </w:r>
    </w:p>
    <w:p>
      <w:pPr>
        <w:pStyle w:val="ListNumber"/>
        <w:spacing w:before="0" w:after="80" w:line="300" w:lineRule="auto"/>
        <w:ind w:left="540" w:hanging="271"/>
      </w:pPr>
      <w:r>
        <w:rPr>
          <w:rFonts w:ascii="Calibri" w:hAnsi="Calibri"/>
          <w:color w:val="20262E"/>
          <w:sz w:val="22"/>
        </w:rPr>
        <w:t>If the resident presses OK, record the outcome and return to NORMAL. If there is no response after the grace period, issue a caregiver alert.</w:t>
      </w:r>
    </w:p>
    <w:p>
      <w:pPr>
        <w:pStyle w:val="ListNumber"/>
        <w:spacing w:before="0" w:after="80" w:line="300" w:lineRule="auto"/>
        <w:ind w:left="540" w:hanging="271"/>
      </w:pPr>
      <w:r>
        <w:rPr>
          <w:rFonts w:ascii="Calibri" w:hAnsi="Calibri"/>
          <w:color w:val="20262E"/>
          <w:sz w:val="22"/>
        </w:rPr>
        <w:t>If any required node becomes stale, enter COVERAGE_UNKNOWN and issue a technical coverage alert instead of an inactivity alert.</w:t>
      </w:r>
    </w:p>
    <w:p>
      <w:pPr>
        <w:pStyle w:val="Heading2"/>
        <w:keepNext/>
      </w:pPr>
      <w:r>
        <w:t>3.3 Daily state machine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800"/>
        <w:gridCol w:w="3024"/>
        <w:gridCol w:w="2736"/>
        <w:gridCol w:w="1800"/>
      </w:tblGrid>
      <w:tr>
        <w:trPr>
          <w:tblHeader w:val="true"/>
          <w:cantSplit/>
        </w:trPr>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State</w:t>
            </w:r>
          </w:p>
        </w:tc>
        <w:tc>
          <w:tcPr>
            <w:tcW w:type="dxa" w:w="302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Entry condition</w:t>
            </w:r>
          </w:p>
        </w:tc>
        <w:tc>
          <w:tcPr>
            <w:tcW w:type="dxa" w:w="273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Hub behaviour</w:t>
            </w:r>
          </w:p>
        </w:tc>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Exit condition</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SUSPENDED</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Away mode, maintenance or disabled schedule</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Log health only; suppress routine alerts</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Schedule resumes or caregiver enables monitoring</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WATCHING</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Morning window begins with healthy minimum coverage</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Collect and evaluate household evidence</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Evidence sufficient, deadline reached or coverage lost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NORMAL</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Evidence sufficient or resident presses OK</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Show last activity and routine completion</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Next watch window or new fault</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CHECK_IN_PENDING</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Deadline reached with insufficient evidence and healthy coverage</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Sound local prompt; display Press OK</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OK pressed, grace expires or coverage lost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CAREGIVER_ALERTED</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 OK response after grace period</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Send notification and await acknowledgement</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Caregiver acknowledges, resident responds or alert is resolved</w:t>
            </w:r>
          </w:p>
        </w:tc>
      </w:tr>
      <w:tr>
        <w:trPr>
          <w:cantSplit/>
        </w:trPr>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ACKNOWLEDGED</w:t>
            </w:r>
          </w:p>
        </w:tc>
        <w:tc>
          <w:tcPr>
            <w:tcW w:type="dxa" w:w="3024"/>
            <w:tcMar>
              <w:top w:w="80" w:type="dxa"/>
              <w:start w:w="120" w:type="dxa"/>
              <w:bottom w:w="80" w:type="dxa"/>
              <w:end w:w="120" w:type="dxa"/>
            </w:tcMar>
            <w:vAlign w:val="center"/>
          </w:tcPr>
          <w:p>
            <w:pPr>
              <w:spacing w:before="0" w:after="40" w:line="259" w:lineRule="auto"/>
            </w:pPr>
            <w:r>
              <w:rPr>
                <w:rFonts w:ascii="Calibri" w:hAnsi="Calibri"/>
                <w:color w:val="20262E"/>
                <w:sz w:val="17"/>
              </w:rPr>
              <w:t>Caregiver accepts the alert</w:t>
            </w:r>
          </w:p>
        </w:tc>
        <w:tc>
          <w:tcPr>
            <w:tcW w:type="dxa" w:w="2736"/>
            <w:tcMar>
              <w:top w:w="80" w:type="dxa"/>
              <w:start w:w="120" w:type="dxa"/>
              <w:bottom w:w="80" w:type="dxa"/>
              <w:end w:w="120" w:type="dxa"/>
            </w:tcMar>
            <w:vAlign w:val="center"/>
          </w:tcPr>
          <w:p>
            <w:pPr>
              <w:spacing w:before="0" w:after="40" w:line="259" w:lineRule="auto"/>
            </w:pPr>
            <w:r>
              <w:rPr>
                <w:rFonts w:ascii="Calibri" w:hAnsi="Calibri"/>
                <w:color w:val="20262E"/>
                <w:sz w:val="17"/>
              </w:rPr>
              <w:t>Stop repeated notifications; retain audit trail</w:t>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7"/>
              </w:rPr>
              <w:t>Manually resolved or new independent alert</w:t>
            </w:r>
          </w:p>
        </w:tc>
      </w:tr>
      <w:tr>
        <w:trPr>
          <w:cantSplit/>
        </w:trPr>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COVERAGE_UNKNOWN</w:t>
            </w:r>
          </w:p>
        </w:tc>
        <w:tc>
          <w:tcPr>
            <w:tcW w:type="dxa" w:w="30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Required node, hub power or radio status is stale</w:t>
            </w:r>
          </w:p>
        </w:tc>
        <w:tc>
          <w:tcPr>
            <w:tcW w:type="dxa" w:w="273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Send technical alert; never claim resident inactivity</w:t>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Health recovers and a fresh evaluation begins</w:t>
            </w:r>
          </w:p>
        </w:tc>
      </w:tr>
    </w:tbl>
    <w:p>
      <w:pPr>
        <w:spacing w:after="40"/>
      </w:pPr>
    </w:p>
    <w:p>
      <w:pPr>
        <w:pStyle w:val="Heading1"/>
        <w:keepNext/>
      </w:pPr>
      <w:r>
        <w:t>4. Communication and failure scenarios</w:t>
      </w:r>
    </w:p>
    <w:p>
      <w:pPr>
        <w:pStyle w:val="Heading2"/>
        <w:keepNext/>
      </w:pPr>
      <w:r>
        <w:t>4.1 Node-to-hub protocol</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440"/>
        <w:gridCol w:w="1944"/>
        <w:gridCol w:w="3960"/>
        <w:gridCol w:w="2016"/>
      </w:tblGrid>
      <w:tr>
        <w:trPr>
          <w:tblHeader w:val="true"/>
          <w:cantSplit/>
        </w:trPr>
        <w:tc>
          <w:tcPr>
            <w:tcW w:type="dxa" w:w="144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Message</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Trigger</w:t>
            </w:r>
          </w:p>
        </w:tc>
        <w:tc>
          <w:tcPr>
            <w:tcW w:type="dxa" w:w="39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Minimum fields</w:t>
            </w:r>
          </w:p>
        </w:tc>
        <w:tc>
          <w:tcPr>
            <w:tcW w:type="dxa" w:w="201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Reliability behaviour</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BOOT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 starts or resets</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protocol_version, node_id, boot_id, firmware, battery_mV</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records restart and replies with ACK/config version</w:t>
            </w:r>
          </w:p>
        </w:tc>
      </w:tr>
      <w:tr>
        <w:trPr>
          <w:cantSplit/>
        </w:trPr>
        <w:tc>
          <w:tcPr>
            <w:tcW w:type="dxa" w:w="1440"/>
            <w:tcMar>
              <w:top w:w="80" w:type="dxa"/>
              <w:start w:w="120" w:type="dxa"/>
              <w:bottom w:w="80" w:type="dxa"/>
              <w:end w:w="120" w:type="dxa"/>
            </w:tcMar>
            <w:vAlign w:val="center"/>
          </w:tcPr>
          <w:p>
            <w:pPr>
              <w:spacing w:before="0" w:after="40" w:line="259" w:lineRule="auto"/>
            </w:pPr>
            <w:r>
              <w:rPr>
                <w:rFonts w:ascii="Calibri" w:hAnsi="Calibri"/>
                <w:color w:val="20262E"/>
                <w:sz w:val="17"/>
              </w:rPr>
              <w:t>EVENT</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PIR, button or door transition</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node_id, boot_id, sequence, event_type, local_uptime, battery_mV</w:t>
            </w:r>
          </w:p>
        </w:tc>
        <w:tc>
          <w:tcPr>
            <w:tcW w:type="dxa" w:w="2016"/>
            <w:tcMar>
              <w:top w:w="80" w:type="dxa"/>
              <w:start w:w="120" w:type="dxa"/>
              <w:bottom w:w="80" w:type="dxa"/>
              <w:end w:w="120" w:type="dxa"/>
            </w:tcMar>
            <w:vAlign w:val="center"/>
          </w:tcPr>
          <w:p>
            <w:pPr>
              <w:spacing w:before="0" w:after="40" w:line="259" w:lineRule="auto"/>
            </w:pPr>
            <w:r>
              <w:rPr>
                <w:rFonts w:ascii="Calibri" w:hAnsi="Calibri"/>
                <w:color w:val="20262E"/>
                <w:sz w:val="17"/>
              </w:rPr>
              <w:t>Hub de-duplicates by node_id + boot_id + sequence; node retries up to three times</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HEARTBEAT</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Periodic idle timer</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node_id, sequence, battery_mV, uptime, fault flags</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Every 15 minutes initially; hub declares stale after 35 minutes</w:t>
            </w:r>
          </w:p>
        </w:tc>
      </w:tr>
      <w:tr>
        <w:trPr>
          <w:cantSplit/>
        </w:trPr>
        <w:tc>
          <w:tcPr>
            <w:tcW w:type="dxa" w:w="1440"/>
            <w:tcMar>
              <w:top w:w="80" w:type="dxa"/>
              <w:start w:w="120" w:type="dxa"/>
              <w:bottom w:w="80" w:type="dxa"/>
              <w:end w:w="120" w:type="dxa"/>
            </w:tcMar>
            <w:vAlign w:val="center"/>
          </w:tcPr>
          <w:p>
            <w:pPr>
              <w:spacing w:before="0" w:after="40" w:line="259" w:lineRule="auto"/>
            </w:pPr>
            <w:r>
              <w:rPr>
                <w:rFonts w:ascii="Calibri" w:hAnsi="Calibri"/>
                <w:color w:val="20262E"/>
                <w:sz w:val="17"/>
              </w:rPr>
              <w:t>ACK</w:t>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Valid packet received</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node_id, boot_id, acknowledged_sequence, hub_status</w:t>
            </w:r>
          </w:p>
        </w:tc>
        <w:tc>
          <w:tcPr>
            <w:tcW w:type="dxa" w:w="2016"/>
            <w:tcMar>
              <w:top w:w="80" w:type="dxa"/>
              <w:start w:w="120" w:type="dxa"/>
              <w:bottom w:w="80" w:type="dxa"/>
              <w:end w:w="120" w:type="dxa"/>
            </w:tcMar>
            <w:vAlign w:val="center"/>
          </w:tcPr>
          <w:p>
            <w:pPr>
              <w:spacing w:before="0" w:after="40" w:line="259" w:lineRule="auto"/>
            </w:pPr>
            <w:r>
              <w:rPr>
                <w:rFonts w:ascii="Calibri" w:hAnsi="Calibri"/>
                <w:color w:val="20262E"/>
                <w:sz w:val="17"/>
              </w:rPr>
              <w:t>Stops retry and confirms delivery</w:t>
            </w:r>
          </w:p>
        </w:tc>
      </w:tr>
      <w:tr>
        <w:trPr>
          <w:cantSplit/>
        </w:trPr>
        <w:tc>
          <w:tcPr>
            <w:tcW w:type="dxa" w:w="14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CONFIG</w:t>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changes allowed node parameters</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config_version, heartbeat interval, sensor mode</w:t>
            </w:r>
          </w:p>
        </w:tc>
        <w:tc>
          <w:tcPr>
            <w:tcW w:type="dxa" w:w="201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Apply only after validation; acknowledge active version</w:t>
            </w:r>
          </w:p>
        </w:tc>
      </w:tr>
    </w:tbl>
    <w:p>
      <w:pPr>
        <w:spacing w:after="40"/>
      </w:pPr>
    </w:p>
    <w:p>
      <w:pPr>
        <w:spacing w:before="0" w:after="120" w:line="300" w:lineRule="auto"/>
      </w:pPr>
      <w:r>
        <w:rPr>
          <w:rFonts w:ascii="Calibri" w:hAnsi="Calibri"/>
          <w:i w:val="0"/>
          <w:color w:val="20262E"/>
          <w:sz w:val="22"/>
        </w:rPr>
        <w:t>ESP-NOW is used only inside the home between paired nodes and the hub. The hub maintains an allow-list of node identities. For a commercial pilot, add authenticated/encrypted messages and a secure re-pairing process; MAC-address filtering alone is not sufficient security.</w:t>
      </w:r>
    </w:p>
    <w:p>
      <w:pPr>
        <w:pStyle w:val="Heading2"/>
        <w:keepNext/>
      </w:pPr>
      <w:r>
        <w:t>4.2 Hub-to-dashboard behaviour</w:t>
      </w:r>
    </w:p>
    <w:p>
      <w:pPr>
        <w:pStyle w:val="ListBullet"/>
        <w:spacing w:before="0" w:after="80" w:line="300" w:lineRule="auto"/>
        <w:ind w:left="540" w:hanging="271"/>
      </w:pPr>
      <w:r>
        <w:rPr>
          <w:rFonts w:ascii="Calibri" w:hAnsi="Calibri"/>
          <w:color w:val="20262E"/>
          <w:sz w:val="22"/>
        </w:rPr>
        <w:t>The local web dashboard displays last activity by zone, routine state, node heartbeat age, battery status, internet status and alert acknowledgement.</w:t>
      </w:r>
    </w:p>
    <w:p>
      <w:pPr>
        <w:pStyle w:val="ListBullet"/>
        <w:spacing w:before="0" w:after="80" w:line="300" w:lineRule="auto"/>
        <w:ind w:left="540" w:hanging="271"/>
      </w:pPr>
      <w:r>
        <w:rPr>
          <w:rFonts w:ascii="Calibri" w:hAnsi="Calibri"/>
          <w:color w:val="20262E"/>
          <w:sz w:val="22"/>
        </w:rPr>
        <w:t>The hub sends caregiver notifications through an outbound HTTPS adapter. Do not expose the hub directly to the internet or require router port forwarding.</w:t>
      </w:r>
    </w:p>
    <w:p>
      <w:pPr>
        <w:pStyle w:val="ListBullet"/>
        <w:spacing w:before="0" w:after="80" w:line="300" w:lineRule="auto"/>
        <w:ind w:left="540" w:hanging="271"/>
      </w:pPr>
      <w:r>
        <w:rPr>
          <w:rFonts w:ascii="Calibri" w:hAnsi="Calibri"/>
          <w:color w:val="20262E"/>
          <w:sz w:val="22"/>
        </w:rPr>
        <w:t>When Wi-Fi is unavailable, the hub continues local routine evaluation, local prompting and event logging. Remote alerts are marked queued and transmitted after connectivity returns.</w:t>
      </w:r>
    </w:p>
    <w:p>
      <w:pPr>
        <w:pStyle w:val="ListBullet"/>
        <w:spacing w:before="0" w:after="80" w:line="300" w:lineRule="auto"/>
        <w:ind w:left="540" w:hanging="271"/>
      </w:pPr>
      <w:r>
        <w:rPr>
          <w:rFonts w:ascii="Calibri" w:hAnsi="Calibri"/>
          <w:color w:val="20262E"/>
          <w:sz w:val="22"/>
        </w:rPr>
        <w:t>OTA may update the hub over Wi-Fi after rollback testing. P0 nodes retain physical USB recovery; node OTA is a later controlled enhancement, not the only recovery path.</w:t>
      </w:r>
    </w:p>
    <w:p>
      <w:pPr>
        <w:pStyle w:val="Heading2"/>
        <w:keepNext/>
      </w:pPr>
      <w:r>
        <w:t>4.3 Scenario matrix</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376"/>
        <w:gridCol w:w="4824"/>
        <w:gridCol w:w="2160"/>
      </w:tblGrid>
      <w:tr>
        <w:trPr>
          <w:tblHeader w:val="true"/>
          <w:cantSplit/>
        </w:trPr>
        <w:tc>
          <w:tcPr>
            <w:tcW w:type="dxa" w:w="237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Scenario</w:t>
            </w:r>
          </w:p>
        </w:tc>
        <w:tc>
          <w:tcPr>
            <w:tcW w:type="dxa" w:w="482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What must happen</w:t>
            </w:r>
          </w:p>
        </w:tc>
        <w:tc>
          <w:tcPr>
            <w:tcW w:type="dxa" w:w="21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User-facing status</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Normal motion</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Node sends EVENT, hub ACKs, de-duplicates and updates zone timestamp</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Activity detected in [zone]</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Duplicate/retried packet</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Hub keeps one logical event and ACKs the repeated sequence</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No duplicate dashboard count</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One node offline</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stops using that zone as negative evidence and raises a coverage fault</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[Zone] sensor offline - coverage unknown</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All nodes quiet but healthy</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At deadline, hub prompts locally; escalates only after grace period</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Expected activity missing - check-in requested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presses OK</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Hub records source/time, cancels pending escalation and reports completion</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checked in</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Caregiver acknowledges</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Hub records actor/time and stops reminder notifications</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Family acknowledged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Home Wi-Fi fails</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ESP-NOW and local logic continue; alerts queue for outbound delivery</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Internet unavailable - local monitoring active</w:t>
            </w:r>
          </w:p>
        </w:tc>
      </w:tr>
      <w:tr>
        <w:trPr>
          <w:cantSplit/>
        </w:trPr>
        <w:tc>
          <w:tcPr>
            <w:tcW w:type="dxa" w:w="2376"/>
            <w:tcMar>
              <w:top w:w="80" w:type="dxa"/>
              <w:start w:w="120" w:type="dxa"/>
              <w:bottom w:w="80" w:type="dxa"/>
              <w:end w:w="120" w:type="dxa"/>
            </w:tcMar>
            <w:vAlign w:val="center"/>
          </w:tcPr>
          <w:p>
            <w:pPr>
              <w:spacing w:before="0" w:after="40" w:line="259" w:lineRule="auto"/>
            </w:pPr>
            <w:r>
              <w:rPr>
                <w:rFonts w:ascii="Calibri" w:hAnsi="Calibri"/>
                <w:color w:val="20262E"/>
                <w:sz w:val="17"/>
              </w:rPr>
              <w:t>Hub loses power</w:t>
            </w:r>
          </w:p>
        </w:tc>
        <w:tc>
          <w:tcPr>
            <w:tcW w:type="dxa" w:w="4824"/>
            <w:tcMar>
              <w:top w:w="80" w:type="dxa"/>
              <w:start w:w="120" w:type="dxa"/>
              <w:bottom w:w="80" w:type="dxa"/>
              <w:end w:w="120" w:type="dxa"/>
            </w:tcMar>
            <w:vAlign w:val="center"/>
          </w:tcPr>
          <w:p>
            <w:pPr>
              <w:spacing w:before="0" w:after="40" w:line="259" w:lineRule="auto"/>
            </w:pPr>
            <w:r>
              <w:rPr>
                <w:rFonts w:ascii="Calibri" w:hAnsi="Calibri"/>
                <w:color w:val="20262E"/>
                <w:sz w:val="17"/>
              </w:rPr>
              <w:t>Nodes cannot guarantee delivery; on reboot hub declares recovery and re-establishes health</w:t>
            </w:r>
          </w:p>
        </w:tc>
        <w:tc>
          <w:tcPr>
            <w:tcW w:type="dxa" w:w="2160"/>
            <w:tcMar>
              <w:top w:w="80" w:type="dxa"/>
              <w:start w:w="120" w:type="dxa"/>
              <w:bottom w:w="80" w:type="dxa"/>
              <w:end w:w="120" w:type="dxa"/>
            </w:tcMar>
            <w:vAlign w:val="center"/>
          </w:tcPr>
          <w:p>
            <w:pPr>
              <w:spacing w:before="0" w:after="40" w:line="259" w:lineRule="auto"/>
            </w:pPr>
            <w:r>
              <w:rPr>
                <w:rFonts w:ascii="Calibri" w:hAnsi="Calibri"/>
                <w:color w:val="20262E"/>
                <w:sz w:val="17"/>
              </w:rPr>
              <w:t>Hub was offline - coverage gap recorded</w:t>
            </w:r>
          </w:p>
        </w:tc>
      </w:tr>
      <w:tr>
        <w:trPr>
          <w:cantSplit/>
        </w:trPr>
        <w:tc>
          <w:tcPr>
            <w:tcW w:type="dxa" w:w="237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Low node battery</w:t>
            </w:r>
          </w:p>
        </w:tc>
        <w:tc>
          <w:tcPr>
            <w:tcW w:type="dxa" w:w="482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Warn before expected shutdown and keep health distinct from activity</w:t>
            </w:r>
          </w:p>
        </w:tc>
        <w:tc>
          <w:tcPr>
            <w:tcW w:type="dxa" w:w="21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Low battery: [zone]</w:t>
            </w:r>
          </w:p>
        </w:tc>
      </w:tr>
    </w:tbl>
    <w:p>
      <w:pPr>
        <w:spacing w:after="40"/>
      </w:pPr>
    </w:p>
    <w:p>
      <w:pPr>
        <w:pStyle w:val="Heading1"/>
        <w:keepNext/>
      </w:pPr>
      <w:r>
        <w:t>5. Software behaviour and stored data</w:t>
      </w:r>
    </w:p>
    <w:p>
      <w:pPr>
        <w:pStyle w:val="Heading2"/>
        <w:keepNext/>
      </w:pPr>
      <w:r>
        <w:t>5.1 Logical modules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232"/>
        <w:gridCol w:w="1512"/>
        <w:gridCol w:w="5616"/>
      </w:tblGrid>
      <w:tr>
        <w:trPr>
          <w:tblHeader w:val="true"/>
          <w:cantSplit/>
        </w:trPr>
        <w:tc>
          <w:tcPr>
            <w:tcW w:type="dxa" w:w="2232"/>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Module</w:t>
            </w:r>
          </w:p>
        </w:tc>
        <w:tc>
          <w:tcPr>
            <w:tcW w:type="dxa" w:w="1512"/>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Runs on</w:t>
            </w:r>
          </w:p>
        </w:tc>
        <w:tc>
          <w:tcPr>
            <w:tcW w:type="dxa" w:w="5616"/>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Responsibility</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Sensor input</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Node</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Debounce PIR/button/reed input and create logical events</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Power and health</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Node</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Measure battery through the approved divider, generate heartbeat and flag faults</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ESP-NOW transport</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Node + 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Pairing, packet validation, ACK/retry, versioning and sequence de-duplication</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Event store</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Assign wall-clock time; retain event, node health and alert outcome records</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Routine engine</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Sessionise events, run health gate, evaluate rules and transition state</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Prompt and acknowledgement</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Drive buzzer/OLED/button and record resident response</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Notification adapter</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Send queued caregiver alerts and receive acknowledgement through the application service</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Local dashboard</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Present zone activity, coverage, batteries, configuration and audit history</w:t>
            </w:r>
          </w:p>
        </w:tc>
      </w:tr>
      <w:tr>
        <w:trPr>
          <w:cantSplit/>
        </w:trPr>
        <w:tc>
          <w:tcPr>
            <w:tcW w:type="dxa" w:w="223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Configuration</w:t>
            </w:r>
          </w:p>
        </w:tc>
        <w:tc>
          <w:tcPr>
            <w:tcW w:type="dxa" w:w="1512"/>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Hub</w:t>
            </w:r>
          </w:p>
        </w:tc>
        <w:tc>
          <w:tcPr>
            <w:tcW w:type="dxa" w:w="5616"/>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t>Store household schedule, thresholds, zone roles and versioned node parameters</w:t>
            </w:r>
          </w:p>
        </w:tc>
      </w:tr>
      <w:tr>
        <w:trPr>
          <w:cantSplit/>
        </w:trPr>
        <w:tc>
          <w:tcPr>
            <w:tcW w:type="dxa" w:w="2232"/>
            <w:tcMar>
              <w:top w:w="80" w:type="dxa"/>
              <w:start w:w="120" w:type="dxa"/>
              <w:bottom w:w="80" w:type="dxa"/>
              <w:end w:w="120" w:type="dxa"/>
            </w:tcMar>
            <w:vAlign w:val="center"/>
          </w:tcPr>
          <w:p>
            <w:pPr>
              <w:spacing w:before="0" w:after="40" w:line="259" w:lineRule="auto"/>
            </w:pPr>
            <w:r>
              <w:rPr>
                <w:rFonts w:ascii="Calibri" w:hAnsi="Calibri"/>
                <w:color w:val="20262E"/>
                <w:sz w:val="18"/>
              </w:rPr>
              <w:t>OTA and recovery</w:t>
            </w:r>
          </w:p>
        </w:tc>
        <w:tc>
          <w:tcPr>
            <w:tcW w:type="dxa" w:w="1512"/>
            <w:tcMar>
              <w:top w:w="80" w:type="dxa"/>
              <w:start w:w="120" w:type="dxa"/>
              <w:bottom w:w="80" w:type="dxa"/>
              <w:end w:w="120" w:type="dxa"/>
            </w:tcMar>
            <w:vAlign w:val="center"/>
          </w:tcPr>
          <w:p>
            <w:pPr>
              <w:spacing w:before="0" w:after="40" w:line="259" w:lineRule="auto"/>
            </w:pPr>
            <w:r>
              <w:rPr>
                <w:rFonts w:ascii="Calibri" w:hAnsi="Calibri"/>
                <w:color w:val="20262E"/>
                <w:sz w:val="18"/>
              </w:rPr>
              <w:t>Hub; nodes later</w:t>
            </w:r>
          </w:p>
        </w:tc>
        <w:tc>
          <w:tcPr>
            <w:tcW w:type="dxa" w:w="5616"/>
            <w:tcMar>
              <w:top w:w="80" w:type="dxa"/>
              <w:start w:w="120" w:type="dxa"/>
              <w:bottom w:w="80" w:type="dxa"/>
              <w:end w:w="120" w:type="dxa"/>
            </w:tcMar>
            <w:vAlign w:val="center"/>
          </w:tcPr>
          <w:p>
            <w:pPr>
              <w:spacing w:before="0" w:after="40" w:line="259" w:lineRule="auto"/>
            </w:pPr>
            <w:r>
              <w:rPr>
                <w:rFonts w:ascii="Calibri" w:hAnsi="Calibri"/>
                <w:color w:val="20262E"/>
                <w:sz w:val="18"/>
              </w:rPr>
              <w:t>Signed/staged update, rollback and physical recovery path</w:t>
            </w:r>
          </w:p>
        </w:tc>
      </w:tr>
    </w:tbl>
    <w:p>
      <w:pPr>
        <w:spacing w:after="40"/>
      </w:pPr>
    </w:p>
    <w:p>
      <w:pPr>
        <w:pStyle w:val="Heading2"/>
        <w:keepNext/>
      </w:pPr>
      <w:r>
        <w:t>5.2 Minimum event record</w:t>
      </w:r>
    </w:p>
    <w:p>
      <w:pPr>
        <w:spacing w:before="0" w:after="120" w:line="300" w:lineRule="auto"/>
      </w:pPr>
      <w:r>
        <w:rPr>
          <w:rFonts w:ascii="Calibri" w:hAnsi="Calibri"/>
          <w:i w:val="0"/>
          <w:color w:val="20262E"/>
          <w:sz w:val="22"/>
        </w:rPr>
        <w:t>Each logical event should retain: event_id, household_id, node_id, zone_id, boot_id, sequence number, event type, hub timestamp, node uptime, battery millivolts, transport result, routine state before/after and any alert or acknowledgement correlation ID. Raw continuous sensor streams are unnecessary for P0.</w:t>
      </w:r>
    </w:p>
    <w:p>
      <w:pPr>
        <w:pStyle w:val="Heading2"/>
        <w:keepNext/>
      </w:pPr>
      <w:r>
        <w:t>5.3 Privacy and retention</w:t>
      </w:r>
    </w:p>
    <w:p>
      <w:pPr>
        <w:pStyle w:val="ListBullet"/>
        <w:spacing w:before="0" w:after="80" w:line="300" w:lineRule="auto"/>
        <w:ind w:left="540" w:hanging="271"/>
      </w:pPr>
      <w:r>
        <w:rPr>
          <w:rFonts w:ascii="Calibri" w:hAnsi="Calibri"/>
          <w:color w:val="20262E"/>
          <w:sz w:val="22"/>
        </w:rPr>
        <w:t>Store motion events rather than images, audio or inferred personal identity.</w:t>
      </w:r>
    </w:p>
    <w:p>
      <w:pPr>
        <w:pStyle w:val="ListBullet"/>
        <w:spacing w:before="0" w:after="80" w:line="300" w:lineRule="auto"/>
        <w:ind w:left="540" w:hanging="271"/>
      </w:pPr>
      <w:r>
        <w:rPr>
          <w:rFonts w:ascii="Calibri" w:hAnsi="Calibri"/>
          <w:color w:val="20262E"/>
          <w:sz w:val="22"/>
        </w:rPr>
        <w:t>Give residents a visible pause/away control and show when coverage is suspended.</w:t>
      </w:r>
    </w:p>
    <w:p>
      <w:pPr>
        <w:pStyle w:val="ListBullet"/>
        <w:spacing w:before="0" w:after="80" w:line="300" w:lineRule="auto"/>
        <w:ind w:left="540" w:hanging="271"/>
      </w:pPr>
      <w:r>
        <w:rPr>
          <w:rFonts w:ascii="Calibri" w:hAnsi="Calibri"/>
          <w:color w:val="20262E"/>
          <w:sz w:val="22"/>
        </w:rPr>
        <w:t>Use a configurable retention period; start with 30 days of detailed events and longer-lived daily summaries only after consent.</w:t>
      </w:r>
    </w:p>
    <w:p>
      <w:pPr>
        <w:pStyle w:val="ListBullet"/>
        <w:spacing w:before="0" w:after="80" w:line="300" w:lineRule="auto"/>
        <w:ind w:left="540" w:hanging="271"/>
      </w:pPr>
      <w:r>
        <w:rPr>
          <w:rFonts w:ascii="Calibri" w:hAnsi="Calibri"/>
          <w:color w:val="20262E"/>
          <w:sz w:val="22"/>
        </w:rPr>
        <w:t>Do not expose precise bathroom timing in caregiver views; use only coarse activity evidence and device health.</w:t>
      </w:r>
    </w:p>
    <w:p>
      <w:pPr>
        <w:pStyle w:val="ListBullet"/>
        <w:spacing w:before="0" w:after="80" w:line="300" w:lineRule="auto"/>
        <w:ind w:left="540" w:hanging="271"/>
      </w:pPr>
      <w:r>
        <w:rPr>
          <w:rFonts w:ascii="Calibri" w:hAnsi="Calibri"/>
          <w:color w:val="20262E"/>
          <w:sz w:val="22"/>
        </w:rPr>
        <w:t>Separate resident OK, caregiver acknowledgement and automatic routine evidence in the audit trail.</w:t>
      </w:r>
    </w:p>
    <w:p>
      <w:pPr>
        <w:pStyle w:val="Heading2"/>
        <w:keepNext/>
      </w:pPr>
      <w:r>
        <w:t>5.4 Learning roadmap</w:t>
      </w:r>
    </w:p>
    <w:p>
      <w:pPr>
        <w:spacing w:before="0" w:after="120" w:line="300" w:lineRule="auto"/>
      </w:pPr>
      <w:r>
        <w:rPr>
          <w:rFonts w:ascii="Calibri" w:hAnsi="Calibri"/>
          <w:i w:val="0"/>
          <w:color w:val="20262E"/>
          <w:sz w:val="22"/>
        </w:rPr>
        <w:t>Historical learning is P1. First collect at least two to four weeks of reliable, labelled events in shadow mode. Labels must include normal day, late start, away day, guest activity, sensor moved, power failure and false trigger. Begin with per-household statistical baselines before considering a trained model.</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FFF4D6"/>
          </w:tcPr>
          <w:p>
            <w:pPr>
              <w:spacing w:before="60" w:after="60"/>
            </w:pPr>
            <w:r>
              <w:rPr>
                <w:rFonts w:ascii="Calibri" w:hAnsi="Calibri"/>
                <w:b/>
                <w:color w:val="B68118"/>
                <w:sz w:val="21"/>
              </w:rPr>
              <w:t xml:space="preserve">Do not train yet: </w:t>
            </w:r>
            <w:r>
              <w:rPr>
                <w:rFonts w:ascii="Calibri" w:hAnsi="Calibri"/>
                <w:color w:val="20262E"/>
                <w:sz w:val="21"/>
              </w:rPr>
              <w:t>Temperature, humidity and PIR changes can later become contextual features, but correlation is not proof of cooking or risk. Add sensors only after the P0 event quality and caregiver workflow are validated.</w:t>
            </w:r>
          </w:p>
        </w:tc>
      </w:tr>
    </w:tbl>
    <w:p>
      <w:pPr>
        <w:spacing w:after="20"/>
      </w:pPr>
    </w:p>
    <w:p>
      <w:pPr>
        <w:pStyle w:val="Heading1"/>
        <w:keepNext/>
      </w:pPr>
      <w:r>
        <w:t>6. Installation, calibration and acceptance</w:t>
      </w:r>
    </w:p>
    <w:p>
      <w:pPr>
        <w:pStyle w:val="Heading2"/>
        <w:keepNext/>
      </w:pPr>
      <w:r>
        <w:t>6.1 Installation sequence</w:t>
      </w:r>
    </w:p>
    <w:p>
      <w:pPr>
        <w:pStyle w:val="ListNumber"/>
        <w:spacing w:before="0" w:after="80" w:line="300" w:lineRule="auto"/>
        <w:ind w:left="540" w:hanging="271"/>
      </w:pPr>
      <w:r>
        <w:rPr>
          <w:rFonts w:ascii="Calibri" w:hAnsi="Calibri"/>
          <w:color w:val="20262E"/>
          <w:sz w:val="22"/>
        </w:rPr>
        <w:t>Bench-test each ESP32, PIR, button, reed input, buzzer and battery reading before soldering.</w:t>
      </w:r>
    </w:p>
    <w:p>
      <w:pPr>
        <w:pStyle w:val="ListNumber"/>
        <w:spacing w:before="0" w:after="80" w:line="300" w:lineRule="auto"/>
        <w:ind w:left="540" w:hanging="271"/>
      </w:pPr>
      <w:r>
        <w:rPr>
          <w:rFonts w:ascii="Calibri" w:hAnsi="Calibri"/>
          <w:color w:val="20262E"/>
          <w:sz w:val="22"/>
        </w:rPr>
        <w:t>Assign permanent node IDs and labels that match the dashboard and this document.</w:t>
      </w:r>
    </w:p>
    <w:p>
      <w:pPr>
        <w:pStyle w:val="ListNumber"/>
        <w:spacing w:before="0" w:after="80" w:line="300" w:lineRule="auto"/>
        <w:ind w:left="540" w:hanging="271"/>
      </w:pPr>
      <w:r>
        <w:rPr>
          <w:rFonts w:ascii="Calibri" w:hAnsi="Calibri"/>
          <w:color w:val="20262E"/>
          <w:sz w:val="22"/>
        </w:rPr>
        <w:t>Assemble on perfboard using the final BOM wiring guide: 22AWG red/black for power and multistrand ribbon for signals.</w:t>
      </w:r>
    </w:p>
    <w:p>
      <w:pPr>
        <w:pStyle w:val="ListNumber"/>
        <w:spacing w:before="0" w:after="80" w:line="300" w:lineRule="auto"/>
        <w:ind w:left="540" w:hanging="271"/>
      </w:pPr>
      <w:r>
        <w:rPr>
          <w:rFonts w:ascii="Calibri" w:hAnsi="Calibri"/>
          <w:color w:val="20262E"/>
          <w:sz w:val="22"/>
        </w:rPr>
        <w:t>Place devices temporarily with removable tape; keep enclosures open only while supervised and batteries inaccessible to residents.</w:t>
      </w:r>
    </w:p>
    <w:p>
      <w:pPr>
        <w:pStyle w:val="ListNumber"/>
        <w:spacing w:before="0" w:after="80" w:line="300" w:lineRule="auto"/>
        <w:ind w:left="540" w:hanging="271"/>
      </w:pPr>
      <w:r>
        <w:rPr>
          <w:rFonts w:ascii="Calibri" w:hAnsi="Calibri"/>
          <w:color w:val="20262E"/>
          <w:sz w:val="22"/>
        </w:rPr>
        <w:t>Perform crossing-path and direct-approach walk tests for every PIR and adjust angle before drilling.</w:t>
      </w:r>
    </w:p>
    <w:p>
      <w:pPr>
        <w:pStyle w:val="ListNumber"/>
        <w:spacing w:before="0" w:after="80" w:line="300" w:lineRule="auto"/>
        <w:ind w:left="540" w:hanging="271"/>
      </w:pPr>
      <w:r>
        <w:rPr>
          <w:rFonts w:ascii="Calibri" w:hAnsi="Calibri"/>
          <w:color w:val="20262E"/>
          <w:sz w:val="22"/>
        </w:rPr>
        <w:t>Run a 24-hour connectivity test, then a seven-day silent shadow trial with alerts disabled.</w:t>
      </w:r>
    </w:p>
    <w:p>
      <w:pPr>
        <w:pStyle w:val="ListNumber"/>
        <w:spacing w:before="0" w:after="80" w:line="300" w:lineRule="auto"/>
        <w:ind w:left="540" w:hanging="271"/>
      </w:pPr>
      <w:r>
        <w:rPr>
          <w:rFonts w:ascii="Calibri" w:hAnsi="Calibri"/>
          <w:color w:val="20262E"/>
          <w:sz w:val="22"/>
        </w:rPr>
        <w:t>Tune the routine window and evidence thresholds from labelled shadow data.</w:t>
      </w:r>
    </w:p>
    <w:p>
      <w:pPr>
        <w:pStyle w:val="ListNumber"/>
        <w:spacing w:before="0" w:after="80" w:line="300" w:lineRule="auto"/>
        <w:ind w:left="540" w:hanging="271"/>
      </w:pPr>
      <w:r>
        <w:rPr>
          <w:rFonts w:ascii="Calibri" w:hAnsi="Calibri"/>
          <w:color w:val="20262E"/>
          <w:sz w:val="22"/>
        </w:rPr>
        <w:t>Enable local prompts first. Enable caregiver notifications only after the family understands every status message.</w:t>
      </w:r>
    </w:p>
    <w:p>
      <w:pPr>
        <w:pStyle w:val="Heading2"/>
        <w:keepNext/>
      </w:pPr>
      <w:r>
        <w:t>6.2 Room-by-room checks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944"/>
        <w:gridCol w:w="3960"/>
        <w:gridCol w:w="3456"/>
      </w:tblGrid>
      <w:tr>
        <w:trPr>
          <w:tblHeader w:val="true"/>
          <w:cantSplit/>
        </w:trPr>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Zone</w:t>
            </w:r>
          </w:p>
        </w:tc>
        <w:tc>
          <w:tcPr>
            <w:tcW w:type="dxa" w:w="396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Required test</w:t>
            </w:r>
          </w:p>
        </w:tc>
        <w:tc>
          <w:tcPr>
            <w:tcW w:type="dxa" w:w="3456"/>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Pass criterion</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Common/dining</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Twenty normal crossing walks plus seated dining activity</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At least 18 walks detected; no repeated false triggering from TV, fan or sunlight during an empty two-hour period</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Room 1</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Bed-to-door and door-to-bed paths</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Movement consistently detected without aiming directly at the bed</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Pooja</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Enter, sit for 15 minutes with normal small movement, then leave</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Activity cluster is recorded; system does not claim continuous occupancy</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Kitchen</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Normal preparation paths with stove off, then during typical cooking</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Human movement is detected; no cooking conclusion is produced</w:t>
            </w:r>
          </w:p>
        </w:tc>
      </w:tr>
      <w:tr>
        <w:trPr>
          <w:cantSplit/>
        </w:trPr>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Primary bath approach</w:t>
            </w:r>
          </w:p>
        </w:tc>
        <w:tc>
          <w:tcPr>
            <w:tcW w:type="dxa" w:w="396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Approach and leave by typical route</w:t>
            </w:r>
          </w:p>
        </w:tc>
        <w:tc>
          <w:tcPr>
            <w:tcW w:type="dxa" w:w="3456"/>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Entrance-area movement detected without sensing inside the wet area</w:t>
            </w:r>
          </w:p>
        </w:tc>
      </w:tr>
      <w:tr>
        <w:trPr>
          <w:cantSplit/>
        </w:trPr>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7"/>
              </w:rPr>
              <w:t>Main door</w:t>
            </w:r>
          </w:p>
        </w:tc>
        <w:tc>
          <w:tcPr>
            <w:tcW w:type="dxa" w:w="3960"/>
            <w:tcMar>
              <w:top w:w="80" w:type="dxa"/>
              <w:start w:w="120" w:type="dxa"/>
              <w:bottom w:w="80" w:type="dxa"/>
              <w:end w:w="120" w:type="dxa"/>
            </w:tcMar>
            <w:vAlign w:val="center"/>
          </w:tcPr>
          <w:p>
            <w:pPr>
              <w:spacing w:before="0" w:after="40" w:line="259" w:lineRule="auto"/>
            </w:pPr>
            <w:r>
              <w:rPr>
                <w:rFonts w:ascii="Calibri" w:hAnsi="Calibri"/>
                <w:color w:val="20262E"/>
                <w:sz w:val="17"/>
              </w:rPr>
              <w:t>Twenty open/close cycles and slight misalignment test</w:t>
            </w:r>
          </w:p>
        </w:tc>
        <w:tc>
          <w:tcPr>
            <w:tcW w:type="dxa" w:w="3456"/>
            <w:tcMar>
              <w:top w:w="80" w:type="dxa"/>
              <w:start w:w="120" w:type="dxa"/>
              <w:bottom w:w="80" w:type="dxa"/>
              <w:end w:w="120" w:type="dxa"/>
            </w:tcMar>
            <w:vAlign w:val="center"/>
          </w:tcPr>
          <w:p>
            <w:pPr>
              <w:spacing w:before="0" w:after="40" w:line="259" w:lineRule="auto"/>
            </w:pPr>
            <w:r>
              <w:rPr>
                <w:rFonts w:ascii="Calibri" w:hAnsi="Calibri"/>
                <w:color w:val="20262E"/>
                <w:sz w:val="17"/>
              </w:rPr>
              <w:t>Correct state in all cycles; hub reports cable/sensor fault separately when feasible</w:t>
            </w:r>
          </w:p>
        </w:tc>
      </w:tr>
    </w:tbl>
    <w:p>
      <w:pPr>
        <w:spacing w:after="40"/>
      </w:pPr>
    </w:p>
    <w:p>
      <w:pPr>
        <w:pStyle w:val="Heading2"/>
        <w:keepNext/>
      </w:pPr>
      <w:r>
        <w:t>6.3 P0 exit criteria</w:t>
      </w:r>
    </w:p>
    <w:p>
      <w:pPr>
        <w:pStyle w:val="ListBullet"/>
        <w:spacing w:before="0" w:after="80" w:line="300" w:lineRule="auto"/>
        <w:ind w:left="540" w:hanging="271"/>
      </w:pPr>
      <w:r>
        <w:rPr>
          <w:rFonts w:ascii="Calibri" w:hAnsi="Calibri"/>
          <w:color w:val="20262E"/>
          <w:sz w:val="22"/>
        </w:rPr>
        <w:t>All nodes run for seven consecutive days without unexplained resets or duplicate logical events.</w:t>
      </w:r>
    </w:p>
    <w:p>
      <w:pPr>
        <w:pStyle w:val="ListBullet"/>
        <w:spacing w:before="0" w:after="80" w:line="300" w:lineRule="auto"/>
        <w:ind w:left="540" w:hanging="271"/>
      </w:pPr>
      <w:r>
        <w:rPr>
          <w:rFonts w:ascii="Calibri" w:hAnsi="Calibri"/>
          <w:color w:val="20262E"/>
          <w:sz w:val="22"/>
        </w:rPr>
        <w:t>Every zone reports a heartbeat within the configured interval and changes to COVERAGE_UNKNOWN after the offline threshold.</w:t>
      </w:r>
    </w:p>
    <w:p>
      <w:pPr>
        <w:pStyle w:val="ListBullet"/>
        <w:spacing w:before="0" w:after="80" w:line="300" w:lineRule="auto"/>
        <w:ind w:left="540" w:hanging="271"/>
      </w:pPr>
      <w:r>
        <w:rPr>
          <w:rFonts w:ascii="Calibri" w:hAnsi="Calibri"/>
          <w:color w:val="20262E"/>
          <w:sz w:val="22"/>
        </w:rPr>
        <w:t>Loss of one node never generates a false resident-inactivity alert.</w:t>
      </w:r>
    </w:p>
    <w:p>
      <w:pPr>
        <w:pStyle w:val="ListBullet"/>
        <w:spacing w:before="0" w:after="80" w:line="300" w:lineRule="auto"/>
        <w:ind w:left="540" w:hanging="271"/>
      </w:pPr>
      <w:r>
        <w:rPr>
          <w:rFonts w:ascii="Calibri" w:hAnsi="Calibri"/>
          <w:color w:val="20262E"/>
          <w:sz w:val="22"/>
        </w:rPr>
        <w:t>Wi-Fi loss does not stop ESP-NOW reception, local logging, local prompts or the OK button.</w:t>
      </w:r>
    </w:p>
    <w:p>
      <w:pPr>
        <w:pStyle w:val="ListBullet"/>
        <w:spacing w:before="0" w:after="80" w:line="300" w:lineRule="auto"/>
        <w:ind w:left="540" w:hanging="271"/>
      </w:pPr>
      <w:r>
        <w:rPr>
          <w:rFonts w:ascii="Calibri" w:hAnsi="Calibri"/>
          <w:color w:val="20262E"/>
          <w:sz w:val="22"/>
        </w:rPr>
        <w:t>The hub recovers after power cycling and clearly records the monitoring gap.</w:t>
      </w:r>
    </w:p>
    <w:p>
      <w:pPr>
        <w:pStyle w:val="ListBullet"/>
        <w:spacing w:before="0" w:after="80" w:line="300" w:lineRule="auto"/>
        <w:ind w:left="540" w:hanging="271"/>
      </w:pPr>
      <w:r>
        <w:rPr>
          <w:rFonts w:ascii="Calibri" w:hAnsi="Calibri"/>
          <w:color w:val="20262E"/>
          <w:sz w:val="22"/>
        </w:rPr>
        <w:t>The resident can complete an OK check-in without using a phone.</w:t>
      </w:r>
    </w:p>
    <w:p>
      <w:pPr>
        <w:pStyle w:val="ListBullet"/>
        <w:spacing w:before="0" w:after="80" w:line="300" w:lineRule="auto"/>
        <w:ind w:left="540" w:hanging="271"/>
      </w:pPr>
      <w:r>
        <w:rPr>
          <w:rFonts w:ascii="Calibri" w:hAnsi="Calibri"/>
          <w:color w:val="20262E"/>
          <w:sz w:val="22"/>
        </w:rPr>
        <w:t>The caregiver can distinguish activity missing, sensor offline, resident OK and family acknowledged in a comprehension test.</w:t>
      </w:r>
    </w:p>
    <w:p>
      <w:pPr>
        <w:pStyle w:val="ListBullet"/>
        <w:spacing w:before="0" w:after="80" w:line="300" w:lineRule="auto"/>
        <w:ind w:left="540" w:hanging="271"/>
      </w:pPr>
      <w:r>
        <w:rPr>
          <w:rFonts w:ascii="Calibri" w:hAnsi="Calibri"/>
          <w:color w:val="20262E"/>
          <w:sz w:val="22"/>
        </w:rPr>
        <w:t>At least seven shadow mornings are labelled and reviewed before live escalation is enabled.</w:t>
      </w:r>
    </w:p>
    <w:p>
      <w:pPr>
        <w:pStyle w:val="ListBullet"/>
        <w:spacing w:before="0" w:after="80" w:line="300" w:lineRule="auto"/>
        <w:ind w:left="540" w:hanging="271"/>
      </w:pPr>
      <w:r>
        <w:rPr>
          <w:rFonts w:ascii="Calibri" w:hAnsi="Calibri"/>
          <w:color w:val="20262E"/>
          <w:sz w:val="22"/>
        </w:rPr>
        <w:t>No enclosure exposes loose cells, bare conductors or unsupported wiring to residents.</w:t>
      </w:r>
    </w:p>
    <w:p>
      <w:pPr>
        <w:pStyle w:val="Heading2"/>
        <w:keepNext/>
      </w:pPr>
      <w:r>
        <w:t>6.4 Trial log template</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1224"/>
        <w:gridCol w:w="1800"/>
        <w:gridCol w:w="2088"/>
        <w:gridCol w:w="1944"/>
        <w:gridCol w:w="2304"/>
      </w:tblGrid>
      <w:tr>
        <w:trPr>
          <w:tblHeader w:val="true"/>
          <w:cantSplit/>
        </w:trPr>
        <w:tc>
          <w:tcPr>
            <w:tcW w:type="dxa" w:w="122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Date</w:t>
            </w:r>
          </w:p>
        </w:tc>
        <w:tc>
          <w:tcPr>
            <w:tcW w:type="dxa" w:w="1800"/>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Normal routine?</w:t>
            </w:r>
          </w:p>
        </w:tc>
        <w:tc>
          <w:tcPr>
            <w:tcW w:type="dxa" w:w="2088"/>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System result</w:t>
            </w:r>
          </w:p>
        </w:tc>
        <w:tc>
          <w:tcPr>
            <w:tcW w:type="dxa" w:w="194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False/missed event</w:t>
            </w:r>
          </w:p>
        </w:tc>
        <w:tc>
          <w:tcPr>
            <w:tcW w:type="dxa" w:w="2304"/>
            <w:tcMar>
              <w:top w:w="80" w:type="dxa"/>
              <w:start w:w="120" w:type="dxa"/>
              <w:bottom w:w="80" w:type="dxa"/>
              <w:end w:w="120" w:type="dxa"/>
            </w:tcMar>
            <w:vAlign w:val="center"/>
            <w:shd w:fill="1F4D78"/>
          </w:tcPr>
          <w:p>
            <w:pPr>
              <w:spacing w:before="0" w:after="40" w:line="259" w:lineRule="auto"/>
            </w:pPr>
            <w:r>
              <w:rPr>
                <w:rFonts w:ascii="Calibri" w:hAnsi="Calibri"/>
                <w:b/>
                <w:color w:val="FFFFFF"/>
                <w:sz w:val="18"/>
              </w:rPr>
              <w:t>Cause/action</w:t>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r>
      <w:tr>
        <w:trPr>
          <w:cantSplit/>
        </w:trPr>
        <w:tc>
          <w:tcPr>
            <w:tcW w:type="dxa" w:w="1224"/>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tcPr>
          <w:p>
            <w:pPr>
              <w:spacing w:before="0" w:after="40" w:line="259" w:lineRule="auto"/>
            </w:pPr>
            <w:r>
              <w:rPr>
                <w:rFonts w:ascii="Calibri" w:hAnsi="Calibri"/>
                <w:color w:val="20262E"/>
                <w:sz w:val="18"/>
              </w:rPr>
            </w:r>
          </w:p>
        </w:tc>
      </w:tr>
      <w:tr>
        <w:trPr>
          <w:cantSplit/>
        </w:trPr>
        <w:tc>
          <w:tcPr>
            <w:tcW w:type="dxa" w:w="122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800"/>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088"/>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194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c>
          <w:tcPr>
            <w:tcW w:type="dxa" w:w="2304"/>
            <w:tcMar>
              <w:top w:w="80" w:type="dxa"/>
              <w:start w:w="120" w:type="dxa"/>
              <w:bottom w:w="80" w:type="dxa"/>
              <w:end w:w="120" w:type="dxa"/>
            </w:tcMar>
            <w:vAlign w:val="center"/>
            <w:shd w:fill="F8FAFC"/>
          </w:tcPr>
          <w:p>
            <w:pPr>
              <w:spacing w:before="0" w:after="40" w:line="259" w:lineRule="auto"/>
            </w:pPr>
            <w:r>
              <w:rPr>
                <w:rFonts w:ascii="Calibri" w:hAnsi="Calibri"/>
                <w:color w:val="20262E"/>
                <w:sz w:val="18"/>
              </w:rPr>
            </w:r>
          </w:p>
        </w:tc>
      </w:tr>
    </w:tbl>
    <w:p>
      <w:pPr>
        <w:spacing w:after="40"/>
      </w:pPr>
    </w:p>
    <w:p>
      <w:pPr>
        <w:pStyle w:val="Heading1"/>
        <w:keepNext/>
      </w:pPr>
      <w:r>
        <w:t>7. Known gaps and controlled enhancements</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2592"/>
        <w:gridCol w:w="3240"/>
        <w:gridCol w:w="3528"/>
      </w:tblGrid>
      <w:tr>
        <w:trPr>
          <w:tblHeader w:val="true"/>
          <w:cantSplit/>
        </w:trPr>
        <w:tc>
          <w:tcPr>
            <w:tcW w:type="dxa" w:w="2592"/>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Gap or enhancement</w:t>
            </w:r>
          </w:p>
        </w:tc>
        <w:tc>
          <w:tcPr>
            <w:tcW w:type="dxa" w:w="3240"/>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P0 treatment</w:t>
            </w:r>
          </w:p>
        </w:tc>
        <w:tc>
          <w:tcPr>
            <w:tcW w:type="dxa" w:w="3528"/>
            <w:tcMar>
              <w:top w:w="80" w:type="dxa"/>
              <w:start w:w="120" w:type="dxa"/>
              <w:bottom w:w="80" w:type="dxa"/>
              <w:end w:w="120" w:type="dxa"/>
            </w:tcMar>
            <w:vAlign w:val="center"/>
            <w:shd w:fill="1F4D78"/>
          </w:tcPr>
          <w:p>
            <w:pPr>
              <w:spacing w:before="0" w:after="40" w:line="259" w:lineRule="auto"/>
            </w:pPr>
            <w:r>
              <w:rPr>
                <w:rFonts w:ascii="Calibri" w:hAnsi="Calibri"/>
                <w:b/>
                <w:color w:val="FFFFFF"/>
                <w:sz w:val="17"/>
              </w:rPr>
              <w:t>Trigger for P1</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Room 2 coverage</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Explicitly unmonitored</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Shadow data shows repeated missed activity or individual monitoring becomes a requirement</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Secondary bathroom</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Explicitly unmonitored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Meaningful use frequency justifies an additional node</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Main-door dedicated node</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Reed connects to nearby hub</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Cable run proves impractical or hub placement weakens common-room coverage</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Temperature/humidity</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Excluded from decisions</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P0 events are reliable and a labelled kitchen-context experiment is defined</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Smoke/fire detection</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Use a certified standalone alarm; do not add hobby gas sensors</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Only through certified-device integration and regulatory review</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mmWave/fall detection</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Excluded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Separate accuracy, privacy and liability programme is funded</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Person identification</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Not possible with PIR</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Resident consent and a suitable privacy-preserving technology are established</w:t>
            </w:r>
          </w:p>
        </w:tc>
      </w:tr>
      <w:tr>
        <w:trPr>
          <w:cantSplit/>
        </w:trPr>
        <w:tc>
          <w:tcPr>
            <w:tcW w:type="dxa" w:w="2592"/>
            <w:tcMar>
              <w:top w:w="80" w:type="dxa"/>
              <w:start w:w="120" w:type="dxa"/>
              <w:bottom w:w="80" w:type="dxa"/>
              <w:end w:w="120" w:type="dxa"/>
            </w:tcMar>
            <w:vAlign w:val="center"/>
          </w:tcPr>
          <w:p>
            <w:pPr>
              <w:spacing w:before="0" w:after="40" w:line="259" w:lineRule="auto"/>
            </w:pPr>
            <w:r>
              <w:rPr>
                <w:rFonts w:ascii="Calibri" w:hAnsi="Calibri"/>
                <w:color w:val="20262E"/>
                <w:sz w:val="17"/>
              </w:rPr>
              <w:t>Node OTA</w:t>
            </w:r>
          </w:p>
        </w:tc>
        <w:tc>
          <w:tcPr>
            <w:tcW w:type="dxa" w:w="3240"/>
            <w:tcMar>
              <w:top w:w="80" w:type="dxa"/>
              <w:start w:w="120" w:type="dxa"/>
              <w:bottom w:w="80" w:type="dxa"/>
              <w:end w:w="120" w:type="dxa"/>
            </w:tcMar>
            <w:vAlign w:val="center"/>
          </w:tcPr>
          <w:p>
            <w:pPr>
              <w:spacing w:before="0" w:after="40" w:line="259" w:lineRule="auto"/>
            </w:pPr>
            <w:r>
              <w:rPr>
                <w:rFonts w:ascii="Calibri" w:hAnsi="Calibri"/>
                <w:color w:val="20262E"/>
                <w:sz w:val="17"/>
              </w:rPr>
              <w:t>Physical USB recovery retained</w:t>
            </w:r>
          </w:p>
        </w:tc>
        <w:tc>
          <w:tcPr>
            <w:tcW w:type="dxa" w:w="3528"/>
            <w:tcMar>
              <w:top w:w="80" w:type="dxa"/>
              <w:start w:w="120" w:type="dxa"/>
              <w:bottom w:w="80" w:type="dxa"/>
              <w:end w:w="120" w:type="dxa"/>
            </w:tcMar>
            <w:vAlign w:val="center"/>
          </w:tcPr>
          <w:p>
            <w:pPr>
              <w:spacing w:before="0" w:after="40" w:line="259" w:lineRule="auto"/>
            </w:pPr>
            <w:r>
              <w:rPr>
                <w:rFonts w:ascii="Calibri" w:hAnsi="Calibri"/>
                <w:color w:val="20262E"/>
                <w:sz w:val="17"/>
              </w:rPr>
              <w:t>Signed update, rollback and recovery have passed repeated failure tests</w:t>
            </w:r>
          </w:p>
        </w:tc>
      </w:tr>
      <w:tr>
        <w:trPr>
          <w:cantSplit/>
        </w:trPr>
        <w:tc>
          <w:tcPr>
            <w:tcW w:type="dxa" w:w="2592"/>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Commercial power</w:t>
            </w:r>
          </w:p>
        </w:tc>
        <w:tc>
          <w:tcPr>
            <w:tcW w:type="dxa" w:w="3240"/>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Prototype battery shields only</w:t>
            </w:r>
          </w:p>
        </w:tc>
        <w:tc>
          <w:tcPr>
            <w:tcW w:type="dxa" w:w="3528"/>
            <w:tcMar>
              <w:top w:w="80" w:type="dxa"/>
              <w:start w:w="120" w:type="dxa"/>
              <w:bottom w:w="80" w:type="dxa"/>
              <w:end w:w="120" w:type="dxa"/>
            </w:tcMar>
            <w:vAlign w:val="center"/>
            <w:shd w:fill="F8FAFC"/>
          </w:tcPr>
          <w:p>
            <w:pPr>
              <w:spacing w:before="0" w:after="40" w:line="259" w:lineRule="auto"/>
            </w:pPr>
            <w:r>
              <w:rPr>
                <w:rFonts w:ascii="Calibri" w:hAnsi="Calibri"/>
                <w:color w:val="20262E"/>
                <w:sz w:val="17"/>
              </w:rPr>
              <w:t>Qualified load-sharing, protection, thermal and supplier controls are ready</w:t>
            </w:r>
          </w:p>
        </w:tc>
      </w:tr>
    </w:tbl>
    <w:p>
      <w:pPr>
        <w:spacing w:after="40"/>
      </w:pPr>
    </w:p>
    <w:p>
      <w:pPr>
        <w:pStyle w:val="Heading2"/>
        <w:keepNext/>
      </w:pPr>
      <w:r>
        <w:t>7.1 Immediate next action</w:t>
      </w:r>
    </w:p>
    <w:tbl>
      <w:tblPr>
        <w:tblW w:type="dxa" w:w="9360"/>
        <w:jc w:val="left"/>
        <w:tblLayout w:type="fixed"/>
        <w:tblLook w:firstColumn="1" w:firstRow="1" w:lastColumn="0" w:lastRow="0" w:noHBand="0" w:noVBand="1" w:val="04A0"/>
        <w:tblInd w:w="120" w:type="dxa"/>
        <w:tblBorders>
          <w:top w:val="single" w:sz="6" w:color="C8D5E0"/>
          <w:left w:val="single" w:sz="6" w:color="C8D5E0"/>
          <w:bottom w:val="single" w:sz="6" w:color="C8D5E0"/>
          <w:right w:val="single" w:sz="6" w:color="C8D5E0"/>
          <w:insideH w:val="single" w:sz="6" w:color="C8D5E0"/>
          <w:insideV w:val="single" w:sz="6" w:color="C8D5E0"/>
        </w:tblBorders>
      </w:tblPr>
      <w:tblGrid>
        <w:gridCol w:w="9360"/>
      </w:tblGrid>
      <w:tr>
        <w:tc>
          <w:tcPr>
            <w:tcW w:type="dxa" w:w="9360"/>
            <w:tcMar>
              <w:top w:w="80" w:type="dxa"/>
              <w:start w:w="120" w:type="dxa"/>
              <w:bottom w:w="80" w:type="dxa"/>
              <w:end w:w="120" w:type="dxa"/>
            </w:tcMar>
            <w:vAlign w:val="center"/>
            <w:shd w:fill="E6F4F1"/>
          </w:tcPr>
          <w:p>
            <w:pPr>
              <w:spacing w:before="60" w:after="60"/>
            </w:pPr>
            <w:r>
              <w:rPr>
                <w:rFonts w:ascii="Calibri" w:hAnsi="Calibri"/>
                <w:b/>
                <w:color w:val="117F75"/>
                <w:sz w:val="21"/>
              </w:rPr>
              <w:t xml:space="preserve">Build order: </w:t>
            </w:r>
            <w:r>
              <w:rPr>
                <w:rFonts w:ascii="Calibri" w:hAnsi="Calibri"/>
                <w:color w:val="20262E"/>
                <w:sz w:val="21"/>
              </w:rPr>
              <w:t>Assemble and program HUB-01 plus one Room 1 node first. Prove ESP-NOW event delivery, heartbeat/offline logic, local dashboard and OK-button flow before duplicating the remaining three nodes.</w:t>
            </w:r>
          </w:p>
        </w:tc>
      </w:tr>
    </w:tbl>
    <w:p>
      <w:pPr>
        <w:spacing w:after="20"/>
      </w:pPr>
    </w:p>
    <w:p>
      <w:pPr>
        <w:spacing w:before="0" w:after="120" w:line="300" w:lineRule="auto"/>
      </w:pPr>
      <w:r>
        <w:rPr>
          <w:rFonts w:ascii="Calibri" w:hAnsi="Calibri"/>
          <w:i w:val="0"/>
          <w:color w:val="20262E"/>
          <w:sz w:val="22"/>
        </w:rPr>
        <w:t>After the first pair operates reliably for 48 hours on the bench, clone the node firmware with a different node ID, then add pooja, kitchen and primary-bathroom nodes one at a time. This keeps hardware faults, radio faults and algorithm faults separable.</w:t>
      </w:r>
    </w:p>
    <w:p>
      <w:pPr>
        <w:pStyle w:val="Heading2"/>
        <w:keepNext/>
      </w:pPr>
      <w:r>
        <w:t>Appendix A. Related project artifacts</w:t>
      </w:r>
    </w:p>
    <w:p>
      <w:pPr>
        <w:spacing w:before="0" w:after="120" w:line="300" w:lineRule="auto"/>
      </w:pPr>
      <w:r>
        <w:rPr>
          <w:rFonts w:ascii="Calibri" w:hAnsi="Calibri"/>
          <w:i w:val="0"/>
          <w:color w:val="20262E"/>
          <w:sz w:val="22"/>
        </w:rPr>
        <w:t>This document should be used with Family_CheckIn_P0_Requirements_and_Software_Design.docx for detailed module requirements and Family_CheckIn_Hardware_BOM.xlsx for component purchasing, wiring products and perfboard assembly guidance.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B78"/>
        <w:sz w:val="17"/>
      </w:rPr>
      <w:t>FAMILY CHECK-IN  |  DEPLOYMENT &amp; ROUTINE LOGIC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Check-In Deployment and Routine Logic Guide</dc:title>
  <dc:subject>ESP32 prototype house placement, routine algorithm and communication behaviour</dc:subject>
  <dc:creator>Project Team</dc:creator>
  <cp:keywords>ESP32, ESP-NOW, PIR, family check-in, routine monitoring, prototype</cp:keywords>
  <dc:description>Version 1.0 - prototype deployment baseline</dc:description>
  <cp:lastModifiedBy/>
  <cp:revision>1</cp:revision>
  <dcterms:created xsi:type="dcterms:W3CDTF">2013-12-23T23:15:00Z</dcterms:created>
  <dcterms:modified xsi:type="dcterms:W3CDTF">2013-12-23T23:15:00Z</dcterms:modified>
  <cp:category/>
</cp:coreProperties>
</file>