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pPr>
      <w:r>
        <w:rPr>
          <w:rFonts w:ascii="Calibri" w:hAnsi="Calibri"/>
          <w:b/>
          <w:color w:val="1F5E4C"/>
          <w:sz w:val="20"/>
        </w:rPr>
        <w:t>ENGINEERING HANDOFF</w:t>
      </w:r>
    </w:p>
    <w:p>
      <w:pPr>
        <w:spacing w:before="0" w:after="140"/>
      </w:pPr>
      <w:r>
        <w:rPr>
          <w:rFonts w:ascii="Calibri" w:hAnsi="Calibri"/>
          <w:b/>
          <w:color w:val="0B2545"/>
          <w:sz w:val="52"/>
        </w:rPr>
        <w:t>Ghar Sajag</w:t>
        <w:br/>
        <w:t>Hardware-Independent Low-Level Design</w:t>
      </w:r>
    </w:p>
    <w:p>
      <w:pPr>
        <w:spacing w:after="360"/>
      </w:pPr>
      <w:r>
        <w:rPr>
          <w:rFonts w:ascii="Calibri" w:hAnsi="Calibri"/>
          <w:b w:val="0"/>
          <w:color w:val="596672"/>
          <w:sz w:val="26"/>
        </w:rPr>
        <w:t>Code flow, interfaces, state ownership and handoff gates for the P0 reference implementation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Version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1.0</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Date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7 September 2026</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Audience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 backend, web and verification engineers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Companion spec</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Ghar_Sajag_P0_Requirements_and_Software_Design_v1.2.docx</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root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ghar_sajag_reference/</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make verify — passed on the stated date</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9B1C1C"/>
                <w:sz w:val="19"/>
              </w:rPr>
              <w:t>This document describes executable host code, not released safety equipment. Hardware, RF, flash, power, production identity, notification delivery and OTA cryptography remain explicit integration gates.</w:t>
            </w:r>
          </w:p>
        </w:tc>
      </w:tr>
    </w:tbl>
    <w:p>
      <w:pPr>
        <w:pStyle w:val="Heading1"/>
      </w:pPr>
      <w:r>
        <w:t>1. Purpose and reading map</w:t>
      </w:r>
    </w:p>
    <w:p>
      <w:pPr/>
      <w:r>
        <w:t>The goal is to let another engineer run, trace and extend the software before the ESP32 boards arrive. Every logical module from the requirements baseline has an implemented host boundary or an explicit adapter seam. The design keeps observed facts, coverage and human workflow separate so loss of sensing cannot be mislabeled as resident inactivity.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400"/>
        <w:gridCol w:w="7960"/>
      </w:tblGrid>
      <w:tr>
        <w:trPr>
          <w:cantSplit/>
          <w:tblHeader w:val="true"/>
        </w:trPr>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Section</w:t>
            </w:r>
          </w:p>
        </w:tc>
        <w:tc>
          <w:tcPr>
            <w:tcW w:type="dxa" w:w="7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Use</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2–4</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Architecture, requirement mapping, runtime/concurrency and communication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5</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Canonical domain objects, contracts, persistence and idempotency</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6–11</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Per-module LLD for N, H, B, A, S and T modules</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7"/>
              </w:rPr>
              <w:t>12</w:t>
            </w:r>
          </w:p>
        </w:tc>
        <w:tc>
          <w:tcPr>
            <w:tcW w:type="dxa" w:w="7960"/>
            <w:tcMar>
              <w:top w:w="80" w:type="dxa"/>
              <w:start w:w="120" w:type="dxa"/>
              <w:bottom w:w="80" w:type="dxa"/>
              <w:end w:w="120" w:type="dxa"/>
            </w:tcMar>
            <w:vAlign w:val="center"/>
          </w:tcPr>
          <w:p>
            <w:pPr>
              <w:keepNext/>
              <w:spacing w:before="0" w:after="60" w:line="240" w:lineRule="auto"/>
            </w:pPr>
            <w:r>
              <w:rPr>
                <w:rFonts w:ascii="Calibri" w:hAnsi="Calibri"/>
                <w:sz w:val="17"/>
              </w:rPr>
              <w:t>End-to-end flows and failure behavior</w:t>
            </w:r>
          </w:p>
        </w:tc>
      </w:tr>
      <w:tr>
        <w:trPr>
          <w:cantSplit/>
        </w:trPr>
        <w:tc>
          <w:tcPr>
            <w:tcW w:type="dxa" w:w="1400"/>
            <w:tcMar>
              <w:top w:w="80" w:type="dxa"/>
              <w:start w:w="120" w:type="dxa"/>
              <w:bottom w:w="80" w:type="dxa"/>
              <w:end w:w="120" w:type="dxa"/>
            </w:tcMar>
            <w:vAlign w:val="center"/>
          </w:tcPr>
          <w:p>
            <w:pPr>
              <w:spacing w:before="0" w:after="60" w:line="240" w:lineRule="auto"/>
            </w:pPr>
            <w:r>
              <w:rPr>
                <w:rFonts w:ascii="Calibri" w:hAnsi="Calibri"/>
                <w:sz w:val="17"/>
              </w:rPr>
              <w:t>13</w:t>
            </w:r>
          </w:p>
        </w:tc>
        <w:tc>
          <w:tcPr>
            <w:tcW w:type="dxa" w:w="7960"/>
            <w:tcMar>
              <w:top w:w="80" w:type="dxa"/>
              <w:start w:w="120" w:type="dxa"/>
              <w:bottom w:w="80" w:type="dxa"/>
              <w:end w:w="120" w:type="dxa"/>
            </w:tcMar>
            <w:vAlign w:val="center"/>
          </w:tcPr>
          <w:p>
            <w:pPr>
              <w:spacing w:before="0" w:after="60" w:line="240" w:lineRule="auto"/>
            </w:pPr>
            <w:r>
              <w:rPr>
                <w:rFonts w:ascii="Calibri" w:hAnsi="Calibri"/>
                <w:sz w:val="17"/>
              </w:rPr>
              <w:t>Build, verification, implementation order and hardware handoff</w:t>
            </w:r>
          </w:p>
        </w:tc>
      </w:tr>
    </w:tbl>
    <w:p>
      <w:pPr>
        <w:pStyle w:val="Heading2"/>
      </w:pPr>
      <w:r>
        <w:t>Terminology and claims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900"/>
        <w:gridCol w:w="7460"/>
      </w:tblGrid>
      <w:tr>
        <w:trPr>
          <w:cantSplit/>
          <w:tblHeader w:val="true"/>
        </w:trPr>
        <w:tc>
          <w:tcPr>
            <w:tcW w:type="dxa" w:w="1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Term</w:t>
            </w:r>
          </w:p>
        </w:tc>
        <w:tc>
          <w:tcPr>
            <w:tcW w:type="dxa" w:w="74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7"/>
              </w:rPr>
              <w:t>Meaning</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Host-implemented</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Executable deterministic code exists and passes included host checks.</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Adapter pending</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Interface/policy exists; selected ESP-IDF, database or provider integration is not claimed.</w:t>
            </w:r>
          </w:p>
        </w:tc>
      </w:tr>
      <w:tr>
        <w:trPr>
          <w:cantSplit/>
        </w:trPr>
        <w:tc>
          <w:tcPr>
            <w:tcW w:type="dxa" w:w="1900"/>
            <w:tcMar>
              <w:top w:w="80" w:type="dxa"/>
              <w:start w:w="120" w:type="dxa"/>
              <w:bottom w:w="80" w:type="dxa"/>
              <w:end w:w="120" w:type="dxa"/>
            </w:tcMar>
            <w:vAlign w:val="center"/>
          </w:tcPr>
          <w:p>
            <w:pPr>
              <w:keepNext/>
              <w:spacing w:before="0" w:after="60" w:line="240" w:lineRule="auto"/>
            </w:pPr>
            <w:r>
              <w:rPr>
                <w:rFonts w:ascii="Calibri" w:hAnsi="Calibri"/>
                <w:sz w:val="17"/>
              </w:rPr>
              <w:t>Hardware-qualified</w:t>
            </w:r>
          </w:p>
        </w:tc>
        <w:tc>
          <w:tcPr>
            <w:tcW w:type="dxa" w:w="7460"/>
            <w:tcMar>
              <w:top w:w="80" w:type="dxa"/>
              <w:start w:w="120" w:type="dxa"/>
              <w:bottom w:w="80" w:type="dxa"/>
              <w:end w:w="120" w:type="dxa"/>
            </w:tcMar>
            <w:vAlign w:val="center"/>
          </w:tcPr>
          <w:p>
            <w:pPr>
              <w:keepNext/>
              <w:spacing w:before="0" w:after="60" w:line="240" w:lineRule="auto"/>
            </w:pPr>
            <w:r>
              <w:rPr>
                <w:rFonts w:ascii="Calibri" w:hAnsi="Calibri"/>
                <w:sz w:val="17"/>
              </w:rPr>
              <w:t>Not achieved by this package; requires exact boards, cells, sensors, enclosure and test evidence.</w:t>
            </w:r>
          </w:p>
        </w:tc>
      </w:tr>
      <w:tr>
        <w:trPr>
          <w:cantSplit/>
        </w:trPr>
        <w:tc>
          <w:tcPr>
            <w:tcW w:type="dxa" w:w="1900"/>
            <w:tcMar>
              <w:top w:w="80" w:type="dxa"/>
              <w:start w:w="120" w:type="dxa"/>
              <w:bottom w:w="80" w:type="dxa"/>
              <w:end w:w="120" w:type="dxa"/>
            </w:tcMar>
            <w:vAlign w:val="center"/>
          </w:tcPr>
          <w:p>
            <w:pPr>
              <w:spacing w:before="0" w:after="60" w:line="240" w:lineRule="auto"/>
            </w:pPr>
            <w:r>
              <w:rPr>
                <w:rFonts w:ascii="Calibri" w:hAnsi="Calibri"/>
                <w:sz w:val="17"/>
              </w:rPr>
              <w:t>P0 product boundary</w:t>
            </w:r>
          </w:p>
        </w:tc>
        <w:tc>
          <w:tcPr>
            <w:tcW w:type="dxa" w:w="7460"/>
            <w:tcMar>
              <w:top w:w="80" w:type="dxa"/>
              <w:start w:w="120" w:type="dxa"/>
              <w:bottom w:w="80" w:type="dxa"/>
              <w:end w:w="120" w:type="dxa"/>
            </w:tcMar>
            <w:vAlign w:val="center"/>
          </w:tcPr>
          <w:p>
            <w:pPr>
              <w:spacing w:before="0" w:after="60" w:line="240" w:lineRule="auto"/>
            </w:pPr>
            <w:r>
              <w:rPr>
                <w:rFonts w:ascii="Calibri" w:hAnsi="Calibri"/>
                <w:sz w:val="17"/>
              </w:rPr>
              <w:t>Household/location activity and explicit check-ins; no medical safety, identity, fall, meal or medication claim.</w:t>
            </w:r>
          </w:p>
        </w:tc>
      </w:tr>
    </w:tbl>
    <w:p>
      <w:pPr>
        <w:pStyle w:val="Heading1"/>
      </w:pPr>
      <w:r>
        <w:t>2. Architecture and dependency direction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1800"/>
        <w:gridCol w:w="3100"/>
        <w:gridCol w:w="296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Layer</w:t>
            </w:r>
          </w:p>
        </w:tc>
        <w:tc>
          <w:tcPr>
            <w:tcW w:type="dxa" w:w="1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Runtime</w:t>
            </w:r>
          </w:p>
        </w:tc>
        <w:tc>
          <w:tcPr>
            <w:tcW w:type="dxa" w:w="3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Primary responsibility</w:t>
            </w:r>
          </w:p>
        </w:tc>
        <w:tc>
          <w:tcPr>
            <w:tcW w:type="dxa" w:w="2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Dependency rule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ESP32-C3 node</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Sleep/wake firmware</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Qualify input; persist; retry until application ACK</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Depends on shared values/ports, never backend/app</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ESP32 hub</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ESP-IDF + FreeRTOS</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Durable ingest, coverage, local rules, resident UI, cloud outbox</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One state writer; drivers enqueue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Backend</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Python modular monolith</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Access, durable cloud ingest, workflow, delivery, projections</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Handlers → services → repositories</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Caregiver app</w:t>
            </w:r>
          </w:p>
        </w:tc>
        <w:tc>
          <w:tcPr>
            <w:tcW w:type="dxa" w:w="1800"/>
            <w:tcMar>
              <w:top w:w="80" w:type="dxa"/>
              <w:start w:w="120" w:type="dxa"/>
              <w:bottom w:w="80" w:type="dxa"/>
              <w:end w:w="120" w:type="dxa"/>
            </w:tcMar>
            <w:vAlign w:val="center"/>
          </w:tcPr>
          <w:p>
            <w:pPr>
              <w:keepNext/>
              <w:spacing w:before="0" w:after="60" w:line="240" w:lineRule="auto"/>
            </w:pPr>
            <w:r>
              <w:rPr>
                <w:rFonts w:ascii="Calibri" w:hAnsi="Calibri"/>
                <w:sz w:val="16"/>
              </w:rPr>
              <w:t>PWA/browser</w:t>
            </w:r>
          </w:p>
        </w:tc>
        <w:tc>
          <w:tcPr>
            <w:tcW w:type="dxa" w:w="3100"/>
            <w:tcMar>
              <w:top w:w="80" w:type="dxa"/>
              <w:start w:w="120" w:type="dxa"/>
              <w:bottom w:w="80" w:type="dxa"/>
              <w:end w:w="120" w:type="dxa"/>
            </w:tcMar>
            <w:vAlign w:val="center"/>
          </w:tcPr>
          <w:p>
            <w:pPr>
              <w:keepNext/>
              <w:spacing w:before="0" w:after="60" w:line="240" w:lineRule="auto"/>
            </w:pPr>
            <w:r>
              <w:rPr>
                <w:rFonts w:ascii="Calibri" w:hAnsi="Calibri"/>
                <w:sz w:val="16"/>
              </w:rPr>
              <w:t>Present evidence/freshness and submit human commands</w:t>
            </w:r>
          </w:p>
        </w:tc>
        <w:tc>
          <w:tcPr>
            <w:tcW w:type="dxa" w:w="2960"/>
            <w:tcMar>
              <w:top w:w="80" w:type="dxa"/>
              <w:start w:w="120" w:type="dxa"/>
              <w:bottom w:w="80" w:type="dxa"/>
              <w:end w:w="120" w:type="dxa"/>
            </w:tcMar>
            <w:vAlign w:val="center"/>
          </w:tcPr>
          <w:p>
            <w:pPr>
              <w:keepNext/>
              <w:spacing w:before="0" w:after="60" w:line="240" w:lineRule="auto"/>
            </w:pPr>
            <w:r>
              <w:rPr>
                <w:rFonts w:ascii="Calibri" w:hAnsi="Calibri"/>
                <w:sz w:val="16"/>
              </w:rPr>
              <w:t>Never creates missing-routine truth</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Shared/test/ops</w:t>
            </w:r>
          </w:p>
        </w:tc>
        <w:tc>
          <w:tcPr>
            <w:tcW w:type="dxa" w:w="1800"/>
            <w:tcMar>
              <w:top w:w="80" w:type="dxa"/>
              <w:start w:w="120" w:type="dxa"/>
              <w:bottom w:w="80" w:type="dxa"/>
              <w:end w:w="120" w:type="dxa"/>
            </w:tcMar>
            <w:vAlign w:val="center"/>
          </w:tcPr>
          <w:p>
            <w:pPr>
              <w:spacing w:before="0" w:after="60" w:line="240" w:lineRule="auto"/>
            </w:pPr>
            <w:r>
              <w:rPr>
                <w:rFonts w:ascii="Calibri" w:hAnsi="Calibri"/>
                <w:sz w:val="16"/>
              </w:rPr>
              <w:t>C++/contracts/tools</w:t>
            </w:r>
          </w:p>
        </w:tc>
        <w:tc>
          <w:tcPr>
            <w:tcW w:type="dxa" w:w="3100"/>
            <w:tcMar>
              <w:top w:w="80" w:type="dxa"/>
              <w:start w:w="120" w:type="dxa"/>
              <w:bottom w:w="80" w:type="dxa"/>
              <w:end w:w="120" w:type="dxa"/>
            </w:tcMar>
            <w:vAlign w:val="center"/>
          </w:tcPr>
          <w:p>
            <w:pPr>
              <w:spacing w:before="0" w:after="60" w:line="240" w:lineRule="auto"/>
            </w:pPr>
            <w:r>
              <w:rPr>
                <w:rFonts w:ascii="Calibri" w:hAnsi="Calibri"/>
                <w:sz w:val="16"/>
              </w:rPr>
              <w:t>Canonical contracts, deterministic rules, verification and operation</w:t>
            </w:r>
          </w:p>
        </w:tc>
        <w:tc>
          <w:tcPr>
            <w:tcW w:type="dxa" w:w="2960"/>
            <w:tcMar>
              <w:top w:w="80" w:type="dxa"/>
              <w:start w:w="120" w:type="dxa"/>
              <w:bottom w:w="80" w:type="dxa"/>
              <w:end w:w="120" w:type="dxa"/>
            </w:tcMar>
            <w:vAlign w:val="center"/>
          </w:tcPr>
          <w:p>
            <w:pPr>
              <w:spacing w:before="0" w:after="60" w:line="240" w:lineRule="auto"/>
            </w:pPr>
            <w:r>
              <w:rPr>
                <w:rFonts w:ascii="Calibri" w:hAnsi="Calibri"/>
                <w:sz w:val="16"/>
              </w:rPr>
              <w:t>No provider SDK inside domain</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4D78"/>
                <w:sz w:val="19"/>
              </w:rPr>
              <w:t>Single-writer invariant: hub_event_task alone mutates routine, coverage-dependent decision and applied-config state. Backend alone owns caregiver claims, resolution and notification delivery state.</w:t>
            </w:r>
          </w:p>
        </w:tc>
      </w:tr>
    </w:tbl>
    <w:p>
      <w:pPr>
        <w:pStyle w:val="Heading2"/>
      </w:pPr>
      <w:r>
        <w:t>Portable composition</w:t>
      </w:r>
    </w:p>
    <w:p>
      <w:pPr/>
      <w:r>
        <w:t>NodeRuntime composes N02/N05 around the canonical DomainEvent. HubRuntime composes H01/H02/H04/H05 and exposes callback, state-step and deadline operations. Host execution calls them synchronously; ESP-IDF binds the same calls to bounded queues and FreeRTOS tasks.</w:t>
      </w:r>
    </w:p>
    <w:p>
      <w:pPr>
        <w:pStyle w:val="Code"/>
      </w:pPr>
      <w:r>
        <w:t>radio_callback: authenticate → fixed-value copy → radio_rx_queue</w:t>
        <w:br/>
        <w:t>hub_event_task: pop → privacy gate → journal commit → coverage → S02 rule → application ACK</w:t>
        <w:br/>
        <w:t>cloud_sync_task: committed outbox → MQTT QoS1 → backend transaction → DB_COMMITTED ACK</w:t>
      </w:r>
    </w:p>
    <w:p>
      <w:pPr>
        <w:pStyle w:val="Heading1"/>
      </w:pPr>
      <w:r>
        <w:t>3. Requirement-to-module mapping</w:t>
      </w:r>
    </w:p>
    <w:p>
      <w:pPr/>
      <w:r>
        <w:t>Requirement IDs define behavior and acceptance; module IDs identify collaborating code owners. The ownership list does not imply call order or separate deployables. Prefixes: N node, H hub, B backend, A app, S shared and T test/operations.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000"/>
        <w:gridCol w:w="3900"/>
        <w:gridCol w:w="4460"/>
      </w:tblGrid>
      <w:tr>
        <w:trPr>
          <w:cantSplit/>
          <w:tblHeader w:val="true"/>
        </w:trPr>
        <w:tc>
          <w:tcPr>
            <w:tcW w:type="dxa" w:w="100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Requirement</w:t>
            </w:r>
          </w:p>
        </w:tc>
        <w:tc>
          <w:tcPr>
            <w:tcW w:type="dxa" w:w="390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Capability</w:t>
            </w:r>
          </w:p>
        </w:tc>
        <w:tc>
          <w:tcPr>
            <w:tcW w:type="dxa" w:w="4460"/>
            <w:tcMar>
              <w:top w:w="80" w:type="dxa"/>
              <w:start w:w="120" w:type="dxa"/>
              <w:bottom w:w="80" w:type="dxa"/>
              <w:end w:w="120" w:type="dxa"/>
            </w:tcMar>
            <w:vAlign w:val="center"/>
            <w:shd w:fill="E8EEF5"/>
          </w:tcPr>
          <w:p>
            <w:pPr>
              <w:spacing w:before="0" w:after="60" w:line="240" w:lineRule="auto"/>
            </w:pPr>
            <w:r>
              <w:rPr>
                <w:rFonts w:ascii="Calibri" w:hAnsi="Calibri"/>
                <w:b/>
                <w:color w:val="1F4D78"/>
                <w:sz w:val="16"/>
              </w:rPr>
              <w:t>Owning modules</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Household profile and caregiver roles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B01, B02, A01,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Resident consent and privacy controls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B02, H06, H07, A01, B08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Kit provisioning and installation verification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N04, H07, B06, A01, S03, T02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Configurable morning routine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A03, B06, H07, H03, H05,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F05</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Morning activity evidence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N01, H01, H02, H05, S02, B07,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F06</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Explicit I’m OK check-in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H06, H02, H05, S02, B07,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F07</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Call family request</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H06, H02, H05, B04, B05, A04</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F08</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Missing morning activity workflow</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H04, H05, S02, B04, B05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F09</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Main-door history and quiet notice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N01, H05, S02, B07, B05,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F10</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Away, pause and visitor modes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A03, B02, H07, H06, H05,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Caregiver dashboard and timeline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B07, B08, A02, A05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Acknowledgement and resolution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B04, B07, B05, A04, H08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Backup routing and delivery visibility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B05, B04, B08, A04, A05</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F14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Opt-in daily morning summary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B05, B07, A03,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E01</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Node health, battery and coverage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N03, N02, H04, B08,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E02</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Reliable transport and duplicate handling</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N02, N05, H01, H02, H08, B03,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E03</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Local operation during internet failure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H04, H05, H06, H02, H08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E04</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Hub/cloud/app connectivity and freshness</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H08, B08, B07, A05, A02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E05</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Persistence, recovery and bounded storage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N05, H02, B03, B04, B05, B08</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E06</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Trusted time and boundary handling</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H03, H07, H05, S01, S02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E07</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Versioned configuration and atomic application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B06, A03, H07, N04, H08, S01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E08</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Security, privacy and tenant isolation</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S03, B01, B02, B06, B08, A05, T01</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E09</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Signed firmware update and recovery</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S03, H07, N04, B06, B08, T02</w:t>
            </w:r>
          </w:p>
        </w:tc>
      </w:tr>
      <w:tr>
        <w:trPr>
          <w:cantSplit/>
        </w:trPr>
        <w:tc>
          <w:tcPr>
            <w:tcW w:type="dxa" w:w="1000"/>
            <w:tcMar>
              <w:top w:w="80" w:type="dxa"/>
              <w:start w:w="120" w:type="dxa"/>
              <w:bottom w:w="80" w:type="dxa"/>
              <w:end w:w="120" w:type="dxa"/>
            </w:tcMar>
            <w:vAlign w:val="center"/>
          </w:tcPr>
          <w:p>
            <w:pPr>
              <w:spacing w:before="0" w:after="60" w:line="240" w:lineRule="auto"/>
            </w:pPr>
            <w:r>
              <w:rPr>
                <w:rFonts w:ascii="Calibri" w:hAnsi="Calibri"/>
                <w:sz w:val="16"/>
              </w:rPr>
              <w:t>E10</w:t>
            </w:r>
          </w:p>
        </w:tc>
        <w:tc>
          <w:tcPr>
            <w:tcW w:type="dxa" w:w="3900"/>
            <w:tcMar>
              <w:top w:w="80" w:type="dxa"/>
              <w:start w:w="120" w:type="dxa"/>
              <w:bottom w:w="80" w:type="dxa"/>
              <w:end w:w="120" w:type="dxa"/>
            </w:tcMar>
            <w:vAlign w:val="center"/>
          </w:tcPr>
          <w:p>
            <w:pPr>
              <w:spacing w:before="0" w:after="60" w:line="240" w:lineRule="auto"/>
            </w:pPr>
            <w:r>
              <w:rPr>
                <w:rFonts w:ascii="Calibri" w:hAnsi="Calibri"/>
                <w:sz w:val="16"/>
              </w:rPr>
              <w:t>Verification, observability and release evidence</w:t>
            </w:r>
          </w:p>
        </w:tc>
        <w:tc>
          <w:tcPr>
            <w:tcW w:type="dxa" w:w="4460"/>
            <w:tcMar>
              <w:top w:w="80" w:type="dxa"/>
              <w:start w:w="120" w:type="dxa"/>
              <w:bottom w:w="80" w:type="dxa"/>
              <w:end w:w="120" w:type="dxa"/>
            </w:tcMar>
            <w:vAlign w:val="center"/>
          </w:tcPr>
          <w:p>
            <w:pPr>
              <w:spacing w:before="0" w:after="60" w:line="240" w:lineRule="auto"/>
            </w:pPr>
            <w:r>
              <w:rPr>
                <w:rFonts w:ascii="Calibri" w:hAnsi="Calibri"/>
                <w:sz w:val="16"/>
              </w:rPr>
              <w:t>B08, A02, T01, T02, T03, H02, H08</w:t>
            </w:r>
          </w:p>
        </w:tc>
      </w:tr>
    </w:tbl>
    <w:p>
      <w:pPr>
        <w:pStyle w:val="Heading2"/>
      </w:pPr>
      <w:r>
        <w:t>F01 worked example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650"/>
        <w:gridCol w:w="1100"/>
        <w:gridCol w:w="4300"/>
        <w:gridCol w:w="3310"/>
      </w:tblGrid>
      <w:tr>
        <w:trPr>
          <w:cantSplit/>
          <w:tblHeader w:val="true"/>
        </w:trPr>
        <w:tc>
          <w:tcPr>
            <w:tcW w:type="dxa" w:w="6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1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Module</w:t>
            </w:r>
          </w:p>
        </w:tc>
        <w:tc>
          <w:tcPr>
            <w:tcW w:type="dxa" w:w="4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Code-level action</w:t>
            </w:r>
          </w:p>
        </w:tc>
        <w:tc>
          <w:tcPr>
            <w:tcW w:type="dxa" w:w="33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Result</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A01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validateHouseholdDraft → buildCreateHomeCommand</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Consent/timezone/caregiver errors stop locally</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B02</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HomeService.create</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Home/resident-consent snapshot is created</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B01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IdentityService.grant/require</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Owner and caregivers are home-scoped</w:t>
            </w:r>
          </w:p>
        </w:tc>
      </w:tr>
      <w:tr>
        <w:trPr>
          <w:cantSplit/>
        </w:trPr>
        <w:tc>
          <w:tcPr>
            <w:tcW w:type="dxa" w:w="65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100"/>
            <w:tcMar>
              <w:top w:w="80" w:type="dxa"/>
              <w:start w:w="120" w:type="dxa"/>
              <w:bottom w:w="80" w:type="dxa"/>
              <w:end w:w="120" w:type="dxa"/>
            </w:tcMar>
            <w:vAlign w:val="center"/>
          </w:tcPr>
          <w:p>
            <w:pPr>
              <w:keepNext/>
              <w:spacing w:before="0" w:after="60" w:line="240" w:lineRule="auto"/>
            </w:pPr>
            <w:r>
              <w:rPr>
                <w:rFonts w:ascii="Calibri" w:hAnsi="Calibri"/>
                <w:sz w:val="16"/>
              </w:rPr>
              <w:t>S01</w:t>
            </w:r>
          </w:p>
        </w:tc>
        <w:tc>
          <w:tcPr>
            <w:tcW w:type="dxa" w:w="4300"/>
            <w:tcMar>
              <w:top w:w="80" w:type="dxa"/>
              <w:start w:w="120" w:type="dxa"/>
              <w:bottom w:w="80" w:type="dxa"/>
              <w:end w:w="120" w:type="dxa"/>
            </w:tcMar>
            <w:vAlign w:val="center"/>
          </w:tcPr>
          <w:p>
            <w:pPr>
              <w:keepNext/>
              <w:spacing w:before="0" w:after="60" w:line="240" w:lineRule="auto"/>
            </w:pPr>
            <w:r>
              <w:rPr>
                <w:rFonts w:ascii="Calibri" w:hAnsi="Calibri"/>
                <w:sz w:val="16"/>
              </w:rPr>
              <w:t>OpenAPI/config identifiers and versions</w:t>
            </w:r>
          </w:p>
        </w:tc>
        <w:tc>
          <w:tcPr>
            <w:tcW w:type="dxa" w:w="3310"/>
            <w:tcMar>
              <w:top w:w="80" w:type="dxa"/>
              <w:start w:w="120" w:type="dxa"/>
              <w:bottom w:w="80" w:type="dxa"/>
              <w:end w:w="120" w:type="dxa"/>
            </w:tcMar>
            <w:vAlign w:val="center"/>
          </w:tcPr>
          <w:p>
            <w:pPr>
              <w:keepNext/>
              <w:spacing w:before="0" w:after="60" w:line="240" w:lineRule="auto"/>
            </w:pPr>
            <w:r>
              <w:rPr>
                <w:rFonts w:ascii="Calibri" w:hAnsi="Calibri"/>
                <w:sz w:val="16"/>
              </w:rPr>
              <w:t>Same IDs cross API/device configuration</w:t>
            </w:r>
          </w:p>
        </w:tc>
      </w:tr>
      <w:tr>
        <w:trPr>
          <w:cantSplit/>
        </w:trPr>
        <w:tc>
          <w:tcPr>
            <w:tcW w:type="dxa" w:w="650"/>
            <w:tcMar>
              <w:top w:w="80" w:type="dxa"/>
              <w:start w:w="120" w:type="dxa"/>
              <w:bottom w:w="80" w:type="dxa"/>
              <w:end w:w="120" w:type="dxa"/>
            </w:tcMar>
            <w:vAlign w:val="center"/>
          </w:tcPr>
          <w:p>
            <w:pPr>
              <w:spacing w:before="0" w:after="60" w:line="240" w:lineRule="auto"/>
            </w:pPr>
            <w:r>
              <w:rPr>
                <w:rFonts w:ascii="Calibri" w:hAnsi="Calibri"/>
                <w:sz w:val="16"/>
              </w:rPr>
              <w:t>5</w:t>
            </w:r>
          </w:p>
        </w:tc>
        <w:tc>
          <w:tcPr>
            <w:tcW w:type="dxa" w:w="1100"/>
            <w:tcMar>
              <w:top w:w="80" w:type="dxa"/>
              <w:start w:w="120" w:type="dxa"/>
              <w:bottom w:w="80" w:type="dxa"/>
              <w:end w:w="120" w:type="dxa"/>
            </w:tcMar>
            <w:vAlign w:val="center"/>
          </w:tcPr>
          <w:p>
            <w:pPr>
              <w:spacing w:before="0" w:after="60" w:line="240" w:lineRule="auto"/>
            </w:pPr>
            <w:r>
              <w:rPr>
                <w:rFonts w:ascii="Calibri" w:hAnsi="Calibri"/>
                <w:sz w:val="16"/>
              </w:rPr>
              <w:t>T01</w:t>
            </w:r>
          </w:p>
        </w:tc>
        <w:tc>
          <w:tcPr>
            <w:tcW w:type="dxa" w:w="4300"/>
            <w:tcMar>
              <w:top w:w="80" w:type="dxa"/>
              <w:start w:w="120" w:type="dxa"/>
              <w:bottom w:w="80" w:type="dxa"/>
              <w:end w:w="120" w:type="dxa"/>
            </w:tcMar>
            <w:vAlign w:val="center"/>
          </w:tcPr>
          <w:p>
            <w:pPr>
              <w:spacing w:before="0" w:after="60" w:line="240" w:lineRule="auto"/>
            </w:pPr>
            <w:r>
              <w:rPr>
                <w:rFonts w:ascii="Calibri" w:hAnsi="Calibri"/>
                <w:sz w:val="16"/>
              </w:rPr>
              <w:t>tenant and consent tests</w:t>
            </w:r>
          </w:p>
        </w:tc>
        <w:tc>
          <w:tcPr>
            <w:tcW w:type="dxa" w:w="3310"/>
            <w:tcMar>
              <w:top w:w="80" w:type="dxa"/>
              <w:start w:w="120" w:type="dxa"/>
              <w:bottom w:w="80" w:type="dxa"/>
              <w:end w:w="120" w:type="dxa"/>
            </w:tcMar>
            <w:vAlign w:val="center"/>
          </w:tcPr>
          <w:p>
            <w:pPr>
              <w:spacing w:before="0" w:after="60" w:line="240" w:lineRule="auto"/>
            </w:pPr>
            <w:r>
              <w:rPr>
                <w:rFonts w:ascii="Calibri" w:hAnsi="Calibri"/>
                <w:sz w:val="16"/>
              </w:rPr>
              <w:t>Unknown actor fails; no passive resident identity</w:t>
            </w:r>
          </w:p>
        </w:tc>
      </w:tr>
    </w:tbl>
    <w:p>
      <w:pPr>
        <w:pStyle w:val="Heading1"/>
      </w:pPr>
      <w:r>
        <w:t>4. Hub FreeRTOS and communication design</w:t>
      </w:r>
    </w:p>
    <w:p>
      <w:pPr/>
      <w:r>
        <w:t>ESP-IDF includes FreeRTOS; there is no separate RTOS installation. The values below are bench starting points, not release measurements.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1700"/>
        <w:gridCol w:w="3860"/>
        <w:gridCol w:w="230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Context</w:t>
            </w:r>
          </w:p>
        </w:tc>
        <w:tc>
          <w:tcPr>
            <w:tcW w:type="dxa" w:w="1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Priority / stack start</w:t>
            </w:r>
          </w:p>
        </w:tc>
        <w:tc>
          <w:tcPr>
            <w:tcW w:type="dxa" w:w="38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Queue / ownership</w:t>
            </w:r>
          </w:p>
        </w:tc>
        <w:tc>
          <w:tcPr>
            <w:tcW w:type="dxa" w:w="2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No-go behavior</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ESP-NOW callback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Driver context</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Copy to static radio_rx_queue</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flash, rule, network wait or audio</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hub_event_task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8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Only state writer; consumes radio/timer/UI/fault envelopes</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blocking MQTT/provider call</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ui_task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6 / 5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Own GPIO debounce/display; submits action envelopes</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authoritative incident transition</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cloud_sync_task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5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Own Wi-Fi/MQTT; reads committed outbox</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PUBACK cannot retire business event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maintenance_task</w:t>
            </w:r>
          </w:p>
        </w:tc>
        <w:tc>
          <w:tcPr>
            <w:tcW w:type="dxa" w:w="1700"/>
            <w:tcMar>
              <w:top w:w="80" w:type="dxa"/>
              <w:start w:w="120" w:type="dxa"/>
              <w:bottom w:w="80" w:type="dxa"/>
              <w:end w:w="120" w:type="dxa"/>
            </w:tcMar>
            <w:vAlign w:val="center"/>
          </w:tcPr>
          <w:p>
            <w:pPr>
              <w:keepNext/>
              <w:spacing w:before="0" w:after="60" w:line="240" w:lineRule="auto"/>
            </w:pPr>
            <w:r>
              <w:rPr>
                <w:rFonts w:ascii="Calibri" w:hAnsi="Calibri"/>
                <w:sz w:val="16"/>
              </w:rPr>
              <w:t>3 / 8 KiB</w:t>
            </w:r>
          </w:p>
        </w:tc>
        <w:tc>
          <w:tcPr>
            <w:tcW w:type="dxa" w:w="3860"/>
            <w:tcMar>
              <w:top w:w="80" w:type="dxa"/>
              <w:start w:w="120" w:type="dxa"/>
              <w:bottom w:w="80" w:type="dxa"/>
              <w:end w:w="120" w:type="dxa"/>
            </w:tcMar>
            <w:vAlign w:val="center"/>
          </w:tcPr>
          <w:p>
            <w:pPr>
              <w:keepNext/>
              <w:spacing w:before="0" w:after="60" w:line="240" w:lineRule="auto"/>
            </w:pPr>
            <w:r>
              <w:rPr>
                <w:rFonts w:ascii="Calibri" w:hAnsi="Calibri"/>
                <w:sz w:val="16"/>
              </w:rPr>
              <w:t>Service window, diagnostics, signed update</w:t>
            </w:r>
          </w:p>
        </w:tc>
        <w:tc>
          <w:tcPr>
            <w:tcW w:type="dxa" w:w="2300"/>
            <w:tcMar>
              <w:top w:w="80" w:type="dxa"/>
              <w:start w:w="120" w:type="dxa"/>
              <w:bottom w:w="80" w:type="dxa"/>
              <w:end w:w="120" w:type="dxa"/>
            </w:tcMar>
            <w:vAlign w:val="center"/>
          </w:tcPr>
          <w:p>
            <w:pPr>
              <w:keepNext/>
              <w:spacing w:before="0" w:after="60" w:line="240" w:lineRule="auto"/>
            </w:pPr>
            <w:r>
              <w:rPr>
                <w:rFonts w:ascii="Calibri" w:hAnsi="Calibri"/>
                <w:sz w:val="16"/>
              </w:rPr>
              <w:t>No unauthenticated maintenance</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FreeRTOS timers</w:t>
            </w:r>
          </w:p>
        </w:tc>
        <w:tc>
          <w:tcPr>
            <w:tcW w:type="dxa" w:w="1700"/>
            <w:tcMar>
              <w:top w:w="80" w:type="dxa"/>
              <w:start w:w="120" w:type="dxa"/>
              <w:bottom w:w="80" w:type="dxa"/>
              <w:end w:w="120" w:type="dxa"/>
            </w:tcMar>
            <w:vAlign w:val="center"/>
          </w:tcPr>
          <w:p>
            <w:pPr>
              <w:spacing w:before="0" w:after="60" w:line="240" w:lineRule="auto"/>
            </w:pPr>
            <w:r>
              <w:rPr>
                <w:rFonts w:ascii="Calibri" w:hAnsi="Calibri"/>
                <w:sz w:val="16"/>
              </w:rPr>
              <w:t>Timer service</w:t>
            </w:r>
          </w:p>
        </w:tc>
        <w:tc>
          <w:tcPr>
            <w:tcW w:type="dxa" w:w="3860"/>
            <w:tcMar>
              <w:top w:w="80" w:type="dxa"/>
              <w:start w:w="120" w:type="dxa"/>
              <w:bottom w:w="80" w:type="dxa"/>
              <w:end w:w="120" w:type="dxa"/>
            </w:tcMar>
            <w:vAlign w:val="center"/>
          </w:tcPr>
          <w:p>
            <w:pPr>
              <w:spacing w:before="0" w:after="60" w:line="240" w:lineRule="auto"/>
            </w:pPr>
            <w:r>
              <w:rPr>
                <w:rFonts w:ascii="Calibri" w:hAnsi="Calibri"/>
                <w:sz w:val="16"/>
              </w:rPr>
              <w:t>Enqueue stable ID/deadline</w:t>
            </w:r>
          </w:p>
        </w:tc>
        <w:tc>
          <w:tcPr>
            <w:tcW w:type="dxa" w:w="2300"/>
            <w:tcMar>
              <w:top w:w="80" w:type="dxa"/>
              <w:start w:w="120" w:type="dxa"/>
              <w:bottom w:w="80" w:type="dxa"/>
              <w:end w:w="120" w:type="dxa"/>
            </w:tcMar>
            <w:vAlign w:val="center"/>
          </w:tcPr>
          <w:p>
            <w:pPr>
              <w:spacing w:before="0" w:after="60" w:line="240" w:lineRule="auto"/>
            </w:pPr>
            <w:r>
              <w:rPr>
                <w:rFonts w:ascii="Calibri" w:hAnsi="Calibri"/>
                <w:sz w:val="16"/>
              </w:rPr>
              <w:t>No rule/config mutation</w:t>
            </w:r>
          </w:p>
        </w:tc>
      </w:tr>
    </w:tbl>
    <w:p>
      <w:pPr>
        <w:pStyle w:val="Heading2"/>
      </w:pPr>
      <w:r>
        <w:t>Communication contracts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300"/>
        <w:gridCol w:w="2650"/>
        <w:gridCol w:w="2630"/>
        <w:gridCol w:w="2780"/>
      </w:tblGrid>
      <w:tr>
        <w:trPr>
          <w:cantSplit/>
          <w:tblHeader w:val="true"/>
        </w:trPr>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Boundary</w:t>
            </w:r>
          </w:p>
        </w:tc>
        <w:tc>
          <w:tcPr>
            <w:tcW w:type="dxa" w:w="26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Current host implementation</w:t>
            </w:r>
          </w:p>
        </w:tc>
        <w:tc>
          <w:tcPr>
            <w:tcW w:type="dxa" w:w="263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Production adapter</w:t>
            </w:r>
          </w:p>
        </w:tc>
        <w:tc>
          <w:tcPr>
            <w:tcW w:type="dxa" w:w="278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5"/>
              </w:rPr>
              <w:t>Acknowledgement authority</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Node → hub</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DomainEvent + NodeRadio/HubRuntime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Encrypted ESP-NOW; compact CBOR ≤200 B</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DURABLE only after hub commit; volatile receipt for heartbeat</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Hub → backend</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HubJournal + CloudSync + IngestService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MQTT 3.1.1/TLS QoS1 with per-hub ACL</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Backend DB-commit ACK, not PUBACK</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App → backend</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Command builders + JsonApi domain adapter</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HTTPS/JSON + verified OIDC + idempotency key</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Committed resource version</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5"/>
              </w:rPr>
              <w:t>Backend → phone</w:t>
            </w:r>
          </w:p>
        </w:tc>
        <w:tc>
          <w:tcPr>
            <w:tcW w:type="dxa" w:w="2650"/>
            <w:tcMar>
              <w:top w:w="80" w:type="dxa"/>
              <w:start w:w="120" w:type="dxa"/>
              <w:bottom w:w="80" w:type="dxa"/>
              <w:end w:w="120" w:type="dxa"/>
            </w:tcMar>
            <w:vAlign w:val="center"/>
          </w:tcPr>
          <w:p>
            <w:pPr>
              <w:keepNext/>
              <w:spacing w:before="0" w:after="60" w:line="240" w:lineRule="auto"/>
            </w:pPr>
            <w:r>
              <w:rPr>
                <w:rFonts w:ascii="Calibri" w:hAnsi="Calibri"/>
                <w:sz w:val="15"/>
              </w:rPr>
              <w:t>Notification job/ledger state</w:t>
            </w:r>
          </w:p>
        </w:tc>
        <w:tc>
          <w:tcPr>
            <w:tcW w:type="dxa" w:w="2630"/>
            <w:tcMar>
              <w:top w:w="80" w:type="dxa"/>
              <w:start w:w="120" w:type="dxa"/>
              <w:bottom w:w="80" w:type="dxa"/>
              <w:end w:w="120" w:type="dxa"/>
            </w:tcMar>
            <w:vAlign w:val="center"/>
          </w:tcPr>
          <w:p>
            <w:pPr>
              <w:keepNext/>
              <w:spacing w:before="0" w:after="60" w:line="240" w:lineRule="auto"/>
            </w:pPr>
            <w:r>
              <w:rPr>
                <w:rFonts w:ascii="Calibri" w:hAnsi="Calibri"/>
                <w:sz w:val="15"/>
              </w:rPr>
              <w:t>Web Push VAPID/provider</w:t>
            </w:r>
          </w:p>
        </w:tc>
        <w:tc>
          <w:tcPr>
            <w:tcW w:type="dxa" w:w="2780"/>
            <w:tcMar>
              <w:top w:w="80" w:type="dxa"/>
              <w:start w:w="120" w:type="dxa"/>
              <w:bottom w:w="80" w:type="dxa"/>
              <w:end w:w="120" w:type="dxa"/>
            </w:tcMar>
            <w:vAlign w:val="center"/>
          </w:tcPr>
          <w:p>
            <w:pPr>
              <w:keepNext/>
              <w:spacing w:before="0" w:after="60" w:line="240" w:lineRule="auto"/>
            </w:pPr>
            <w:r>
              <w:rPr>
                <w:rFonts w:ascii="Calibri" w:hAnsi="Calibri"/>
                <w:sz w:val="15"/>
              </w:rPr>
              <w:t>Provider acceptance ≠ app receipt ≠ human ACK</w:t>
            </w:r>
          </w:p>
        </w:tc>
      </w:tr>
      <w:tr>
        <w:trPr>
          <w:cantSplit/>
        </w:trPr>
        <w:tc>
          <w:tcPr>
            <w:tcW w:type="dxa" w:w="1300"/>
            <w:tcMar>
              <w:top w:w="80" w:type="dxa"/>
              <w:start w:w="120" w:type="dxa"/>
              <w:bottom w:w="80" w:type="dxa"/>
              <w:end w:w="120" w:type="dxa"/>
            </w:tcMar>
            <w:vAlign w:val="center"/>
          </w:tcPr>
          <w:p>
            <w:pPr>
              <w:spacing w:before="0" w:after="60" w:line="240" w:lineRule="auto"/>
            </w:pPr>
            <w:r>
              <w:rPr>
                <w:rFonts w:ascii="Calibri" w:hAnsi="Calibri"/>
                <w:sz w:val="15"/>
              </w:rPr>
              <w:t>Installer → device</w:t>
            </w:r>
          </w:p>
        </w:tc>
        <w:tc>
          <w:tcPr>
            <w:tcW w:type="dxa" w:w="2650"/>
            <w:tcMar>
              <w:top w:w="80" w:type="dxa"/>
              <w:start w:w="120" w:type="dxa"/>
              <w:bottom w:w="80" w:type="dxa"/>
              <w:end w:w="120" w:type="dxa"/>
            </w:tcMar>
            <w:vAlign w:val="center"/>
          </w:tcPr>
          <w:p>
            <w:pPr>
              <w:spacing w:before="0" w:after="60" w:line="240" w:lineRule="auto"/>
            </w:pPr>
            <w:r>
              <w:rPr>
                <w:rFonts w:ascii="Calibri" w:hAnsi="Calibri"/>
                <w:sz w:val="15"/>
              </w:rPr>
              <w:t>T02 plan/state reducer</w:t>
            </w:r>
          </w:p>
        </w:tc>
        <w:tc>
          <w:tcPr>
            <w:tcW w:type="dxa" w:w="2630"/>
            <w:tcMar>
              <w:top w:w="80" w:type="dxa"/>
              <w:start w:w="120" w:type="dxa"/>
              <w:bottom w:w="80" w:type="dxa"/>
              <w:end w:w="120" w:type="dxa"/>
            </w:tcMar>
            <w:vAlign w:val="center"/>
          </w:tcPr>
          <w:p>
            <w:pPr>
              <w:spacing w:before="0" w:after="60" w:line="240" w:lineRule="auto"/>
            </w:pPr>
            <w:r>
              <w:rPr>
                <w:rFonts w:ascii="Calibri" w:hAnsi="Calibri"/>
                <w:sz w:val="15"/>
              </w:rPr>
              <w:t>Local USB jig in physical service window</w:t>
            </w:r>
          </w:p>
        </w:tc>
        <w:tc>
          <w:tcPr>
            <w:tcW w:type="dxa" w:w="2780"/>
            <w:tcMar>
              <w:top w:w="80" w:type="dxa"/>
              <w:start w:w="120" w:type="dxa"/>
              <w:bottom w:w="80" w:type="dxa"/>
              <w:end w:w="120" w:type="dxa"/>
            </w:tcMar>
            <w:vAlign w:val="center"/>
          </w:tcPr>
          <w:p>
            <w:pPr>
              <w:spacing w:before="0" w:after="60" w:line="240" w:lineRule="auto"/>
            </w:pPr>
            <w:r>
              <w:rPr>
                <w:rFonts w:ascii="Calibri" w:hAnsi="Calibri"/>
                <w:sz w:val="15"/>
              </w:rPr>
              <w:t>Readback plus signed evidence</w:t>
            </w:r>
          </w:p>
        </w:tc>
      </w:tr>
    </w:tbl>
    <w:p>
      <w:pPr>
        <w:pStyle w:val="Heading1"/>
      </w:pPr>
      <w:r>
        <w:t>5. Canonical data, persistence and error model</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4350"/>
        <w:gridCol w:w="351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Object</w:t>
            </w:r>
          </w:p>
        </w:tc>
        <w:tc>
          <w:tcPr>
            <w:tcW w:type="dxa" w:w="43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Key fields</w:t>
            </w:r>
          </w:p>
        </w:tc>
        <w:tc>
          <w:tcPr>
            <w:tcW w:type="dxa" w:w="35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 / invariant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EventKey</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source_id, session_id, sequence</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Stable idempotency identity across retry/replay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DomainEvent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key, kind, location, monotonic/occurred/received, uncertainty, battery, is_test</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Original occurrence never rewritten by later receipt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RoutineConfig</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window_id, start/end/grace, locations, enabled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Stable generated boundary set</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RoutineState</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evidence, explicit_ok, coverage, mode, incident-created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Hub state task only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CloudEvent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home_id, event_id, three times, uncertainty, test, payload</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B03 unique (home_id,event_id)</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Incident</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stable_key, state, owner lease, ack/resolve times</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B04; human workflow is separate from sensor evidence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NotificationJob</w:t>
            </w:r>
          </w:p>
        </w:tc>
        <w:tc>
          <w:tcPr>
            <w:tcW w:type="dxa" w:w="4350"/>
            <w:tcMar>
              <w:top w:w="80" w:type="dxa"/>
              <w:start w:w="120" w:type="dxa"/>
              <w:bottom w:w="80" w:type="dxa"/>
              <w:end w:w="120" w:type="dxa"/>
            </w:tcMar>
            <w:vAlign w:val="center"/>
          </w:tcPr>
          <w:p>
            <w:pPr>
              <w:keepNext/>
              <w:spacing w:before="0" w:after="60" w:line="240" w:lineRule="auto"/>
            </w:pPr>
            <w:r>
              <w:rPr>
                <w:rFonts w:ascii="Calibri" w:hAnsi="Calibri"/>
                <w:sz w:val="16"/>
              </w:rPr>
              <w:t>incident, recipient, stage, due, provider state</w:t>
            </w:r>
          </w:p>
        </w:tc>
        <w:tc>
          <w:tcPr>
            <w:tcW w:type="dxa" w:w="3510"/>
            <w:tcMar>
              <w:top w:w="80" w:type="dxa"/>
              <w:start w:w="120" w:type="dxa"/>
              <w:bottom w:w="80" w:type="dxa"/>
              <w:end w:w="120" w:type="dxa"/>
            </w:tcMar>
            <w:vAlign w:val="center"/>
          </w:tcPr>
          <w:p>
            <w:pPr>
              <w:keepNext/>
              <w:spacing w:before="0" w:after="60" w:line="240" w:lineRule="auto"/>
            </w:pPr>
            <w:r>
              <w:rPr>
                <w:rFonts w:ascii="Calibri" w:hAnsi="Calibri"/>
                <w:sz w:val="16"/>
              </w:rPr>
              <w:t>B05 unique incident/recipient/stage</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DesiredConfig</w:t>
            </w:r>
          </w:p>
        </w:tc>
        <w:tc>
          <w:tcPr>
            <w:tcW w:type="dxa" w:w="4350"/>
            <w:tcMar>
              <w:top w:w="80" w:type="dxa"/>
              <w:start w:w="120" w:type="dxa"/>
              <w:bottom w:w="80" w:type="dxa"/>
              <w:end w:w="120" w:type="dxa"/>
            </w:tcMar>
            <w:vAlign w:val="center"/>
          </w:tcPr>
          <w:p>
            <w:pPr>
              <w:spacing w:before="0" w:after="60" w:line="240" w:lineRule="auto"/>
            </w:pPr>
            <w:r>
              <w:rPr>
                <w:rFonts w:ascii="Calibri" w:hAnsi="Calibri"/>
                <w:sz w:val="16"/>
              </w:rPr>
              <w:t>home, version, body, applied_version</w:t>
            </w:r>
          </w:p>
        </w:tc>
        <w:tc>
          <w:tcPr>
            <w:tcW w:type="dxa" w:w="3510"/>
            <w:tcMar>
              <w:top w:w="80" w:type="dxa"/>
              <w:start w:w="120" w:type="dxa"/>
              <w:bottom w:w="80" w:type="dxa"/>
              <w:end w:w="120" w:type="dxa"/>
            </w:tcMar>
            <w:vAlign w:val="center"/>
          </w:tcPr>
          <w:p>
            <w:pPr>
              <w:spacing w:before="0" w:after="60" w:line="240" w:lineRule="auto"/>
            </w:pPr>
            <w:r>
              <w:rPr>
                <w:rFonts w:ascii="Calibri" w:hAnsi="Calibri"/>
                <w:sz w:val="16"/>
              </w:rPr>
              <w:t>Desired does not equal applied</w:t>
            </w:r>
          </w:p>
        </w:tc>
      </w:tr>
    </w:tbl>
    <w:p>
      <w:pPr>
        <w:pStyle w:val="Heading2"/>
      </w:pPr>
      <w:r>
        <w:t>Persistence order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600"/>
        <w:gridCol w:w="4760"/>
        <w:gridCol w:w="3000"/>
      </w:tblGrid>
      <w:tr>
        <w:trPr>
          <w:cantSplit/>
          <w:tblHeader w:val="true"/>
        </w:trPr>
        <w:tc>
          <w:tcPr>
            <w:tcW w:type="dxa" w:w="16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Boundary</w:t>
            </w:r>
          </w:p>
        </w:tc>
        <w:tc>
          <w:tcPr>
            <w:tcW w:type="dxa" w:w="47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order</w:t>
            </w:r>
          </w:p>
        </w:tc>
        <w:tc>
          <w:tcPr>
            <w:tcW w:type="dxa" w:w="30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Crash/retry result</w:t>
            </w:r>
          </w:p>
        </w:tc>
      </w:tr>
      <w:tr>
        <w:trPr>
          <w:cantSplit/>
        </w:trPr>
        <w:tc>
          <w:tcPr>
            <w:tcW w:type="dxa" w:w="1600"/>
            <w:tcMar>
              <w:top w:w="80" w:type="dxa"/>
              <w:start w:w="120" w:type="dxa"/>
              <w:bottom w:w="80" w:type="dxa"/>
              <w:end w:w="120" w:type="dxa"/>
            </w:tcMar>
            <w:vAlign w:val="center"/>
          </w:tcPr>
          <w:p>
            <w:pPr>
              <w:keepNext/>
              <w:spacing w:before="0" w:after="60" w:line="240" w:lineRule="auto"/>
            </w:pPr>
            <w:r>
              <w:rPr>
                <w:rFonts w:ascii="Calibri" w:hAnsi="Calibri"/>
                <w:sz w:val="16"/>
              </w:rPr>
              <w:t>Node business event</w:t>
            </w:r>
          </w:p>
        </w:tc>
        <w:tc>
          <w:tcPr>
            <w:tcW w:type="dxa" w:w="4760"/>
            <w:tcMar>
              <w:top w:w="80" w:type="dxa"/>
              <w:start w:w="120" w:type="dxa"/>
              <w:bottom w:w="80" w:type="dxa"/>
              <w:end w:w="120" w:type="dxa"/>
            </w:tcMar>
            <w:vAlign w:val="center"/>
          </w:tcPr>
          <w:p>
            <w:pPr>
              <w:keepNext/>
              <w:spacing w:before="0" w:after="60" w:line="240" w:lineRule="auto"/>
            </w:pPr>
            <w:r>
              <w:rPr>
                <w:rFonts w:ascii="Calibri" w:hAnsi="Calibri"/>
                <w:sz w:val="16"/>
              </w:rPr>
              <w:t>N05 append → N02 send → H02 commit → DURABLE ACK → N05 retire</w:t>
            </w:r>
          </w:p>
        </w:tc>
        <w:tc>
          <w:tcPr>
            <w:tcW w:type="dxa" w:w="3000"/>
            <w:tcMar>
              <w:top w:w="80" w:type="dxa"/>
              <w:start w:w="120" w:type="dxa"/>
              <w:bottom w:w="80" w:type="dxa"/>
              <w:end w:w="120" w:type="dxa"/>
            </w:tcMar>
            <w:vAlign w:val="center"/>
          </w:tcPr>
          <w:p>
            <w:pPr>
              <w:keepNext/>
              <w:spacing w:before="0" w:after="60" w:line="240" w:lineRule="auto"/>
            </w:pPr>
            <w:r>
              <w:rPr>
                <w:rFonts w:ascii="Calibri" w:hAnsi="Calibri"/>
                <w:sz w:val="16"/>
              </w:rPr>
              <w:t>At-least-once delivery; no acknowledged loss</w:t>
            </w:r>
          </w:p>
        </w:tc>
      </w:tr>
      <w:tr>
        <w:trPr>
          <w:cantSplit/>
        </w:trPr>
        <w:tc>
          <w:tcPr>
            <w:tcW w:type="dxa" w:w="1600"/>
            <w:tcMar>
              <w:top w:w="80" w:type="dxa"/>
              <w:start w:w="120" w:type="dxa"/>
              <w:bottom w:w="80" w:type="dxa"/>
              <w:end w:w="120" w:type="dxa"/>
            </w:tcMar>
            <w:vAlign w:val="center"/>
          </w:tcPr>
          <w:p>
            <w:pPr>
              <w:keepNext/>
              <w:spacing w:before="0" w:after="60" w:line="240" w:lineRule="auto"/>
            </w:pPr>
            <w:r>
              <w:rPr>
                <w:rFonts w:ascii="Calibri" w:hAnsi="Calibri"/>
                <w:sz w:val="16"/>
              </w:rPr>
              <w:t>Hub cloud event</w:t>
            </w:r>
          </w:p>
        </w:tc>
        <w:tc>
          <w:tcPr>
            <w:tcW w:type="dxa" w:w="4760"/>
            <w:tcMar>
              <w:top w:w="80" w:type="dxa"/>
              <w:start w:w="120" w:type="dxa"/>
              <w:bottom w:w="80" w:type="dxa"/>
              <w:end w:w="120" w:type="dxa"/>
            </w:tcMar>
            <w:vAlign w:val="center"/>
          </w:tcPr>
          <w:p>
            <w:pPr>
              <w:keepNext/>
              <w:spacing w:before="0" w:after="60" w:line="240" w:lineRule="auto"/>
            </w:pPr>
            <w:r>
              <w:rPr>
                <w:rFonts w:ascii="Calibri" w:hAnsi="Calibri"/>
                <w:sz w:val="16"/>
              </w:rPr>
              <w:t>H02 commit/outbox → H08 publish → B03 transaction → app commit ACK → H02 retire</w:t>
            </w:r>
          </w:p>
        </w:tc>
        <w:tc>
          <w:tcPr>
            <w:tcW w:type="dxa" w:w="3000"/>
            <w:tcMar>
              <w:top w:w="80" w:type="dxa"/>
              <w:start w:w="120" w:type="dxa"/>
              <w:bottom w:w="80" w:type="dxa"/>
              <w:end w:w="120" w:type="dxa"/>
            </w:tcMar>
            <w:vAlign w:val="center"/>
          </w:tcPr>
          <w:p>
            <w:pPr>
              <w:keepNext/>
              <w:spacing w:before="0" w:after="60" w:line="240" w:lineRule="auto"/>
            </w:pPr>
            <w:r>
              <w:rPr>
                <w:rFonts w:ascii="Calibri" w:hAnsi="Calibri"/>
                <w:sz w:val="16"/>
              </w:rPr>
              <w:t>Broker replay cannot duplicate domain effect</w:t>
            </w:r>
          </w:p>
        </w:tc>
      </w:tr>
      <w:tr>
        <w:trPr>
          <w:cantSplit/>
        </w:trPr>
        <w:tc>
          <w:tcPr>
            <w:tcW w:type="dxa" w:w="1600"/>
            <w:tcMar>
              <w:top w:w="80" w:type="dxa"/>
              <w:start w:w="120" w:type="dxa"/>
              <w:bottom w:w="80" w:type="dxa"/>
              <w:end w:w="120" w:type="dxa"/>
            </w:tcMar>
            <w:vAlign w:val="center"/>
          </w:tcPr>
          <w:p>
            <w:pPr>
              <w:spacing w:before="0" w:after="60" w:line="240" w:lineRule="auto"/>
            </w:pPr>
            <w:r>
              <w:rPr>
                <w:rFonts w:ascii="Calibri" w:hAnsi="Calibri"/>
                <w:sz w:val="16"/>
              </w:rPr>
              <w:t>Incident notification</w:t>
            </w:r>
          </w:p>
        </w:tc>
        <w:tc>
          <w:tcPr>
            <w:tcW w:type="dxa" w:w="4760"/>
            <w:tcMar>
              <w:top w:w="80" w:type="dxa"/>
              <w:start w:w="120" w:type="dxa"/>
              <w:bottom w:w="80" w:type="dxa"/>
              <w:end w:w="120" w:type="dxa"/>
            </w:tcMar>
            <w:vAlign w:val="center"/>
          </w:tcPr>
          <w:p>
            <w:pPr>
              <w:spacing w:before="0" w:after="60" w:line="240" w:lineRule="auto"/>
            </w:pPr>
            <w:r>
              <w:rPr>
                <w:rFonts w:ascii="Calibri" w:hAnsi="Calibri"/>
                <w:sz w:val="16"/>
              </w:rPr>
              <w:t>B04 incident + intent key → B05 leased job → provider result → human action</w:t>
            </w:r>
          </w:p>
        </w:tc>
        <w:tc>
          <w:tcPr>
            <w:tcW w:type="dxa" w:w="3000"/>
            <w:tcMar>
              <w:top w:w="80" w:type="dxa"/>
              <w:start w:w="120" w:type="dxa"/>
              <w:bottom w:w="80" w:type="dxa"/>
              <w:end w:w="120" w:type="dxa"/>
            </w:tcMar>
            <w:vAlign w:val="center"/>
          </w:tcPr>
          <w:p>
            <w:pPr>
              <w:spacing w:before="0" w:after="60" w:line="240" w:lineRule="auto"/>
            </w:pPr>
            <w:r>
              <w:rPr>
                <w:rFonts w:ascii="Calibri" w:hAnsi="Calibri"/>
                <w:sz w:val="16"/>
              </w:rPr>
              <w:t>Provider ambiguity stays distinct; one logical stage intent</w:t>
            </w:r>
          </w:p>
        </w:tc>
      </w:tr>
    </w:tbl>
    <w:p>
      <w:pPr>
        <w:pStyle w:val="Heading2"/>
      </w:pPr>
      <w:r>
        <w:t>Error vocabulary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400"/>
        <w:gridCol w:w="3300"/>
        <w:gridCol w:w="4660"/>
      </w:tblGrid>
      <w:tr>
        <w:trPr>
          <w:cantSplit/>
          <w:tblHeader w:val="true"/>
        </w:trPr>
        <w:tc>
          <w:tcPr>
            <w:tcW w:type="dxa" w:w="14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Class</w:t>
            </w:r>
          </w:p>
        </w:tc>
        <w:tc>
          <w:tcPr>
            <w:tcW w:type="dxa" w:w="3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Examples</w:t>
            </w:r>
          </w:p>
        </w:tc>
        <w:tc>
          <w:tcPr>
            <w:tcW w:type="dxa" w:w="46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Required presentation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Unknown</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untrusted time, missing coverage, absent calibration</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Unknown/degraded with reason; no negative resident inference</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Pending</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desired config, app command, provider request</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Show pending until authoritative ACK/version</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Duplicate</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same EventKey or stable incident key</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Return prior committed result; do not repeat effect</w:t>
            </w:r>
          </w:p>
        </w:tc>
      </w:tr>
      <w:tr>
        <w:trPr>
          <w:cantSplit/>
        </w:trPr>
        <w:tc>
          <w:tcPr>
            <w:tcW w:type="dxa" w:w="1400"/>
            <w:tcMar>
              <w:top w:w="80" w:type="dxa"/>
              <w:start w:w="120" w:type="dxa"/>
              <w:bottom w:w="80" w:type="dxa"/>
              <w:end w:w="120" w:type="dxa"/>
            </w:tcMar>
            <w:vAlign w:val="center"/>
          </w:tcPr>
          <w:p>
            <w:pPr>
              <w:keepNext/>
              <w:spacing w:before="0" w:after="60" w:line="240" w:lineRule="auto"/>
            </w:pPr>
            <w:r>
              <w:rPr>
                <w:rFonts w:ascii="Calibri" w:hAnsi="Calibri"/>
                <w:sz w:val="16"/>
              </w:rPr>
              <w:t>Capacity</w:t>
            </w:r>
          </w:p>
        </w:tc>
        <w:tc>
          <w:tcPr>
            <w:tcW w:type="dxa" w:w="3300"/>
            <w:tcMar>
              <w:top w:w="80" w:type="dxa"/>
              <w:start w:w="120" w:type="dxa"/>
              <w:bottom w:w="80" w:type="dxa"/>
              <w:end w:w="120" w:type="dxa"/>
            </w:tcMar>
            <w:vAlign w:val="center"/>
          </w:tcPr>
          <w:p>
            <w:pPr>
              <w:keepNext/>
              <w:spacing w:before="0" w:after="60" w:line="240" w:lineRule="auto"/>
            </w:pPr>
            <w:r>
              <w:rPr>
                <w:rFonts w:ascii="Calibri" w:hAnsi="Calibri"/>
                <w:sz w:val="16"/>
              </w:rPr>
              <w:t>node queue, hub journal, database/broker</w:t>
            </w:r>
          </w:p>
        </w:tc>
        <w:tc>
          <w:tcPr>
            <w:tcW w:type="dxa" w:w="4660"/>
            <w:tcMar>
              <w:top w:w="80" w:type="dxa"/>
              <w:start w:w="120" w:type="dxa"/>
              <w:bottom w:w="80" w:type="dxa"/>
              <w:end w:w="120" w:type="dxa"/>
            </w:tcMar>
            <w:vAlign w:val="center"/>
          </w:tcPr>
          <w:p>
            <w:pPr>
              <w:keepNext/>
              <w:spacing w:before="0" w:after="60" w:line="240" w:lineRule="auto"/>
            </w:pPr>
            <w:r>
              <w:rPr>
                <w:rFonts w:ascii="Calibri" w:hAnsi="Calibri"/>
                <w:sz w:val="16"/>
              </w:rPr>
              <w:t>Reject or reserve action capacity; emit fault/gap</w:t>
            </w:r>
          </w:p>
        </w:tc>
      </w:tr>
      <w:tr>
        <w:trPr>
          <w:cantSplit/>
        </w:trPr>
        <w:tc>
          <w:tcPr>
            <w:tcW w:type="dxa" w:w="1400"/>
            <w:tcMar>
              <w:top w:w="80" w:type="dxa"/>
              <w:start w:w="120" w:type="dxa"/>
              <w:bottom w:w="80" w:type="dxa"/>
              <w:end w:w="120" w:type="dxa"/>
            </w:tcMar>
            <w:vAlign w:val="center"/>
          </w:tcPr>
          <w:p>
            <w:pPr>
              <w:spacing w:before="0" w:after="60" w:line="240" w:lineRule="auto"/>
            </w:pPr>
            <w:r>
              <w:rPr>
                <w:rFonts w:ascii="Calibri" w:hAnsi="Calibri"/>
                <w:sz w:val="16"/>
              </w:rPr>
              <w:t>Authorization</w:t>
            </w:r>
          </w:p>
        </w:tc>
        <w:tc>
          <w:tcPr>
            <w:tcW w:type="dxa" w:w="3300"/>
            <w:tcMar>
              <w:top w:w="80" w:type="dxa"/>
              <w:start w:w="120" w:type="dxa"/>
              <w:bottom w:w="80" w:type="dxa"/>
              <w:end w:w="120" w:type="dxa"/>
            </w:tcMar>
            <w:vAlign w:val="center"/>
          </w:tcPr>
          <w:p>
            <w:pPr>
              <w:spacing w:before="0" w:after="60" w:line="240" w:lineRule="auto"/>
            </w:pPr>
            <w:r>
              <w:rPr>
                <w:rFonts w:ascii="Calibri" w:hAnsi="Calibri"/>
                <w:sz w:val="16"/>
              </w:rPr>
              <w:t>unknown actor/session or wrong home</w:t>
            </w:r>
          </w:p>
        </w:tc>
        <w:tc>
          <w:tcPr>
            <w:tcW w:type="dxa" w:w="4660"/>
            <w:tcMar>
              <w:top w:w="80" w:type="dxa"/>
              <w:start w:w="120" w:type="dxa"/>
              <w:bottom w:w="80" w:type="dxa"/>
              <w:end w:w="120" w:type="dxa"/>
            </w:tcMar>
            <w:vAlign w:val="center"/>
          </w:tcPr>
          <w:p>
            <w:pPr>
              <w:spacing w:before="0" w:after="60" w:line="240" w:lineRule="auto"/>
            </w:pPr>
            <w:r>
              <w:rPr>
                <w:rFonts w:ascii="Calibri" w:hAnsi="Calibri"/>
                <w:sz w:val="16"/>
              </w:rPr>
              <w:t>Fail closed; do not reveal cross-home resource</w:t>
            </w:r>
          </w:p>
        </w:tc>
      </w:tr>
    </w:tbl>
    <w:p>
      <w:pPr>
        <w:pStyle w:val="Heading1"/>
      </w:pPr>
      <w:r>
        <w:t>6. Node firmware module LLD</w:t>
      </w:r>
    </w:p>
    <w:p>
      <w:pPr>
        <w:pStyle w:val="Heading2"/>
      </w:pPr>
      <w:r>
        <w:t>N01 — Node sensing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firmware/node/components/sensing/sensing.hpp, sensing.cpp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QualifiedInput::sample(raw_level, now_ms); stable_level()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raw/stable level, edge timestamp, debounce and retrigger clocks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Raw PIR/reed level → optional qualified Motion/DoorOpen/DoorClosed event kind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Initialize without emitting; record raw edge; require stability for debounce interval; enforce retrigger interval; emit only a qualified transition.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Bounce and repeated PIR holds are suppressed. Initial level is state, not an invented event. Queueing and persistence happen outside this module.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tests/cpp/test_main.cpp: initial, bounce and stable-rise checks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behavior passes; hardware exit requires voltage, warm-up, hold-time, wake-loop and placement tests.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Per-board sensor adapters, supervised wiring and measured false-trigger diagnostics.</w:t>
            </w:r>
          </w:p>
        </w:tc>
      </w:tr>
    </w:tbl>
    <w:p>
      <w:pPr>
        <w:pStyle w:val="Heading2"/>
      </w:pPr>
      <w:r>
        <w:t>N02 — Node radio</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firmware/node/components/radio/node_radio.hpp, node_radio.cpp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enqueue(); next_due(); record_transport_result(); apply_ack()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PendingTx deque, attempt count and next-attempt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DomainEvent + application ACK → scheduled transmissions / retired entries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Queue once; expose due item; schedule deterministic jittered retry; reject volatile ACK for business events; retire only DURABLE or policy-discard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queue returns false. Radio success is not durable success. Backoff is bounded by the scheduled wake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immediate send, volatile ACK retention and durable retirement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retry/ACK semantics pass; ESP-NOW encryption, channel search, callback timing and loss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ESP-NOW adapter first; BLE/Thread transport may implement the same port later.</w:t>
            </w:r>
          </w:p>
        </w:tc>
      </w:tr>
    </w:tbl>
    <w:p>
      <w:pPr>
        <w:pStyle w:val="Heading2"/>
      </w:pPr>
      <w:r>
        <w:t>N03 — Node power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firmware/node/components/power/power.hpp, power.cpp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PowerPolicy::classify(); PowerPolicy::plan()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mutable ownership; thresholds are explicit policy inputs/constants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Calibrated millivolts + pending work + NodeConfig → BatteryReading and SleepPlan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Never convert an uncalibrated voltage to percentage; classify voltage band; shorten wake for retry; lengthen it at critical voltage; enable only configured wake sources.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calibration stays UNKNOWN. Software thresholds do not replace cell protection or charger qualification.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low/unknown bands and retry wake plan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Logic passes; ADC calibration, divider leakage, charge status and full current profile require hardware.</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Fuel-gauge adapter, ageing model and observed runtime forecast.</w:t>
            </w:r>
          </w:p>
        </w:tc>
      </w:tr>
    </w:tbl>
    <w:p>
      <w:pPr>
        <w:pStyle w:val="Heading2"/>
      </w:pPr>
      <w:r>
        <w:t>N04 — Node lifecycle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firmware/node/components/lifecycle/lifecycle.hpp, lifecycle.cpp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LifecycleService::apply(); open_service_window(); service_window_open()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active NodeConfig and physical-service-window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NodeConfig / physical action → atomic applied config or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identity, location, enabled capability and heartbeat range; reject same/older version; replace active snapshot atomically.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open radio enrollment. Invalid config leaves prior version intact. Service access expires by monotonic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invalid capability, valid apply, rollback and 120-second window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state transition passes; NVS atomicity, USB jig and authenticated boot registration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Signed delta configuration and controlled node firmware orchestration.</w:t>
            </w:r>
          </w:p>
        </w:tc>
      </w:tr>
    </w:tbl>
    <w:p>
      <w:pPr>
        <w:pStyle w:val="Heading2"/>
      </w:pPr>
      <w:r>
        <w:t>N05 — Node storage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firmware/node/components/storage/node_store.hpp, node_store.cpp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NodeStore::append(); acknowledge(); oldest()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business-event deque and explicit gap-marker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Business DomainEvent + ACK → retained/released event or overflow signal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Ignore periodic heartbeat for flash journal; deduplicate; append before transmit; retire on DURABLE or DISCARDED_POLICY; signal capacity loss.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store does not silently drop; gap_marker_required becomes true. Volatile ACK cannot delete business evidence.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persist-before-send and ACK class behavior; NodeRuntime composition tested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semantics pass; CRC/commit-marker flash ring and interrupted-write recovery require board partitions.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Wear-aware compaction and measured retention sizing.</w:t>
            </w:r>
          </w:p>
        </w:tc>
      </w:tr>
    </w:tbl>
    <w:p>
      <w:pPr>
        <w:pStyle w:val="Heading1"/>
      </w:pPr>
      <w:r>
        <w:t>7. Hub firmware module LLD</w:t>
      </w:r>
    </w:p>
    <w:p>
      <w:pPr>
        <w:pStyle w:val="Heading2"/>
      </w:pPr>
      <w:r>
        <w:t>H01 — Hub ingest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firmware/hub/components/ingest/ingest.hpp, ingest.cpp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PeerRegistry::authorize/accepts; IngestQueue::callback_copy/pop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authorized source→session map, bounded ingress deque and rejection count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Radio callback DomainEvent → admitted fixed-value mailbox entry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Authenticate source/session and sequence; copy into bounded queue; return immediately; state task later pops and processes.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session or full queue rejects and increments observable count. Callback never writes flash or runs rules.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known/unknown peer and callback-to-worker copy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admission passes; frame authentication, payload bounds and ISR/callback latency remain on ESP-IDF.</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Per-peer rate caps and captured RF diagnostics.</w:t>
            </w:r>
          </w:p>
        </w:tc>
      </w:tr>
    </w:tbl>
    <w:p>
      <w:pPr>
        <w:pStyle w:val="Heading2"/>
      </w:pPr>
      <w:r>
        <w:t>H02 — Hub persistence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firmware/hub/components/storage/journal.hpp, journal.cpp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HubJournal::commit(); pending_cloud(); acknowledge_cloud(); contains()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bounded ordered records, event-ID set and application-ACK set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DomainEvent → Stored/Duplicate/Full; committed records → cloud outbox batch</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Check event key; commit once; expose unacknowledged records; retain until backend application-commit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Full returns Full and therefore no DURABLE node ACK. Duplicate returns committed equivalence. MQTT PUBACK is intentionally absent from retirement API.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store, duplicate, pending outbox and application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invariants pass; append-only flash record, CRC, checkpoint, wear and 100-cycle crash test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Priority partitions and compaction tuned to measured event volume.</w:t>
            </w:r>
          </w:p>
        </w:tc>
      </w:tr>
    </w:tbl>
    <w:p>
      <w:pPr>
        <w:pStyle w:val="Heading2"/>
      </w:pPr>
      <w:r>
        <w:t>H03 — Hub time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firmware/hub/components/time/clock.hpp, clock.cpp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TrustedClock::anchor(); estimate(); valid_for_absence()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trusted server anchor, monotonic anchor and uncertainty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Authenticated time anchor + monotonic now → earliest/latest wall-time estimate and trust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Advance from monotonic elapsed time; expand uncertainty by conservative drift; expire anchor after 72 hours; gate absence evaluation by trust and uncertainty.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anchor, monotonic rollback or expired anchor produces untrusted/expired state. Manual buttons remain valid elsewhere.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unanchored suppression and trusted bounded estimate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math passes; authenticated exchange, reboot lower-bound and optional RTC behavior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Board-measured oscillator drift and generated DST boundary fixtures.</w:t>
            </w:r>
          </w:p>
        </w:tc>
      </w:tr>
    </w:tbl>
    <w:p>
      <w:pPr>
        <w:pStyle w:val="Heading2"/>
      </w:pPr>
      <w:r>
        <w:t>H04 — Hub coverage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firmware/hub/components/coverage/coverage.hpp, coverage.cpp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require_node(); observe(); set_sensor_fault(); current(); reasons()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required-node set and per-node last contact, battery and fault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Heartbeat/business contact + lease clock → Covered/Unknown/Fault and reason list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only configured routine sources; refresh contact; report unknown for unseen/expired source; report fault separately from activity.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 recovery never erases the historical gap. A heartbeat cannot clear an explicit sensor fault.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never-seen, fresh and 190-second expired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Current-state host logic passes; interval reconstruction and physical sensor-path drills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Coverage intervals, mounting-drift checks and source-specific eligibility.</w:t>
            </w:r>
          </w:p>
        </w:tc>
      </w:tr>
    </w:tbl>
    <w:p>
      <w:pPr>
        <w:pStyle w:val="Heading2"/>
      </w:pPr>
      <w:r>
        <w:t>H05 — Hub rules adapter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firmware/hub/components/rules/routine_service.hpp, routine_service.cpp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start_window(); set_coverage(); apply(); 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one RoutineConfig and RoutineState owned by the hub state task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Committed event / deadline / coverage → evidence state or stable incident decision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Reset on stable window ID; apply pure S02 reducer; at grace deadline require trusted time, HOME mode and Covered state; create once if no evidence.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coverage, privacy/away/pause, test data or untrusted time suppresses missing-activity creation with a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evidence, missing, duplicate deadline, coverage unknown and privacy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Rule paths pass; full scenario replay and long-running device timer/reboot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Additional deterministic routines without opaque risk scores.</w:t>
            </w:r>
          </w:p>
        </w:tc>
      </w:tr>
    </w:tbl>
    <w:p>
      <w:pPr>
        <w:pStyle w:val="Heading2"/>
      </w:pPr>
      <w:r>
        <w:t>H06 — Hub resident interface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firmware/hub/components/ui/resident_ui.hpp, resident_ui.cpp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ResidentUi::make_action(); feedback_for()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Stateless command builder; physical debounce belongs to GPIO adapter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OK/Call/Privacy action → durable DomainEvent and local feedback code/text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Map physically distinct controls to explicit event kinds; state whether action was saved locally or accepted remotely; use fixed prompt flag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microphone or generated speech. Offline Call family remains stored and explicitly says internet unavailable.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verify Call family event and offline wording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event/feedback contract passes; buttons, latching switch, OLED/LED, audio load and resident usability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Localized fixed prompts and accessibility options after testing.</w:t>
            </w:r>
          </w:p>
        </w:tc>
      </w:tr>
    </w:tbl>
    <w:p>
      <w:pPr>
        <w:pStyle w:val="Heading2"/>
      </w:pPr>
      <w:r>
        <w:t>H07 — Hub lifecycle/config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firmware/hub/components/lifecycle/config_service.hpp, config_service.cpp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ConfigService::apply(); active()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active immutable HomeConfig snapshot and applied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Desired HomeConfig → applied version or rejection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home/timezone and ordered window boundaries; reject same/older version; replace atomically; expose applied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Invalid version never partially mutates active rules. Device update orchestration is separated by S03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valid apply and stale-version rejection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atomic snapshot passes; NVS transaction, reboot restore, provisioning and OTA binding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Staged rollout, rollback health window and fleet cohort controls.</w:t>
            </w:r>
          </w:p>
        </w:tc>
      </w:tr>
    </w:tbl>
    <w:p>
      <w:pPr>
        <w:pStyle w:val="Heading2"/>
      </w:pPr>
      <w:r>
        <w:t>H08 — Hub cloud link</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firmware/hub/components/cloud/cloud_sync.hpp, cloud_sync.cpp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set_connected(); next_batch(); application_commit_ack(); record_failure()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connection flag, failure count and retry-after deadline; journal owns payload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Committed outbox + connection/ACK → prioritized batch and retirement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Send only when connected/due; prioritize Call family over history; use bounded reconnect schedule; retire on backend commit ACK.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Disconnect/backoff preserves outbox. Transport ACK cannot call application_commit_ack. Original event time is unchanged.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urgent ordering and application-level retirement; simulator replays one offline record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scheduling passes; Wi-Fi/TLS/MQTT, ACL, broker failure and 72-hour field replay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Cellular adapter only after cost and operational design.</w:t>
            </w:r>
          </w:p>
        </w:tc>
      </w:tr>
    </w:tbl>
    <w:p>
      <w:pPr>
        <w:pStyle w:val="Heading1"/>
      </w:pPr>
      <w:r>
        <w:t>8. Backend module LLD</w:t>
      </w:r>
    </w:p>
    <w:p>
      <w:pPr>
        <w:pStyle w:val="Heading2"/>
      </w:pPr>
      <w:r>
        <w:t>B01 — Identity/access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backend/ghar_sajag/identity.py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IdentityService.grant/revoke/require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Membership rows keyed by (home_id, actor_id), active flag and expiry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Verified actor claim + home + permission → membership or AuthorizationError</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Resolve exact home-scoped membership; distinguish manage/read role sets; enforce expiry; audit grant/revoke.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global caregiver access and no serial-number authorization. Cross-home lookup fails closed.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test_B01_F01_membership_is_tenant_scoped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policy passes; production OIDC verification, token audience/issuer and database row-level controls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Delegated care teams and support impersonation with explicit approval/audit.</w:t>
            </w:r>
          </w:p>
        </w:tc>
      </w:tr>
    </w:tbl>
    <w:p>
      <w:pPr>
        <w:pStyle w:val="Heading2"/>
      </w:pPr>
      <w:r>
        <w:t>B02 — Home/consent</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backend/ghar_sajag/homes.py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HomeService.create/set_caregivers/set_mode/withdraw_resident_consent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 resident consents, caregiver route, mode and version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Owner commands → validated home/configuration changes and audit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valid timezone/name and active resident consent; create owner membership; require distinct primary/backup; privacy on withdrawal.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Duplicate home, missing consent or same backup fails. Purchase does not imply consent and PIR never identifies a resident.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F01 role test and test_B02_consent_withdrawal_enters_privacy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state passes; invitation tokens, durable repository and deletion workflow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Multiple residents without passive identity inference.</w:t>
            </w:r>
          </w:p>
        </w:tc>
      </w:tr>
    </w:tbl>
    <w:p>
      <w:pPr>
        <w:pStyle w:val="Heading2"/>
      </w:pPr>
      <w:r>
        <w:t>B03 — Event ingestion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backend/ghar_sajag/ingest.py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IngestService.accept()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CloudEvent dictionary keyed by (home_id, event_id)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Validated CloudEvent → (stored event, duplicate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Verify known home, event kind and timing fields; use unique event key; append audit in the same host operation.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home/kind and invalid timing fail. Duplicate returns prior commit without another domain effect.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test_B03_ingest_is_idempotent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idempotency passes; PostgreSQL transaction/outbox, MQTT consumer and commit ACK adapter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Partitioning and batch replay after measured load.</w:t>
            </w:r>
          </w:p>
        </w:tc>
      </w:tr>
    </w:tbl>
    <w:p>
      <w:pPr>
        <w:pStyle w:val="Heading2"/>
      </w:pPr>
      <w:r>
        <w:t>B04 — Incident workflow</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backend/ghar_sajag/incidents.py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IncidentService.create/claim/acknowledge/resolve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 plus stable-key index, owner and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 incident intent / caregiver command → idempotent incident transition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Create once by stable key; claim with bounded lease; prevent live dual ownership; acknowledge then explicitly resolve; audit human action.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Closed incidents reject claim; another live owner causes conflict; home mismatch behaves as not found.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call idempotency and test_B04_claim_lease_prevents_double_ownership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State machine passes; database compare-and-set, HANDOFF_TO_BACKUP and concurrency load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Structured Contacted/Unable-to-reach outcome and professional adapter only under contract.</w:t>
            </w:r>
          </w:p>
        </w:tc>
      </w:tr>
    </w:tbl>
    <w:p>
      <w:pPr>
        <w:pStyle w:val="Heading2"/>
      </w:pPr>
      <w:r>
        <w:t>B05 — Notification routing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backend/ghar_sajag/notifications.py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schedule_for_incident(); due(); provider_result(); human_acknowledged(); create_door_notice(); build_daily_summary()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unique stage jobs, provider state, advisory notices and one-per-day summary keys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Incident/event/window projection → primary/backup jobs, opt-in advisory or 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 primary now and backup at +300 s; select due open jobs; keep provider acceptance separate from human ACK; cancel pending jobs after ACK; summarize coverage honestly.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 recipient means no invented route; tests never create production notice; a summary cannot resolve an incident; duplicate keys reuse prior intent.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B04/B05 route tests, F09 notice test, F14 summary test and TEST exclusion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 routing passes; real Web Push, worker lease, retry/jitter and phone delivery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Funded SMS/voice and emergency-response service only with explicit provider contract.</w:t>
            </w:r>
          </w:p>
        </w:tc>
      </w:tr>
    </w:tbl>
    <w:p>
      <w:pPr>
        <w:pStyle w:val="Heading2"/>
      </w:pPr>
      <w:r>
        <w:t>B06 — Fleet/config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backend/ghar_sajag/fleet.py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register_device(); publish_config(); record_applied()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device registry and latest desired/applied configuration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Owner/install command or hub ACK → device/config version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 owner; prevent cross-home device rebind; increment desired version; record only known applied versions; audit.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future apply and device conflict reject. Desired does not equal applied until hub reports 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test_B06_config_version_and_device_binding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 semantics pass; PostgreSQL, one-use claim, signed manifest publication and cohort rollout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Fleet cohorts, staged update and field diagnostics.</w:t>
            </w:r>
          </w:p>
        </w:tc>
      </w:tr>
    </w:tbl>
    <w:p>
      <w:pPr>
        <w:pStyle w:val="Heading2"/>
      </w:pPr>
      <w:r>
        <w:t>B07 — Read models/API</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backend/ghar_sajag/queries.py, http_api.py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QueryService.snapshot/timeline; JsonApi.dispatch/WSGI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Derived view only; source facts remain in store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Authorized read + events/incidents → dashboard snapshot/timeline JSON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Sort by original occurrence; compute hub lease from server receipts; choose latest activity independently; expose incidents and fetched time.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Fresh phone fetch cannot make stale hub data current. Test events are excluded from production timeline.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test_B07_B08_snapshot_separates_activity_from_reachability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Projection logic passes; pagination, SSE, OpenAPI conformance and React integration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Materialized PostgreSQL projections and regional read replicas only when needed.</w:t>
            </w:r>
          </w:p>
        </w:tc>
      </w:tr>
    </w:tbl>
    <w:p>
      <w:pPr>
        <w:pStyle w:val="Heading2"/>
      </w:pPr>
      <w:r>
        <w:t>B08 — Operations/data</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backend/ghar_sajag/operations.py, store.py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hub_health(); diagnostics(); record_support_action()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audit trail plus counts and independent hub lease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Events/actions/current time → health, diagnostics and auditable support record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Evaluate hub server-receipt lease; count each domain independently; record support actions without editing historical events.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Broker retained online state is not authoritative. In-memory store is a host adapter, not a durable production claim.</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B07/B08 snapshot test and diagnostics assertions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observability passes; PostgreSQL retention/export, independent uptime and restore drill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Privacy-preserving fleet metrics and support bundle redaction.</w:t>
            </w:r>
          </w:p>
        </w:tc>
      </w:tr>
    </w:tbl>
    <w:p>
      <w:pPr>
        <w:pStyle w:val="Heading1"/>
      </w:pPr>
      <w:r>
        <w:t>9. Caregiver application module LLD</w:t>
      </w:r>
    </w:p>
    <w:p>
      <w:pPr>
        <w:pStyle w:val="Heading2"/>
      </w:pPr>
      <w:r>
        <w:t>A01 — App onboarding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app/src/features/onboarding/index.mjs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validateHouseholdDraft(); buildCreateHomeCommand(); installationGate()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Pure draft/result values; no hidden authoritative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Household draft and install evidence → validation errors, API command, pilot eligibility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home/timezone/resident consent/distinct caregiver pair; construct idempotent home command; require every enabled input plus hub controls and real delivery drill.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Missing check remains visible and blocks unattended eligibility. No default consent or inferred backup.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Node tests: onboarding validation and installation gate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Domain/UI model passes; React form, QR claim, accessibility and real phone workflow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Installer role UX and multilingual consent evidence.</w:t>
            </w:r>
          </w:p>
        </w:tc>
      </w:tr>
    </w:tbl>
    <w:p>
      <w:pPr>
        <w:pStyle w:val="Heading2"/>
      </w:pPr>
      <w:r>
        <w:t>A02 — App home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app/src/features/home/index.mjs, app/public/*</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formatFreshness(); buildHomeView(); timelineLabel()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Rendered projection only; optional A05 cache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Backend snapshot/timeline + phone now → evidence/connectivity cards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Format separate freshness; show household activity only; render hub availability independently; explicitly state no activity evidence is not presence proof.</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Stale/never-seen is visible. No safe/fine/wellbeing label and no resident identity inference.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Home-view separation test; static responsive prototype included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View-model tests pass; React/PWA accessibility, localization and supported-phone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Weekly digest and richer source explanations.</w:t>
            </w:r>
          </w:p>
        </w:tc>
      </w:tr>
    </w:tbl>
    <w:p>
      <w:pPr>
        <w:pStyle w:val="Heading2"/>
      </w:pPr>
      <w:r>
        <w:t>A03 — App routines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app/src/features/routines/index.mjs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validateMorningRoutine(); buildDesiredConfig(); configStatus()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Desired draft and server/applied versions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Schedule/mode form → schema-aligned desired configuration and status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minute ranges/grace; deduplicate locations; build versioned config; compare desired against applied without pretending pending succeeded.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Invalid mode/routine throws explicit client error. Newer hub version becomes conflict, not silent overwrite.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Routine command and desired/applied status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Pure UI logic passes; screen, timezone boundary preview and backend persistence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Multiple deterministic routine templates.</w:t>
            </w:r>
          </w:p>
        </w:tc>
      </w:tr>
    </w:tbl>
    <w:p>
      <w:pPr>
        <w:pStyle w:val="Heading2"/>
      </w:pPr>
      <w:r>
        <w:t>A04 — App incidents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app/src/features/incidents/index.mjs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incidentActions(); actionCommand(); deliveryLabel()</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Server incident snapshot and pending client command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Incident/actor/time → permitted actions and idempotent REST command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Hide mutation actions when another live owner holds lease; distinguish claim, acknowledge and resolve; label provider acceptance separately.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Offline action cannot become authoritative. Unsupported action is rejected before request.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Incident ownership/action and command-path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View/action rules pass; optimistic-pending UI, SSE reconciliation and caregiver comprehension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Contact outcome and deliberate handoff UI.</w:t>
            </w:r>
          </w:p>
        </w:tc>
      </w:tr>
    </w:tbl>
    <w:p>
      <w:pPr>
        <w:pStyle w:val="Heading2"/>
      </w:pPr>
      <w:r>
        <w:t>A05 — App platform</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app/src/platform/index.mjs, app/public/service-worker.mjs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ApiClient.request(); VersionedCache.put/get(); pushCapability(); classifyFetchFailure()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local cache; browser subscription state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Injected fetch/token + command → JSON result/error; cached snapshot → explicit stale flag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Attach bearer/idempotency headers; classify auth/service/network failures; retain only newer cache versions; expose exact push capability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Cache never claims server commit. Push permission/subscription is not human acknowledgement.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Cache and push capability test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Framework-neutral adapter passes; OIDC SDK, service worker push handler, IndexedDB and real browser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Native wrapper only if PWA constraints justify it.</w:t>
            </w:r>
          </w:p>
        </w:tc>
      </w:tr>
    </w:tbl>
    <w:p>
      <w:pPr>
        <w:pStyle w:val="Heading1"/>
      </w:pPr>
      <w:r>
        <w:t>10. Shared module LLD</w:t>
      </w:r>
    </w:p>
    <w:p>
      <w:pPr>
        <w:pStyle w:val="Heading2"/>
      </w:pPr>
      <w:r>
        <w:t>S01 — Shared contracts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contracts/node.schema.json, cloud.schema.json, config.schema.json, openapi.yaml; scripts/verify_contracts.py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Schema v1 fields and OpenAPI operation IDs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source files only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Producer payload → structural acceptance or explicit schema/version rejection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Keep node event identity, cloud timestamps/test flag and desired configuration version canonical; validate source structure in CI.</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Unknown additional fields fail in JSON schemas; schema change requires a new version and compatibility tests.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contracts verifies three required-field sets and API surface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Source contracts pass; CBOR CDDL/generated C++/Python/TypeScript bindings and golden vectors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Generated clients and formal compatibility matrix.</w:t>
            </w:r>
          </w:p>
        </w:tc>
      </w:tr>
    </w:tbl>
    <w:p>
      <w:pPr>
        <w:pStyle w:val="Heading2"/>
      </w:pPr>
      <w:r>
        <w:t>S02 — Deterministic rules core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shared/include/gs/rules.hpp, shared/src/rules.cpp, domain.hpp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RulesCore::event_overlaps_window/apply_event/evaluate_deadline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Caller-owned RoutineState; no global state or I/O</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RoutineConfig + ordered DomainEvent/deadline → deterministic state and IncidentDecision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Use uncertainty interval overlap; ignore tests; gate modes; record evidence IDs; produce stable incident key only after all eligibility gates.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Time, coverage and mode uncertainty return a reason instead of a false incident. Same state/input is replayable.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rule tests and HubRuntime composition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reducer passes; scenario-property, reorder and reboot checkpoint tests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Additional transparent rules compiled into the same host/firmware core.</w:t>
            </w:r>
          </w:p>
        </w:tc>
      </w:tr>
    </w:tbl>
    <w:p>
      <w:pPr>
        <w:pStyle w:val="Heading2"/>
      </w:pPr>
      <w:r>
        <w:t>S03 — Firmware security/update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firmware/common/security/security.hpp, security.cpp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CredentialRegistry::install/revoke/get; UpdatePolicy::validate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versioned credential references; no raw secret bytes; running version supplied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Credential/update manifest + verifier → install/reject decision with reason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Reject missing/stale credential; match board; prevent rollback; validate hash text; delegate signature verification to injected production crypto.</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verifier is a seam, not cryptographic proof. Wrong board/version/hash/signature fails closed.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 tests cover install, rollback, revoke and manifest policy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Policy passes; protected NVS/secure element, real SHA-256/ECDSA, secure boot and rollback recovery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Key rotation and manufacturing HSM workflow.</w:t>
            </w:r>
          </w:p>
        </w:tc>
      </w:tr>
    </w:tbl>
    <w:p>
      <w:pPr>
        <w:pStyle w:val="Heading1"/>
      </w:pPr>
      <w:r>
        <w:t>11. Verification and operations module LLD</w:t>
      </w:r>
    </w:p>
    <w:p>
      <w:pPr>
        <w:pStyle w:val="Heading2"/>
      </w:pPr>
      <w:r>
        <w:t>T01 — Simulation/CI</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Makefile, tests/cpp/test_main.cpp, tests/python/test_backend.py, tests/js/app.test.mjs, tests/scenarios.json, host/simulator/main.cpp</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make verify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Deterministic fixtures and executable assertions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Source tree → contract/build/test/simulator result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Validate contracts; compile strict C++17; execute 52 checks; run simulator; run 10 Python and 6 Node tests.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Any command returns non-zero. Report never claims RF/power/provider coverage.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VERIFICATION_REPORT.md records the successful 7 September 2026 run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Current host suite green; add CI runner, fuzz/property tests and coverage thresholds.</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Nightly long replay and hardware-in-loop lane.</w:t>
            </w:r>
          </w:p>
        </w:tc>
      </w:tr>
    </w:tbl>
    <w:p>
      <w:pPr>
        <w:pStyle w:val="Heading2"/>
      </w:pPr>
      <w:r>
        <w:t>T02 — Hardware-in-loop tools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tools/hil/provision.py, runner.py, power_profile.py, installation_checklist.md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build_plan(); InstallationRun.observe/result(); summarize()</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Provisioning plan, required/pass/fail check set and current capture statistics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Kit IDs / physical observations / current CSV → redacted plan, eligibility, power summary</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Require four unique nodes; never print claim token; fail unknown checks; gate eligibility on every required check; summarize measured current.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Scripts cannot prove a board action without an adapter/evidence. Sensitive plan is explicitly separated from console output.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Syntax/import covered by backend run context; physical execution deliberately pending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 tooling exists; serial adapter, fault injector, power instrument and installed-home run are required.</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Automated relay/power-cycle jig and signed evidence bundle.</w:t>
            </w:r>
          </w:p>
        </w:tc>
      </w:tr>
    </w:tbl>
    <w:p>
      <w:pPr>
        <w:pStyle w:val="Heading2"/>
      </w:pPr>
      <w:r>
        <w:t>T03 — Deployment/operations</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700"/>
        <w:gridCol w:w="7660"/>
      </w:tblGrid>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Implementation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Host-implemented reference logic; production boundary stated below.</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Source files</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ops/compose.yaml, mosquitto.conf, broker_acl.conf, alerts.yaml, runbook.md</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Public surface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Container/broker configuration and operator procedures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Owned state</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PostgreSQL volume, broker persistence, alert/routing state outside application domain</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Input → output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Deployment secrets/certs/images → regional pilot services and independent alerts</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Processing flow</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Use TLS client identity and topic ACL; durable broker/database; alert ingest/backlog/fleet/backup; follow idempotent recovery runbook.</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Failure / invariant</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Example files omit secrets by design and are not a production deployment certificate. Restore and provider failures remain explicit.</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Verification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Configuration reviewed structurally; live broker/database/backup drill pending</w:t>
            </w:r>
          </w:p>
        </w:tc>
      </w:tr>
      <w:tr>
        <w:trPr>
          <w:cantSplit/>
        </w:trPr>
        <w:tc>
          <w:tcPr>
            <w:tcW w:type="dxa" w:w="1700"/>
            <w:tcMar>
              <w:top w:w="80" w:type="dxa"/>
              <w:start w:w="120" w:type="dxa"/>
              <w:bottom w:w="80" w:type="dxa"/>
              <w:end w:w="120" w:type="dxa"/>
            </w:tcMar>
            <w:vAlign w:val="center"/>
            <w:shd w:fill="F4F6F9"/>
          </w:tcPr>
          <w:p>
            <w:pPr>
              <w:keepNext/>
              <w:spacing w:before="0" w:after="60" w:line="240" w:lineRule="auto"/>
            </w:pPr>
            <w:r>
              <w:rPr>
                <w:rFonts w:ascii="Calibri" w:hAnsi="Calibri"/>
                <w:b/>
                <w:color w:val="1F4D78"/>
                <w:sz w:val="17"/>
              </w:rPr>
              <w:t>Exit criterion</w:t>
            </w:r>
          </w:p>
        </w:tc>
        <w:tc>
          <w:tcPr>
            <w:tcW w:type="dxa" w:w="7660"/>
            <w:tcMar>
              <w:top w:w="80" w:type="dxa"/>
              <w:start w:w="120" w:type="dxa"/>
              <w:bottom w:w="80" w:type="dxa"/>
              <w:end w:w="120" w:type="dxa"/>
            </w:tcMar>
            <w:vAlign w:val="center"/>
          </w:tcPr>
          <w:p>
            <w:pPr>
              <w:keepNext/>
              <w:spacing w:before="0" w:after="60" w:line="240" w:lineRule="auto"/>
            </w:pPr>
            <w:r>
              <w:rPr>
                <w:rFonts w:ascii="Calibri" w:hAnsi="Calibri"/>
                <w:sz w:val="17"/>
              </w:rPr>
              <w:t>Examples complete; staging deployment, secret store, migrations, external monitoring and restore evidence remain.</w:t>
            </w:r>
          </w:p>
        </w:tc>
      </w:tr>
      <w:tr>
        <w:trPr>
          <w:cantSplit/>
        </w:trPr>
        <w:tc>
          <w:tcPr>
            <w:tcW w:type="dxa" w:w="1700"/>
            <w:tcMar>
              <w:top w:w="80" w:type="dxa"/>
              <w:start w:w="120" w:type="dxa"/>
              <w:bottom w:w="80" w:type="dxa"/>
              <w:end w:w="120" w:type="dxa"/>
            </w:tcMar>
            <w:vAlign w:val="center"/>
            <w:shd w:fill="F4F6F9"/>
          </w:tcPr>
          <w:p>
            <w:pPr>
              <w:spacing w:before="0" w:after="60" w:line="240" w:lineRule="auto"/>
            </w:pPr>
            <w:r>
              <w:rPr>
                <w:rFonts w:ascii="Calibri" w:hAnsi="Calibri"/>
                <w:b/>
                <w:color w:val="1F4D78"/>
                <w:sz w:val="17"/>
              </w:rPr>
              <w:t>Enhancement seam</w:t>
            </w:r>
          </w:p>
        </w:tc>
        <w:tc>
          <w:tcPr>
            <w:tcW w:type="dxa" w:w="7660"/>
            <w:tcMar>
              <w:top w:w="80" w:type="dxa"/>
              <w:start w:w="120" w:type="dxa"/>
              <w:bottom w:w="80" w:type="dxa"/>
              <w:end w:w="120" w:type="dxa"/>
            </w:tcMar>
            <w:vAlign w:val="center"/>
          </w:tcPr>
          <w:p>
            <w:pPr>
              <w:spacing w:before="0" w:after="60" w:line="240" w:lineRule="auto"/>
            </w:pPr>
            <w:r>
              <w:rPr>
                <w:rFonts w:ascii="Calibri" w:hAnsi="Calibri"/>
                <w:sz w:val="17"/>
              </w:rPr>
              <w:t>Horizontal process replicas before service decomposition.</w:t>
            </w:r>
          </w:p>
        </w:tc>
      </w:tr>
    </w:tbl>
    <w:p>
      <w:pPr>
        <w:pStyle w:val="Heading1"/>
      </w:pPr>
      <w:r>
        <w:t>12. End-to-end code flows</w:t>
      </w:r>
    </w:p>
    <w:p>
      <w:pPr>
        <w:pStyle w:val="Heading2"/>
      </w:pPr>
      <w:r>
        <w:t>Normal morning motion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N01</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QualifiedInput emits Motion after debounce/retrigger gate.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N05/N02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NodeRuntime appends, queues and retries with stable EventKey.</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H01/H02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Callback admits/copies; hub_event_task commits or identifies duplicate.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H04/H05/S02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Contact refreshes coverage; committed motion becomes evidence.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H08/B03</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Outbox replays until backend transaction returns commit ACK.</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6</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B07/A02</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Timeline shows household/location activity and independent freshness.</w:t>
            </w:r>
          </w:p>
        </w:tc>
      </w:tr>
    </w:tbl>
    <w:p>
      <w:pPr>
        <w:pStyle w:val="Heading2"/>
      </w:pPr>
      <w:r>
        <w:t>Covered quiet morning</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H03 timer</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GRACE_ENDED envelope reaches hub_event_task with stable window ID.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H04</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Every required source must cover the eligible interval; otherwise return unknown.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H05/S02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Trusted time + HOME + Covered + no evidence creates one stable decision.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H02/H08</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Persist incident intent locally and sync without duplicate creation.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B03/B04/B05</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Store once, create incident once, route primary then backup at +5 minutes.</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6</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A04/B04</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Caregiver claims, acknowledges and explicitly resolves; motion cannot resolve it.</w:t>
            </w:r>
          </w:p>
        </w:tc>
      </w:tr>
    </w:tbl>
    <w:p>
      <w:pPr>
        <w:pStyle w:val="Heading2"/>
      </w:pPr>
      <w:r>
        <w:t>Call family while WAN is down</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Physical action creates CallFamily event and local saved feedback.</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Reserved business capacity commits before feedback claims saved.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Disconnected state preserves outbox; action does not wait on cloud.</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Reconnect</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CallFamily is prioritized before ordinary historical evidence.</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5</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B04/B05</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Incident/primary/backup jobs are idempotent by stable keys.</w:t>
            </w:r>
          </w:p>
        </w:tc>
      </w:tr>
    </w:tbl>
    <w:p>
      <w:pPr>
        <w:pStyle w:val="Heading2"/>
      </w:pPr>
      <w:r>
        <w:t>Configuration change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A03</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Validate and submit a versioned desired configuration.</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B06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Authorize owner, increment version and expose desired state.</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H08/H07</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Receive command ID/version; hub_event_task validates and atomically swaps snapshot.</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B06/A03</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Applied-version ACK updates status; pending remains visible until then.</w:t>
            </w:r>
          </w:p>
        </w:tc>
      </w:tr>
    </w:tbl>
    <w:p>
      <w:pPr>
        <w:pStyle w:val="Heading2"/>
      </w:pPr>
      <w:r>
        <w:t>Privacy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700"/>
        <w:gridCol w:w="1500"/>
        <w:gridCol w:w="7160"/>
      </w:tblGrid>
      <w:tr>
        <w:trPr>
          <w:cantSplit/>
          <w:tblHeader w:val="true"/>
        </w:trPr>
        <w:tc>
          <w:tcPr>
            <w:tcW w:type="dxa" w:w="7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Step</w:t>
            </w:r>
          </w:p>
        </w:tc>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Owner</w:t>
            </w:r>
          </w:p>
        </w:tc>
        <w:tc>
          <w:tcPr>
            <w:tcW w:type="dxa" w:w="71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Flow / invariant</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1</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H06</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Latching physical switch creates PrivacyOn immediately.</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2</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HubRuntime</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State owner enters privacy; passive events return DISCARDED_POLICY without journal.</w:t>
            </w:r>
          </w:p>
        </w:tc>
      </w:tr>
      <w:tr>
        <w:trPr>
          <w:cantSplit/>
        </w:trPr>
        <w:tc>
          <w:tcPr>
            <w:tcW w:type="dxa" w:w="700"/>
            <w:tcMar>
              <w:top w:w="80" w:type="dxa"/>
              <w:start w:w="120" w:type="dxa"/>
              <w:bottom w:w="80" w:type="dxa"/>
              <w:end w:w="120" w:type="dxa"/>
            </w:tcMar>
            <w:vAlign w:val="center"/>
          </w:tcPr>
          <w:p>
            <w:pPr>
              <w:keepNext/>
              <w:spacing w:before="0" w:after="60" w:line="240" w:lineRule="auto"/>
            </w:pPr>
            <w:r>
              <w:rPr>
                <w:rFonts w:ascii="Calibri" w:hAnsi="Calibri"/>
                <w:sz w:val="16"/>
              </w:rPr>
              <w:t>3</w:t>
            </w:r>
          </w:p>
        </w:tc>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H08/B02</w:t>
            </w:r>
          </w:p>
        </w:tc>
        <w:tc>
          <w:tcPr>
            <w:tcW w:type="dxa" w:w="7160"/>
            <w:tcMar>
              <w:top w:w="80" w:type="dxa"/>
              <w:start w:w="120" w:type="dxa"/>
              <w:bottom w:w="80" w:type="dxa"/>
              <w:end w:w="120" w:type="dxa"/>
            </w:tcMar>
            <w:vAlign w:val="center"/>
          </w:tcPr>
          <w:p>
            <w:pPr>
              <w:keepNext/>
              <w:spacing w:before="0" w:after="60" w:line="240" w:lineRule="auto"/>
            </w:pPr>
            <w:r>
              <w:rPr>
                <w:rFonts w:ascii="Calibri" w:hAnsi="Calibri"/>
                <w:sz w:val="16"/>
              </w:rPr>
              <w:t>Remote state catches up when available; local switch remains authoritative.</w:t>
            </w:r>
          </w:p>
        </w:tc>
      </w:tr>
      <w:tr>
        <w:trPr>
          <w:cantSplit/>
        </w:trPr>
        <w:tc>
          <w:tcPr>
            <w:tcW w:type="dxa" w:w="700"/>
            <w:tcMar>
              <w:top w:w="80" w:type="dxa"/>
              <w:start w:w="120" w:type="dxa"/>
              <w:bottom w:w="80" w:type="dxa"/>
              <w:end w:w="120" w:type="dxa"/>
            </w:tcMar>
            <w:vAlign w:val="center"/>
          </w:tcPr>
          <w:p>
            <w:pPr>
              <w:spacing w:before="0" w:after="60" w:line="240" w:lineRule="auto"/>
            </w:pPr>
            <w:r>
              <w:rPr>
                <w:rFonts w:ascii="Calibri" w:hAnsi="Calibri"/>
                <w:sz w:val="16"/>
              </w:rPr>
              <w:t>4</w:t>
            </w:r>
          </w:p>
        </w:tc>
        <w:tc>
          <w:tcPr>
            <w:tcW w:type="dxa" w:w="1500"/>
            <w:tcMar>
              <w:top w:w="80" w:type="dxa"/>
              <w:start w:w="120" w:type="dxa"/>
              <w:bottom w:w="80" w:type="dxa"/>
              <w:end w:w="120" w:type="dxa"/>
            </w:tcMar>
            <w:vAlign w:val="center"/>
          </w:tcPr>
          <w:p>
            <w:pPr>
              <w:spacing w:before="0" w:after="60" w:line="240" w:lineRule="auto"/>
            </w:pPr>
            <w:r>
              <w:rPr>
                <w:rFonts w:ascii="Calibri" w:hAnsi="Calibri"/>
                <w:sz w:val="16"/>
              </w:rPr>
              <w:t>A02</w:t>
            </w:r>
          </w:p>
        </w:tc>
        <w:tc>
          <w:tcPr>
            <w:tcW w:type="dxa" w:w="7160"/>
            <w:tcMar>
              <w:top w:w="80" w:type="dxa"/>
              <w:start w:w="120" w:type="dxa"/>
              <w:bottom w:w="80" w:type="dxa"/>
              <w:end w:w="120" w:type="dxa"/>
            </w:tcMar>
            <w:vAlign w:val="center"/>
          </w:tcPr>
          <w:p>
            <w:pPr>
              <w:spacing w:before="0" w:after="60" w:line="240" w:lineRule="auto"/>
            </w:pPr>
            <w:r>
              <w:rPr>
                <w:rFonts w:ascii="Calibri" w:hAnsi="Calibri"/>
                <w:sz w:val="16"/>
              </w:rPr>
              <w:t>Dashboard may be stale but must show last known mode/freshness, not activity inference.</w:t>
            </w:r>
          </w:p>
        </w:tc>
      </w:tr>
    </w:tbl>
    <w:p>
      <w:pPr>
        <w:pStyle w:val="Heading1"/>
      </w:pPr>
      <w:r>
        <w:t>13. Build, verification and engineering handoff</w:t>
      </w:r>
    </w:p>
    <w:p>
      <w:pPr>
        <w:pStyle w:val="Heading2"/>
      </w:pPr>
      <w:r>
        <w:t>Reproduce the host result</w:t>
      </w:r>
    </w:p>
    <w:p>
      <w:pPr>
        <w:pStyle w:val="Code"/>
      </w:pPr>
      <w:r>
        <w:t>cd ghar_sajag_reference</w:t>
        <w:br/>
        <w:t>make verify</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500"/>
        <w:gridCol w:w="2900"/>
        <w:gridCol w:w="4960"/>
      </w:tblGrid>
      <w:tr>
        <w:trPr>
          <w:cantSplit/>
          <w:tblHeader w:val="true"/>
        </w:trPr>
        <w:tc>
          <w:tcPr>
            <w:tcW w:type="dxa" w:w="1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Lane</w:t>
            </w:r>
          </w:p>
        </w:tc>
        <w:tc>
          <w:tcPr>
            <w:tcW w:type="dxa" w:w="29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Observed result</w:t>
            </w:r>
          </w:p>
        </w:tc>
        <w:tc>
          <w:tcPr>
            <w:tcW w:type="dxa" w:w="49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Coverage boundary</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Contracts</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3 JSON + OpenAPI structural pass</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No generated binding/golden-vector claim</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C++</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52 assertions; strict C++17 build</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Portable logic only, no ESP-IDF driver</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Simulator</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Motion evidence; one offline replay; no false missing incident</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Single deterministic vertical slice</w:t>
            </w:r>
          </w:p>
        </w:tc>
      </w:tr>
      <w:tr>
        <w:trPr>
          <w:cantSplit/>
        </w:trPr>
        <w:tc>
          <w:tcPr>
            <w:tcW w:type="dxa" w:w="1500"/>
            <w:tcMar>
              <w:top w:w="80" w:type="dxa"/>
              <w:start w:w="120" w:type="dxa"/>
              <w:bottom w:w="80" w:type="dxa"/>
              <w:end w:w="120" w:type="dxa"/>
            </w:tcMar>
            <w:vAlign w:val="center"/>
          </w:tcPr>
          <w:p>
            <w:pPr>
              <w:keepNext/>
              <w:spacing w:before="0" w:after="60" w:line="240" w:lineRule="auto"/>
            </w:pPr>
            <w:r>
              <w:rPr>
                <w:rFonts w:ascii="Calibri" w:hAnsi="Calibri"/>
                <w:sz w:val="16"/>
              </w:rPr>
              <w:t>Python</w:t>
            </w:r>
          </w:p>
        </w:tc>
        <w:tc>
          <w:tcPr>
            <w:tcW w:type="dxa" w:w="2900"/>
            <w:tcMar>
              <w:top w:w="80" w:type="dxa"/>
              <w:start w:w="120" w:type="dxa"/>
              <w:bottom w:w="80" w:type="dxa"/>
              <w:end w:w="120" w:type="dxa"/>
            </w:tcMar>
            <w:vAlign w:val="center"/>
          </w:tcPr>
          <w:p>
            <w:pPr>
              <w:keepNext/>
              <w:spacing w:before="0" w:after="60" w:line="240" w:lineRule="auto"/>
            </w:pPr>
            <w:r>
              <w:rPr>
                <w:rFonts w:ascii="Calibri" w:hAnsi="Calibri"/>
                <w:sz w:val="16"/>
              </w:rPr>
              <w:t>10 unittest cases</w:t>
            </w:r>
          </w:p>
        </w:tc>
        <w:tc>
          <w:tcPr>
            <w:tcW w:type="dxa" w:w="4960"/>
            <w:tcMar>
              <w:top w:w="80" w:type="dxa"/>
              <w:start w:w="120" w:type="dxa"/>
              <w:bottom w:w="80" w:type="dxa"/>
              <w:end w:w="120" w:type="dxa"/>
            </w:tcMar>
            <w:vAlign w:val="center"/>
          </w:tcPr>
          <w:p>
            <w:pPr>
              <w:keepNext/>
              <w:spacing w:before="0" w:after="60" w:line="240" w:lineRule="auto"/>
            </w:pPr>
            <w:r>
              <w:rPr>
                <w:rFonts w:ascii="Calibri" w:hAnsi="Calibri"/>
                <w:sz w:val="16"/>
              </w:rPr>
              <w:t>In-memory repository, no PostgreSQL/provider concurrency</w:t>
            </w:r>
          </w:p>
        </w:tc>
      </w:tr>
      <w:tr>
        <w:trPr>
          <w:cantSplit/>
        </w:trPr>
        <w:tc>
          <w:tcPr>
            <w:tcW w:type="dxa" w:w="1500"/>
            <w:tcMar>
              <w:top w:w="80" w:type="dxa"/>
              <w:start w:w="120" w:type="dxa"/>
              <w:bottom w:w="80" w:type="dxa"/>
              <w:end w:w="120" w:type="dxa"/>
            </w:tcMar>
            <w:vAlign w:val="center"/>
          </w:tcPr>
          <w:p>
            <w:pPr>
              <w:spacing w:before="0" w:after="60" w:line="240" w:lineRule="auto"/>
            </w:pPr>
            <w:r>
              <w:rPr>
                <w:rFonts w:ascii="Calibri" w:hAnsi="Calibri"/>
                <w:sz w:val="16"/>
              </w:rPr>
              <w:t>Node.js</w:t>
            </w:r>
          </w:p>
        </w:tc>
        <w:tc>
          <w:tcPr>
            <w:tcW w:type="dxa" w:w="2900"/>
            <w:tcMar>
              <w:top w:w="80" w:type="dxa"/>
              <w:start w:w="120" w:type="dxa"/>
              <w:bottom w:w="80" w:type="dxa"/>
              <w:end w:w="120" w:type="dxa"/>
            </w:tcMar>
            <w:vAlign w:val="center"/>
          </w:tcPr>
          <w:p>
            <w:pPr>
              <w:spacing w:before="0" w:after="60" w:line="240" w:lineRule="auto"/>
            </w:pPr>
            <w:r>
              <w:rPr>
                <w:rFonts w:ascii="Calibri" w:hAnsi="Calibri"/>
                <w:sz w:val="16"/>
              </w:rPr>
              <w:t>6 app-domain tests</w:t>
            </w:r>
          </w:p>
        </w:tc>
        <w:tc>
          <w:tcPr>
            <w:tcW w:type="dxa" w:w="4960"/>
            <w:tcMar>
              <w:top w:w="80" w:type="dxa"/>
              <w:start w:w="120" w:type="dxa"/>
              <w:bottom w:w="80" w:type="dxa"/>
              <w:end w:w="120" w:type="dxa"/>
            </w:tcMar>
            <w:vAlign w:val="center"/>
          </w:tcPr>
          <w:p>
            <w:pPr>
              <w:spacing w:before="0" w:after="60" w:line="240" w:lineRule="auto"/>
            </w:pPr>
            <w:r>
              <w:rPr>
                <w:rFonts w:ascii="Calibri" w:hAnsi="Calibri"/>
                <w:sz w:val="16"/>
              </w:rPr>
              <w:t>Framework-neutral logic, not complete React/browser matrix</w:t>
            </w:r>
          </w:p>
        </w:tc>
      </w:tr>
    </w:tbl>
    <w:p>
      <w:pPr>
        <w:pStyle w:val="Heading2"/>
      </w:pPr>
      <w:r>
        <w:t>Recommended next implementation order</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800"/>
        <w:gridCol w:w="3550"/>
        <w:gridCol w:w="5010"/>
      </w:tblGrid>
      <w:tr>
        <w:trPr>
          <w:cantSplit/>
          <w:tblHeader w:val="true"/>
        </w:trPr>
        <w:tc>
          <w:tcPr>
            <w:tcW w:type="dxa" w:w="8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Phase</w:t>
            </w:r>
          </w:p>
        </w:tc>
        <w:tc>
          <w:tcPr>
            <w:tcW w:type="dxa" w:w="355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Action</w:t>
            </w:r>
          </w:p>
        </w:tc>
        <w:tc>
          <w:tcPr>
            <w:tcW w:type="dxa" w:w="501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Exit criterion</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A</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Engineer checkout and code walkthrough</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Clean make verify; trace normal and missing flow using this LLD.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B</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Create pinned ESP-IDF hub/C3 projects and adapters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Exact boards build; board profiles and safe pins recorded.</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C</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Wire one PIR node to one hub</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Power-cut/duplicate tests prove persist-before-ACK path.</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D</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Bind all local controls/rules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Privacy, OK, Call, coverage and untrusted-time cases pass on bench.</w:t>
            </w:r>
          </w:p>
        </w:tc>
      </w:tr>
      <w:tr>
        <w:trPr>
          <w:cantSplit/>
        </w:trPr>
        <w:tc>
          <w:tcPr>
            <w:tcW w:type="dxa" w:w="800"/>
            <w:tcMar>
              <w:top w:w="80" w:type="dxa"/>
              <w:start w:w="120" w:type="dxa"/>
              <w:bottom w:w="80" w:type="dxa"/>
              <w:end w:w="120" w:type="dxa"/>
            </w:tcMar>
            <w:vAlign w:val="center"/>
          </w:tcPr>
          <w:p>
            <w:pPr>
              <w:keepNext/>
              <w:spacing w:before="0" w:after="60" w:line="240" w:lineRule="auto"/>
            </w:pPr>
            <w:r>
              <w:rPr>
                <w:rFonts w:ascii="Calibri" w:hAnsi="Calibri"/>
                <w:sz w:val="16"/>
              </w:rPr>
              <w:t>E</w:t>
            </w:r>
          </w:p>
        </w:tc>
        <w:tc>
          <w:tcPr>
            <w:tcW w:type="dxa" w:w="3550"/>
            <w:tcMar>
              <w:top w:w="80" w:type="dxa"/>
              <w:start w:w="120" w:type="dxa"/>
              <w:bottom w:w="80" w:type="dxa"/>
              <w:end w:w="120" w:type="dxa"/>
            </w:tcMar>
            <w:vAlign w:val="center"/>
          </w:tcPr>
          <w:p>
            <w:pPr>
              <w:keepNext/>
              <w:spacing w:before="0" w:after="60" w:line="240" w:lineRule="auto"/>
            </w:pPr>
            <w:r>
              <w:rPr>
                <w:rFonts w:ascii="Calibri" w:hAnsi="Calibri"/>
                <w:sz w:val="16"/>
              </w:rPr>
              <w:t>Replace backend host adapters</w:t>
            </w:r>
          </w:p>
        </w:tc>
        <w:tc>
          <w:tcPr>
            <w:tcW w:type="dxa" w:w="5010"/>
            <w:tcMar>
              <w:top w:w="80" w:type="dxa"/>
              <w:start w:w="120" w:type="dxa"/>
              <w:bottom w:w="80" w:type="dxa"/>
              <w:end w:w="120" w:type="dxa"/>
            </w:tcMar>
            <w:vAlign w:val="center"/>
          </w:tcPr>
          <w:p>
            <w:pPr>
              <w:keepNext/>
              <w:spacing w:before="0" w:after="60" w:line="240" w:lineRule="auto"/>
            </w:pPr>
            <w:r>
              <w:rPr>
                <w:rFonts w:ascii="Calibri" w:hAnsi="Calibri"/>
                <w:sz w:val="16"/>
              </w:rPr>
              <w:t>PostgreSQL/MQTT/OIDC/Web Push staging tests and restore evidence pass.</w:t>
            </w:r>
          </w:p>
        </w:tc>
      </w:tr>
      <w:tr>
        <w:trPr>
          <w:cantSplit/>
        </w:trPr>
        <w:tc>
          <w:tcPr>
            <w:tcW w:type="dxa" w:w="800"/>
            <w:tcMar>
              <w:top w:w="80" w:type="dxa"/>
              <w:start w:w="120" w:type="dxa"/>
              <w:bottom w:w="80" w:type="dxa"/>
              <w:end w:w="120" w:type="dxa"/>
            </w:tcMar>
            <w:vAlign w:val="center"/>
          </w:tcPr>
          <w:p>
            <w:pPr>
              <w:spacing w:before="0" w:after="60" w:line="240" w:lineRule="auto"/>
            </w:pPr>
            <w:r>
              <w:rPr>
                <w:rFonts w:ascii="Calibri" w:hAnsi="Calibri"/>
                <w:sz w:val="16"/>
              </w:rPr>
              <w:t>F</w:t>
            </w:r>
          </w:p>
        </w:tc>
        <w:tc>
          <w:tcPr>
            <w:tcW w:type="dxa" w:w="3550"/>
            <w:tcMar>
              <w:top w:w="80" w:type="dxa"/>
              <w:start w:w="120" w:type="dxa"/>
              <w:bottom w:w="80" w:type="dxa"/>
              <w:end w:w="120" w:type="dxa"/>
            </w:tcMar>
            <w:vAlign w:val="center"/>
          </w:tcPr>
          <w:p>
            <w:pPr>
              <w:spacing w:before="0" w:after="60" w:line="240" w:lineRule="auto"/>
            </w:pPr>
            <w:r>
              <w:rPr>
                <w:rFonts w:ascii="Calibri" w:hAnsi="Calibri"/>
                <w:sz w:val="16"/>
              </w:rPr>
              <w:t>Install four-node household pilot</w:t>
            </w:r>
          </w:p>
        </w:tc>
        <w:tc>
          <w:tcPr>
            <w:tcW w:type="dxa" w:w="5010"/>
            <w:tcMar>
              <w:top w:w="80" w:type="dxa"/>
              <w:start w:w="120" w:type="dxa"/>
              <w:bottom w:w="80" w:type="dxa"/>
              <w:end w:w="120" w:type="dxa"/>
            </w:tcMar>
            <w:vAlign w:val="center"/>
          </w:tcPr>
          <w:p>
            <w:pPr>
              <w:spacing w:before="0" w:after="60" w:line="240" w:lineRule="auto"/>
            </w:pPr>
            <w:r>
              <w:rPr>
                <w:rFonts w:ascii="Calibri" w:hAnsi="Calibri"/>
                <w:sz w:val="16"/>
              </w:rPr>
              <w:t>Placement, power, 72-hour WAN, TEST alert and caregiver comprehension gates pass.</w:t>
            </w:r>
          </w:p>
        </w:tc>
      </w:tr>
    </w:tbl>
    <w:p>
      <w:pPr>
        <w:pStyle w:val="Heading2"/>
      </w:pPr>
      <w:r>
        <w:t>Hardware/provider work queue</w:t>
      </w:r>
    </w:p>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1300"/>
        <w:gridCol w:w="5500"/>
        <w:gridCol w:w="2560"/>
      </w:tblGrid>
      <w:tr>
        <w:trPr>
          <w:cantSplit/>
          <w:tblHeader w:val="true"/>
        </w:trPr>
        <w:tc>
          <w:tcPr>
            <w:tcW w:type="dxa" w:w="13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Gate</w:t>
            </w:r>
          </w:p>
        </w:tc>
        <w:tc>
          <w:tcPr>
            <w:tcW w:type="dxa" w:w="550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Must be measured or integrated</w:t>
            </w:r>
          </w:p>
        </w:tc>
        <w:tc>
          <w:tcPr>
            <w:tcW w:type="dxa" w:w="2560"/>
            <w:tcMar>
              <w:top w:w="80" w:type="dxa"/>
              <w:start w:w="120" w:type="dxa"/>
              <w:bottom w:w="80" w:type="dxa"/>
              <w:end w:w="120" w:type="dxa"/>
            </w:tcMar>
            <w:vAlign w:val="center"/>
            <w:shd w:fill="E8EEF5"/>
          </w:tcPr>
          <w:p>
            <w:pPr>
              <w:keepNext/>
              <w:spacing w:before="0" w:after="60" w:line="240" w:lineRule="auto"/>
            </w:pPr>
            <w:r>
              <w:rPr>
                <w:rFonts w:ascii="Calibri" w:hAnsi="Calibri"/>
                <w:b/>
                <w:color w:val="1F4D78"/>
                <w:sz w:val="16"/>
              </w:rPr>
              <w:t>Blocks</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Board profile</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Exact DevKit V1/C3 schematic, pins, flash, boot straps and leakage</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Firmware wiring freeze</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Power</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Protected cell/pack, charger/power path, current, thermal and transition behavior</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Unattended battery use</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Radio</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Encryption, coexistence/channel change, range, loss and queue occupancy</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Installed four-node claim</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Persistence</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Partition, CRC/commit marker, wear, full storage and repeated cut</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Durable ACK claim</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Cloud identity</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TLS cert lifecycle, broker ACL, OIDC validation and secret store</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Remote pilot</w:t>
            </w:r>
          </w:p>
        </w:tc>
      </w:tr>
      <w:tr>
        <w:trPr>
          <w:cantSplit/>
        </w:trPr>
        <w:tc>
          <w:tcPr>
            <w:tcW w:type="dxa" w:w="1300"/>
            <w:tcMar>
              <w:top w:w="80" w:type="dxa"/>
              <w:start w:w="120" w:type="dxa"/>
              <w:bottom w:w="80" w:type="dxa"/>
              <w:end w:w="120" w:type="dxa"/>
            </w:tcMar>
            <w:vAlign w:val="center"/>
          </w:tcPr>
          <w:p>
            <w:pPr>
              <w:keepNext/>
              <w:spacing w:before="0" w:after="60" w:line="240" w:lineRule="auto"/>
            </w:pPr>
            <w:r>
              <w:rPr>
                <w:rFonts w:ascii="Calibri" w:hAnsi="Calibri"/>
                <w:sz w:val="16"/>
              </w:rPr>
              <w:t>Notification</w:t>
            </w:r>
          </w:p>
        </w:tc>
        <w:tc>
          <w:tcPr>
            <w:tcW w:type="dxa" w:w="5500"/>
            <w:tcMar>
              <w:top w:w="80" w:type="dxa"/>
              <w:start w:w="120" w:type="dxa"/>
              <w:bottom w:w="80" w:type="dxa"/>
              <w:end w:w="120" w:type="dxa"/>
            </w:tcMar>
            <w:vAlign w:val="center"/>
          </w:tcPr>
          <w:p>
            <w:pPr>
              <w:keepNext/>
              <w:spacing w:before="0" w:after="60" w:line="240" w:lineRule="auto"/>
            </w:pPr>
            <w:r>
              <w:rPr>
                <w:rFonts w:ascii="Calibri" w:hAnsi="Calibri"/>
                <w:sz w:val="16"/>
              </w:rPr>
              <w:t>Supported phones, permission, provider acceptance, app receipt and human drill</w:t>
            </w:r>
          </w:p>
        </w:tc>
        <w:tc>
          <w:tcPr>
            <w:tcW w:type="dxa" w:w="2560"/>
            <w:tcMar>
              <w:top w:w="80" w:type="dxa"/>
              <w:start w:w="120" w:type="dxa"/>
              <w:bottom w:w="80" w:type="dxa"/>
              <w:end w:w="120" w:type="dxa"/>
            </w:tcMar>
            <w:vAlign w:val="center"/>
          </w:tcPr>
          <w:p>
            <w:pPr>
              <w:keepNext/>
              <w:spacing w:before="0" w:after="60" w:line="240" w:lineRule="auto"/>
            </w:pPr>
            <w:r>
              <w:rPr>
                <w:rFonts w:ascii="Calibri" w:hAnsi="Calibri"/>
                <w:sz w:val="16"/>
              </w:rPr>
              <w:t>Caregiver routing claim</w:t>
            </w:r>
          </w:p>
        </w:tc>
      </w:tr>
      <w:tr>
        <w:trPr>
          <w:cantSplit/>
        </w:trPr>
        <w:tc>
          <w:tcPr>
            <w:tcW w:type="dxa" w:w="1300"/>
            <w:tcMar>
              <w:top w:w="80" w:type="dxa"/>
              <w:start w:w="120" w:type="dxa"/>
              <w:bottom w:w="80" w:type="dxa"/>
              <w:end w:w="120" w:type="dxa"/>
            </w:tcMar>
            <w:vAlign w:val="center"/>
          </w:tcPr>
          <w:p>
            <w:pPr>
              <w:spacing w:before="0" w:after="60" w:line="240" w:lineRule="auto"/>
            </w:pPr>
            <w:r>
              <w:rPr>
                <w:rFonts w:ascii="Calibri" w:hAnsi="Calibri"/>
                <w:sz w:val="16"/>
              </w:rPr>
              <w:t>OTA</w:t>
            </w:r>
          </w:p>
        </w:tc>
        <w:tc>
          <w:tcPr>
            <w:tcW w:type="dxa" w:w="5500"/>
            <w:tcMar>
              <w:top w:w="80" w:type="dxa"/>
              <w:start w:w="120" w:type="dxa"/>
              <w:bottom w:w="80" w:type="dxa"/>
              <w:end w:w="120" w:type="dxa"/>
            </w:tcMar>
            <w:vAlign w:val="center"/>
          </w:tcPr>
          <w:p>
            <w:pPr>
              <w:spacing w:before="0" w:after="60" w:line="240" w:lineRule="auto"/>
            </w:pPr>
            <w:r>
              <w:rPr>
                <w:rFonts w:ascii="Calibri" w:hAnsi="Calibri"/>
                <w:sz w:val="16"/>
              </w:rPr>
              <w:t>Real cryptographic signature, secure boot, rollback and interrupted update</w:t>
            </w:r>
          </w:p>
        </w:tc>
        <w:tc>
          <w:tcPr>
            <w:tcW w:type="dxa" w:w="2560"/>
            <w:tcMar>
              <w:top w:w="80" w:type="dxa"/>
              <w:start w:w="120" w:type="dxa"/>
              <w:bottom w:w="80" w:type="dxa"/>
              <w:end w:w="120" w:type="dxa"/>
            </w:tcMar>
            <w:vAlign w:val="center"/>
          </w:tcPr>
          <w:p>
            <w:pPr>
              <w:spacing w:before="0" w:after="60" w:line="240" w:lineRule="auto"/>
            </w:pPr>
            <w:r>
              <w:rPr>
                <w:rFonts w:ascii="Calibri" w:hAnsi="Calibri"/>
                <w:sz w:val="16"/>
              </w:rPr>
              <w:t>Remote update</w:t>
            </w:r>
          </w:p>
        </w:tc>
      </w:tr>
    </w:tbl>
    <w:tbl>
      <w:tblPr>
        <w:tblW w:type="dxa" w:w="9360"/>
        <w:jc w:val="left"/>
        <w:tblLayout w:type="fixed"/>
        <w:tblLook w:firstColumn="1" w:firstRow="1" w:lastColumn="0" w:lastRow="0" w:noHBand="0" w:noVBand="1" w:val="04A0"/>
        <w:tblInd w:w="120" w:type="dxa"/>
        <w:tblBorders>
          <w:top w:val="single" w:sz="4" w:color="B8C5D1"/>
          <w:start w:val="single" w:sz="4" w:color="B8C5D1"/>
          <w:bottom w:val="single" w:sz="4" w:color="B8C5D1"/>
          <w:end w:val="single" w:sz="4" w:color="B8C5D1"/>
          <w:insideH w:val="single" w:sz="4" w:color="B8C5D1"/>
          <w:insideV w:val="single" w:sz="4" w:color="B8C5D1"/>
        </w:tblBorders>
      </w:tblPr>
      <w:tblGrid>
        <w:gridCol w:w="9360"/>
      </w:tblGrid>
      <w:tr>
        <w:trPr>
          <w:cantSplit/>
        </w:trPr>
        <w:tc>
          <w:tcPr>
            <w:tcW w:type="dxa" w:w="9360"/>
            <w:tcMar>
              <w:top w:w="80" w:type="dxa"/>
              <w:start w:w="120" w:type="dxa"/>
              <w:bottom w:w="80" w:type="dxa"/>
              <w:end w:w="120" w:type="dxa"/>
            </w:tcMar>
            <w:vAlign w:val="center"/>
            <w:shd w:fill="F4F6F9"/>
          </w:tcPr>
          <w:p>
            <w:pPr>
              <w:spacing w:before="0" w:after="60" w:line="240" w:lineRule="auto"/>
            </w:pPr>
            <w:r>
              <w:rPr>
                <w:rFonts w:ascii="Calibri" w:hAnsi="Calibri"/>
                <w:b/>
                <w:color w:val="1F5E4C"/>
                <w:sz w:val="19"/>
              </w:rPr>
              <w:t>Handoff acceptance: a new engineer can locate every module, run the complete host suite, explain the durable ACK path and the coverage-unknown safety gate, and identify which remaining claims require actual boards or providers.</w:t>
            </w:r>
          </w:p>
        </w:tc>
      </w:tr>
    </w:tbl>
    <w:p>
      <w:r>
        <w:br w:type="page"/>
      </w:r>
    </w:p>
    <w:p>
      <w:pPr>
        <w:pStyle w:val="Heading1"/>
      </w:pPr>
      <w:r>
        <w:t>Logging and runtime diagnostics — implementation addendum</w:t>
      </w:r>
    </w:p>
    <w:p>
      <w:r>
        <w:t>Version 1.1 · 8 September 2026 · Host-verified, hardware binding pending</w:t>
      </w:r>
    </w:p>
    <w:p>
      <w:r>
        <w:t>This addendum defines the diagnostic implementation added to every hardware-independent layer. It is deliberately bounded and privacy-minimising: stable module/event codes are stored, but resident activity payloads, names, tokens, Wi-Fi credentials and raw memory addresses are not.</w:t>
      </w:r>
    </w:p>
    <w:p>
      <w:pPr>
        <w:pStyle w:val="Heading2"/>
      </w:pPr>
      <w:r>
        <w:t>Design goals and non-goals</w:t>
      </w:r>
    </w:p>
    <w:tbl>
      <w:tblPr>
        <w:tblStyle w:val="TableGrid"/>
        <w:tblW w:type="auto" w:w="0"/>
        <w:tblLook w:firstColumn="1" w:firstRow="1" w:lastColumn="0" w:lastRow="0" w:noHBand="0" w:noVBand="1" w:val="04A0"/>
      </w:tblPr>
      <w:tblGrid>
        <w:gridCol w:w="4680"/>
        <w:gridCol w:w="4680"/>
      </w:tblGrid>
      <w:tr>
        <w:tc>
          <w:tcPr>
            <w:tcW w:type="dxa" w:w="4680"/>
            <w:shd w:fill="D9EAF7"/>
          </w:tcPr>
          <w:p>
            <w:r>
              <w:rPr>
                <w:b/>
              </w:rPr>
              <w:t>Goal</w:t>
            </w:r>
          </w:p>
        </w:tc>
        <w:tc>
          <w:tcPr>
            <w:tcW w:type="dxa" w:w="4680"/>
            <w:shd w:fill="D9EAF7"/>
          </w:tcPr>
          <w:p>
            <w:r>
              <w:rPr>
                <w:b/>
              </w:rPr>
              <w:t>Design response</w:t>
            </w:r>
          </w:p>
        </w:tc>
      </w:tr>
      <w:tr>
        <w:tc>
          <w:tcPr>
            <w:tcW w:type="dxa" w:w="4680"/>
          </w:tcPr>
          <w:p>
            <w:r>
              <w:t>Commercial fault evidence</w:t>
            </w:r>
          </w:p>
        </w:tc>
        <w:tc>
          <w:tcPr>
            <w:tcW w:type="dxa" w:w="4680"/>
          </w:tcPr>
          <w:p>
            <w:r>
              <w:t>ERROR is always compiled/available and is used only for flow-breaking failures.</w:t>
            </w:r>
          </w:p>
        </w:tc>
      </w:tr>
      <w:tr>
        <w:tc>
          <w:tcPr>
            <w:tcW w:type="dxa" w:w="4680"/>
          </w:tcPr>
          <w:p>
            <w:r>
              <w:t>Development call-flow</w:t>
            </w:r>
          </w:p>
        </w:tc>
        <w:tc>
          <w:tcPr>
            <w:tcW w:type="dxa" w:w="4680"/>
          </w:tcPr>
          <w:p>
            <w:r>
              <w:t>TRACE is compiled into C++ only with GS_ENABLE_TRACE=1; backend/app tracing is disabled by default.</w:t>
            </w:r>
          </w:p>
        </w:tc>
      </w:tr>
      <w:tr>
        <w:tc>
          <w:tcPr>
            <w:tcW w:type="dxa" w:w="4680"/>
          </w:tcPr>
          <w:p>
            <w:r>
              <w:t>Small memory and storage</w:t>
            </w:r>
          </w:p>
        </w:tc>
        <w:tc>
          <w:tcPr>
            <w:tcW w:type="dxa" w:w="4680"/>
          </w:tcPr>
          <w:p>
            <w:r>
              <w:t>C++ uses a fixed 384-byte stack record; files rotate at 128 KiB with two backups; browser ring holds 128 lines.</w:t>
            </w:r>
          </w:p>
        </w:tc>
      </w:tr>
      <w:tr>
        <w:tc>
          <w:tcPr>
            <w:tcW w:type="dxa" w:w="4680"/>
          </w:tcPr>
          <w:p>
            <w:r>
              <w:t>Failure isolation</w:t>
            </w:r>
          </w:p>
        </w:tc>
        <w:tc>
          <w:tcPr>
            <w:tcW w:type="dxa" w:w="4680"/>
          </w:tcPr>
          <w:p>
            <w:r>
              <w:t>Sink failure never blocks sensing, persistence, rules, acknowledgement or escalation logic.</w:t>
            </w:r>
          </w:p>
        </w:tc>
      </w:tr>
      <w:tr>
        <w:tc>
          <w:tcPr>
            <w:tcW w:type="dxa" w:w="4680"/>
          </w:tcPr>
          <w:p>
            <w:r>
              <w:t>Privacy</w:t>
            </w:r>
          </w:p>
        </w:tc>
        <w:tc>
          <w:tcPr>
            <w:tcW w:type="dxa" w:w="4680"/>
          </w:tcPr>
          <w:p>
            <w:r>
              <w:t>No resident event payloads, secrets, names, exact household history or pointer addresses in diagnostic records.</w:t>
            </w:r>
          </w:p>
        </w:tc>
      </w:tr>
      <w:tr>
        <w:tc>
          <w:tcPr>
            <w:tcW w:type="dxa" w:w="4680"/>
          </w:tcPr>
          <w:p>
            <w:r>
              <w:t>Non-goal</w:t>
            </w:r>
          </w:p>
        </w:tc>
        <w:tc>
          <w:tcPr>
            <w:tcW w:type="dxa" w:w="4680"/>
          </w:tcPr>
          <w:p>
            <w:r>
              <w:t>Logging does not itself detect all memory corruption. Sanitizers and ESP-IDF panic/watchdog/coredump facilities are separate controls.</w:t>
            </w:r>
          </w:p>
        </w:tc>
      </w:tr>
    </w:tbl>
    <w:p>
      <w:pPr>
        <w:pStyle w:val="Heading2"/>
      </w:pPr>
      <w:r>
        <w:t>Interfaces and record contract</w:t>
      </w:r>
    </w:p>
    <w:p>
      <w:r>
        <w:t>C++ modules call GS_ERROR(category, module, event, detail) or GS_TRACE(...). A gs::log::Sink receives a complete bounded line. The host sink appends and rotates text files; the future ESP-IDF sink will use a bounded RAM/RTC or wear-levelled implementation.</w:t>
      </w:r>
    </w:p>
    <w:p>
      <w:r>
        <w:t>Canonical record:</w:t>
      </w:r>
    </w:p>
    <w:p>
      <w:r>
        <w:rPr>
          <w:rFonts w:ascii="Consolas" w:hAnsi="Consolas"/>
          <w:sz w:val="18"/>
        </w:rPr>
        <w:t>level=ERROR category=STORAGE module=H02 event=commit.failed detail=capacity_exhausted</w:t>
      </w:r>
    </w:p>
    <w:p>
      <w:pPr>
        <w:pStyle w:val="Heading2"/>
      </w:pPr>
      <w:r>
        <w:t>Module integration</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Layer</w:t>
            </w:r>
          </w:p>
        </w:tc>
        <w:tc>
          <w:tcPr>
            <w:tcW w:type="dxa" w:w="3120"/>
            <w:shd w:fill="D9EAF7"/>
          </w:tcPr>
          <w:p>
            <w:r>
              <w:rPr>
                <w:b/>
              </w:rPr>
              <w:t>Modules</w:t>
            </w:r>
          </w:p>
        </w:tc>
        <w:tc>
          <w:tcPr>
            <w:tcW w:type="dxa" w:w="3120"/>
            <w:shd w:fill="D9EAF7"/>
          </w:tcPr>
          <w:p>
            <w:r>
              <w:rPr>
                <w:b/>
              </w:rPr>
              <w:t>Instrumentation</w:t>
            </w:r>
          </w:p>
        </w:tc>
      </w:tr>
      <w:tr>
        <w:tc>
          <w:tcPr>
            <w:tcW w:type="dxa" w:w="3120"/>
          </w:tcPr>
          <w:p>
            <w:r>
              <w:t>Node</w:t>
            </w:r>
          </w:p>
        </w:tc>
        <w:tc>
          <w:tcPr>
            <w:tcW w:type="dxa" w:w="3120"/>
          </w:tcPr>
          <w:p>
            <w:r>
              <w:t>N00–N05</w:t>
            </w:r>
          </w:p>
        </w:tc>
        <w:tc>
          <w:tcPr>
            <w:tcW w:type="dxa" w:w="3120"/>
          </w:tcPr>
          <w:p>
            <w:r>
              <w:t>Runtime and all component entry traces; journal/radio capacity failures are ERROR.</w:t>
            </w:r>
          </w:p>
        </w:tc>
      </w:tr>
      <w:tr>
        <w:tc>
          <w:tcPr>
            <w:tcW w:type="dxa" w:w="3120"/>
          </w:tcPr>
          <w:p>
            <w:r>
              <w:t>Hub</w:t>
            </w:r>
          </w:p>
        </w:tc>
        <w:tc>
          <w:tcPr>
            <w:tcW w:type="dxa" w:w="3120"/>
          </w:tcPr>
          <w:p>
            <w:r>
              <w:t>H00–H08</w:t>
            </w:r>
          </w:p>
        </w:tc>
        <w:tc>
          <w:tcPr>
            <w:tcW w:type="dxa" w:w="3120"/>
          </w:tcPr>
          <w:p>
            <w:r>
              <w:t>Runtime and component entry traces; unauthorized/full ingest and full journal are ERROR.</w:t>
            </w:r>
          </w:p>
        </w:tc>
      </w:tr>
      <w:tr>
        <w:tc>
          <w:tcPr>
            <w:tcW w:type="dxa" w:w="3120"/>
          </w:tcPr>
          <w:p>
            <w:r>
              <w:t>Shared/security</w:t>
            </w:r>
          </w:p>
        </w:tc>
        <w:tc>
          <w:tcPr>
            <w:tcW w:type="dxa" w:w="3120"/>
          </w:tcPr>
          <w:p>
            <w:r>
              <w:t>S00–S01</w:t>
            </w:r>
          </w:p>
        </w:tc>
        <w:tc>
          <w:tcPr>
            <w:tcW w:type="dxa" w:w="3120"/>
          </w:tcPr>
          <w:p>
            <w:r>
              <w:t>Rule-flow traces; malformed credential installation is ERROR.</w:t>
            </w:r>
          </w:p>
        </w:tc>
      </w:tr>
      <w:tr>
        <w:tc>
          <w:tcPr>
            <w:tcW w:type="dxa" w:w="3120"/>
          </w:tcPr>
          <w:p>
            <w:r>
              <w:t>Backend</w:t>
            </w:r>
          </w:p>
        </w:tc>
        <w:tc>
          <w:tcPr>
            <w:tcW w:type="dxa" w:w="3120"/>
          </w:tcPr>
          <w:p>
            <w:r>
              <w:t>B01–B12</w:t>
            </w:r>
          </w:p>
        </w:tc>
        <w:tc>
          <w:tcPr>
            <w:tcW w:type="dxa" w:w="3120"/>
          </w:tcPr>
          <w:p>
            <w:r>
              <w:t>Decorator records entry/exit in development and selected uncaught validation/runtime failure types as ERROR.</w:t>
            </w:r>
          </w:p>
        </w:tc>
      </w:tr>
      <w:tr>
        <w:tc>
          <w:tcPr>
            <w:tcW w:type="dxa" w:w="3120"/>
          </w:tcPr>
          <w:p>
            <w:r>
              <w:t>Application</w:t>
            </w:r>
          </w:p>
        </w:tc>
        <w:tc>
          <w:tcPr>
            <w:tcW w:type="dxa" w:w="3120"/>
          </w:tcPr>
          <w:p>
            <w:r>
              <w:t>A01–A05</w:t>
            </w:r>
          </w:p>
        </w:tc>
        <w:tc>
          <w:tcPr>
            <w:tcW w:type="dxa" w:w="3120"/>
          </w:tcPr>
          <w:p>
            <w:r>
              <w:t>Entry traces; authorization/service-request failures are ERROR; 128-line exportable ring.</w:t>
            </w:r>
          </w:p>
        </w:tc>
      </w:tr>
      <w:tr>
        <w:tc>
          <w:tcPr>
            <w:tcW w:type="dxa" w:w="3120"/>
          </w:tcPr>
          <w:p>
            <w:r>
              <w:t>Verification</w:t>
            </w:r>
          </w:p>
        </w:tc>
        <w:tc>
          <w:tcPr>
            <w:tcW w:type="dxa" w:w="3120"/>
          </w:tcPr>
          <w:p>
            <w:r>
              <w:t>T01–T03</w:t>
            </w:r>
          </w:p>
        </w:tc>
        <w:tc>
          <w:tcPr>
            <w:tcW w:type="dxa" w:w="3120"/>
          </w:tcPr>
          <w:p>
            <w:r>
              <w:t>Tests confirm production filtering, development traces and structured text export.</w:t>
            </w:r>
          </w:p>
        </w:tc>
      </w:tr>
    </w:tbl>
    <w:p>
      <w:pPr>
        <w:pStyle w:val="Heading2"/>
      </w:pPr>
      <w:r>
        <w:t>Runtime behaviour</w:t>
      </w:r>
    </w:p>
    <w:p>
      <w:pPr>
        <w:pStyle w:val="ListBullet"/>
      </w:pPr>
      <w:r>
        <w:t>Production boot installs a sink, leaves tracing disabled and immediately flushes ERROR records.</w:t>
      </w:r>
    </w:p>
    <w:p>
      <w:pPr>
        <w:pStyle w:val="ListBullet"/>
      </w:pPr>
      <w:r>
        <w:t>A module emits a stable event code before returning from a critical failure path.</w:t>
      </w:r>
    </w:p>
    <w:p>
      <w:pPr>
        <w:pStyle w:val="ListBullet"/>
      </w:pPr>
      <w:r>
        <w:t>If the record would exceed its bound, it is truncated safely and remains newline-terminated.</w:t>
      </w:r>
    </w:p>
    <w:p>
      <w:pPr>
        <w:pStyle w:val="ListBullet"/>
      </w:pPr>
      <w:r>
        <w:t>When the current text file would exceed 128 KiB, it is renamed to .1; older files advance to .2.</w:t>
      </w:r>
    </w:p>
    <w:p>
      <w:pPr>
        <w:pStyle w:val="ListBullet"/>
      </w:pPr>
      <w:r>
        <w:t>If opening, seeking, rotating or writing the sink fails, product logic continues without retry loops in the critical path.</w:t>
      </w:r>
    </w:p>
    <w:p>
      <w:pPr>
        <w:pStyle w:val="Heading2"/>
      </w:pPr>
      <w:r>
        <w:t>Build and operations</w:t>
      </w:r>
    </w:p>
    <w:tbl>
      <w:tblPr>
        <w:tblStyle w:val="TableGrid"/>
        <w:tblW w:type="auto" w:w="0"/>
        <w:tblLook w:firstColumn="1" w:firstRow="1" w:lastColumn="0" w:lastRow="0" w:noHBand="0" w:noVBand="1" w:val="04A0"/>
      </w:tblPr>
      <w:tblGrid>
        <w:gridCol w:w="4680"/>
        <w:gridCol w:w="4680"/>
      </w:tblGrid>
      <w:tr>
        <w:tc>
          <w:tcPr>
            <w:tcW w:type="dxa" w:w="4680"/>
            <w:shd w:fill="D9EAF7"/>
          </w:tcPr>
          <w:p>
            <w:r>
              <w:rPr>
                <w:b/>
              </w:rPr>
              <w:t>Command / setting</w:t>
            </w:r>
          </w:p>
        </w:tc>
        <w:tc>
          <w:tcPr>
            <w:tcW w:type="dxa" w:w="4680"/>
            <w:shd w:fill="D9EAF7"/>
          </w:tcPr>
          <w:p>
            <w:r>
              <w:rPr>
                <w:b/>
              </w:rPr>
              <w:t>Effect</w:t>
            </w:r>
          </w:p>
        </w:tc>
      </w:tr>
      <w:tr>
        <w:tc>
          <w:tcPr>
            <w:tcW w:type="dxa" w:w="4680"/>
          </w:tcPr>
          <w:p>
            <w:r>
              <w:t>make verify</w:t>
            </w:r>
          </w:p>
        </w:tc>
        <w:tc>
          <w:tcPr>
            <w:tcW w:type="dxa" w:w="4680"/>
          </w:tcPr>
          <w:p>
            <w:r>
              <w:t>Production profile: ERROR retained; C++ TRACE compiled out.</w:t>
            </w:r>
          </w:p>
        </w:tc>
      </w:tr>
      <w:tr>
        <w:tc>
          <w:tcPr>
            <w:tcW w:type="dxa" w:w="4680"/>
          </w:tcPr>
          <w:p>
            <w:r>
              <w:t>make verify-trace</w:t>
            </w:r>
          </w:p>
        </w:tc>
        <w:tc>
          <w:tcPr>
            <w:tcW w:type="dxa" w:w="4680"/>
          </w:tcPr>
          <w:p>
            <w:r>
              <w:t>Development profile: C++ trace enabled and backend GS_TRACE=1.</w:t>
            </w:r>
          </w:p>
        </w:tc>
      </w:tr>
      <w:tr>
        <w:tc>
          <w:tcPr>
            <w:tcW w:type="dxa" w:w="4680"/>
          </w:tcPr>
          <w:p>
            <w:r>
              <w:t>make verify-sanitize</w:t>
            </w:r>
          </w:p>
        </w:tc>
        <w:tc>
          <w:tcPr>
            <w:tcW w:type="dxa" w:w="4680"/>
          </w:tcPr>
          <w:p>
            <w:r>
              <w:t>AddressSanitizer and UndefinedBehaviorSanitizer host checks.</w:t>
            </w:r>
          </w:p>
        </w:tc>
      </w:tr>
      <w:tr>
        <w:tc>
          <w:tcPr>
            <w:tcW w:type="dxa" w:w="4680"/>
          </w:tcPr>
          <w:p>
            <w:r>
              <w:t>python3 tools/logs/analyze_logs.py FILE</w:t>
            </w:r>
          </w:p>
        </w:tc>
        <w:tc>
          <w:tcPr>
            <w:tcW w:type="dxa" w:w="4680"/>
          </w:tcPr>
          <w:p>
            <w:r>
              <w:t>Validates line grammar and summarizes levels/categories/modules/events.</w:t>
            </w:r>
          </w:p>
        </w:tc>
      </w:tr>
    </w:tbl>
    <w:p>
      <w:pPr>
        <w:pStyle w:val="Heading2"/>
      </w:pPr>
      <w:r>
        <w:t>Implemented failure catalogue</w:t>
      </w:r>
    </w:p>
    <w:tbl>
      <w:tblPr>
        <w:tblStyle w:val="TableGrid"/>
        <w:tblW w:type="auto" w:w="0"/>
        <w:tblLook w:firstColumn="1" w:firstRow="1" w:lastColumn="0" w:lastRow="0" w:noHBand="0" w:noVBand="1" w:val="04A0"/>
      </w:tblPr>
      <w:tblGrid>
        <w:gridCol w:w="3120"/>
        <w:gridCol w:w="3120"/>
        <w:gridCol w:w="3120"/>
      </w:tblGrid>
      <w:tr>
        <w:tc>
          <w:tcPr>
            <w:tcW w:type="dxa" w:w="3120"/>
            <w:shd w:fill="D9EAF7"/>
          </w:tcPr>
          <w:p>
            <w:r>
              <w:rPr>
                <w:b/>
              </w:rPr>
              <w:t>Event</w:t>
            </w:r>
          </w:p>
        </w:tc>
        <w:tc>
          <w:tcPr>
            <w:tcW w:type="dxa" w:w="3120"/>
            <w:shd w:fill="D9EAF7"/>
          </w:tcPr>
          <w:p>
            <w:r>
              <w:rPr>
                <w:b/>
              </w:rPr>
              <w:t>Meaning</w:t>
            </w:r>
          </w:p>
        </w:tc>
        <w:tc>
          <w:tcPr>
            <w:tcW w:type="dxa" w:w="3120"/>
            <w:shd w:fill="D9EAF7"/>
          </w:tcPr>
          <w:p>
            <w:r>
              <w:rPr>
                <w:b/>
              </w:rPr>
              <w:t>Operator hint</w:t>
            </w:r>
          </w:p>
        </w:tc>
      </w:tr>
      <w:tr>
        <w:tc>
          <w:tcPr>
            <w:tcW w:type="dxa" w:w="3120"/>
          </w:tcPr>
          <w:p>
            <w:r>
              <w:t>N00 record.failed</w:t>
            </w:r>
          </w:p>
        </w:tc>
        <w:tc>
          <w:tcPr>
            <w:tcW w:type="dxa" w:w="3120"/>
          </w:tcPr>
          <w:p>
            <w:r>
              <w:t>Node journal or transmit queue cannot accept an event.</w:t>
            </w:r>
          </w:p>
        </w:tc>
        <w:tc>
          <w:tcPr>
            <w:tcW w:type="dxa" w:w="3120"/>
          </w:tcPr>
          <w:p>
            <w:r>
              <w:t>Inspect capacity, acknowledgement flow and radio availability.</w:t>
            </w:r>
          </w:p>
        </w:tc>
      </w:tr>
      <w:tr>
        <w:tc>
          <w:tcPr>
            <w:tcW w:type="dxa" w:w="3120"/>
          </w:tcPr>
          <w:p>
            <w:r>
              <w:t>N02 enqueue.failed / N05 append.failed</w:t>
            </w:r>
          </w:p>
        </w:tc>
        <w:tc>
          <w:tcPr>
            <w:tcW w:type="dxa" w:w="3120"/>
          </w:tcPr>
          <w:p>
            <w:r>
              <w:t>Bounded node storage exhausted.</w:t>
            </w:r>
          </w:p>
        </w:tc>
        <w:tc>
          <w:tcPr>
            <w:tcW w:type="dxa" w:w="3120"/>
          </w:tcPr>
          <w:p>
            <w:r>
              <w:t>Look for missing durable acknowledgements or prolonged outage.</w:t>
            </w:r>
          </w:p>
        </w:tc>
      </w:tr>
      <w:tr>
        <w:tc>
          <w:tcPr>
            <w:tcW w:type="dxa" w:w="3120"/>
          </w:tcPr>
          <w:p>
            <w:r>
              <w:t>H01 ingest.rejected</w:t>
            </w:r>
          </w:p>
        </w:tc>
        <w:tc>
          <w:tcPr>
            <w:tcW w:type="dxa" w:w="3120"/>
          </w:tcPr>
          <w:p>
            <w:r>
              <w:t>Peer is unauthorized or ingest queue is full.</w:t>
            </w:r>
          </w:p>
        </w:tc>
        <w:tc>
          <w:tcPr>
            <w:tcW w:type="dxa" w:w="3120"/>
          </w:tcPr>
          <w:p>
            <w:r>
              <w:t>Check pairing/session; if full, inspect state-owner starvation.</w:t>
            </w:r>
          </w:p>
        </w:tc>
      </w:tr>
      <w:tr>
        <w:tc>
          <w:tcPr>
            <w:tcW w:type="dxa" w:w="3120"/>
          </w:tcPr>
          <w:p>
            <w:r>
              <w:t>H00 event.rejected / H02 commit.failed</w:t>
            </w:r>
          </w:p>
        </w:tc>
        <w:tc>
          <w:tcPr>
            <w:tcW w:type="dxa" w:w="3120"/>
          </w:tcPr>
          <w:p>
            <w:r>
              <w:t>Hub journal cannot durably accept event.</w:t>
            </w:r>
          </w:p>
        </w:tc>
        <w:tc>
          <w:tcPr>
            <w:tcW w:type="dxa" w:w="3120"/>
          </w:tcPr>
          <w:p>
            <w:r>
              <w:t>Stop claiming durable acceptance; inspect storage health/capacity.</w:t>
            </w:r>
          </w:p>
        </w:tc>
      </w:tr>
      <w:tr>
        <w:tc>
          <w:tcPr>
            <w:tcW w:type="dxa" w:w="3120"/>
          </w:tcPr>
          <w:p>
            <w:r>
              <w:t>S01 credential.rejected</w:t>
            </w:r>
          </w:p>
        </w:tc>
        <w:tc>
          <w:tcPr>
            <w:tcW w:type="dxa" w:w="3120"/>
          </w:tcPr>
          <w:p>
            <w:r>
              <w:t>Credential fields are unusable.</w:t>
            </w:r>
          </w:p>
        </w:tc>
        <w:tc>
          <w:tcPr>
            <w:tcW w:type="dxa" w:w="3120"/>
          </w:tcPr>
          <w:p>
            <w:r>
              <w:t>Reject provisioning input without logging key material.</w:t>
            </w:r>
          </w:p>
        </w:tc>
      </w:tr>
      <w:tr>
        <w:tc>
          <w:tcPr>
            <w:tcW w:type="dxa" w:w="3120"/>
          </w:tcPr>
          <w:p>
            <w:r>
              <w:t>A05 request.failed</w:t>
            </w:r>
          </w:p>
        </w:tc>
        <w:tc>
          <w:tcPr>
            <w:tcW w:type="dxa" w:w="3120"/>
          </w:tcPr>
          <w:p>
            <w:r>
              <w:t>Authorization or backend service response failed.</w:t>
            </w:r>
          </w:p>
        </w:tc>
        <w:tc>
          <w:tcPr>
            <w:tcW w:type="dxa" w:w="3120"/>
          </w:tcPr>
          <w:p>
            <w:r>
              <w:t>Correlate status class; never log bearer token or body.</w:t>
            </w:r>
          </w:p>
        </w:tc>
      </w:tr>
    </w:tbl>
    <w:p>
      <w:pPr>
        <w:pStyle w:val="Heading2"/>
      </w:pPr>
      <w:r>
        <w:t>Verification and remaining hardware work</w:t>
      </w:r>
    </w:p>
    <w:p>
      <w:pPr>
        <w:pStyle w:val="ListBullet"/>
      </w:pPr>
      <w:r>
        <w:t>Passed: production suite—54 C++, 12 Python and 7 JavaScript tests, contracts and simulator.</w:t>
      </w:r>
    </w:p>
    <w:p>
      <w:pPr>
        <w:pStyle w:val="ListBullet"/>
      </w:pPr>
      <w:r>
        <w:t>Passed: development trace suite; C++ coverage N00–N05, H00–H08 and S00–S01.</w:t>
      </w:r>
    </w:p>
    <w:p>
      <w:pPr>
        <w:pStyle w:val="ListBullet"/>
      </w:pPr>
      <w:r>
        <w:t>Passed: host AddressSanitizer and UndefinedBehaviorSanitizer.</w:t>
      </w:r>
    </w:p>
    <w:p>
      <w:pPr>
        <w:pStyle w:val="ListBullet"/>
      </w:pPr>
      <w:r>
        <w:t>Pending hardware: ESP32 sink, coredumps, concurrency, wear, brown-out and footprint tests.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6672"/>
        <w:sz w:val="18"/>
      </w:rPr>
      <w:t xml:space="preserve">Page </w:t>
    </w:r>
    <w:r>
      <w:rPr>
        <w:rFonts w:ascii="Calibri" w:hAnsi="Calibri"/>
        <w:color w:val="596672"/>
        <w:sz w:val="18"/>
      </w:rPr>
      <w:fldChar w:fldCharType="begin"/>
    </w:r>
    <w:r>
      <w:rPr>
        <w:rFonts w:ascii="Calibri" w:hAnsi="Calibri"/>
        <w:color w:val="596672"/>
        <w:sz w:val="18"/>
      </w:rPr>
      <w:instrText xml:space="preserve"> PAGE </w:instrText>
    </w:r>
    <w:r>
      <w:rPr>
        <w:rFonts w:ascii="Calibri" w:hAnsi="Calibri"/>
        <w:color w:val="596672"/>
        <w:sz w:val="18"/>
      </w:rPr>
      <w:fldChar w:fldCharType="separate"/>
    </w:r>
    <w:r>
      <w:rPr>
        <w:rFonts w:ascii="Calibri" w:hAnsi="Calibri"/>
        <w:color w:val="596672"/>
        <w:sz w:val="18"/>
      </w:rPr>
      <w:t>1</w:t>
    </w:r>
    <w:r>
      <w:rPr>
        <w:rFonts w:ascii="Calibri" w:hAnsi="Calibri"/>
        <w:color w:val="596672"/>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96672"/>
        <w:sz w:val="17"/>
      </w:rPr>
      <w:t>GHAR SAJAG  /  HARDWARE-INDEPENDENT LOW-LEVEL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120" w:line="240" w:lineRule="auto"/>
      <w:ind w:left="259" w:right="259"/>
    </w:pPr>
    <w:rPr>
      <w:rFonts w:ascii="Liberation Mono" w:hAnsi="Liberation Mono"/>
      <w:color w:val="0B254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Ghar Sajag Hardware-Independent Low-Level Design v1.0</dc:title>
  <dc:subject>Code-linked design for 32 logical modules</dc:subject>
  <dc:creator>Ghar Sajag engineering baseline</dc:creator>
  <cp:keywords/>
  <dc:description>generated by python-docx</dc:description>
  <cp:lastModifiedBy/>
  <cp:revision>1</cp:revision>
  <dcterms:created xsi:type="dcterms:W3CDTF">2013-12-23T23:15:00Z</dcterms:created>
  <dcterms:modified xsi:type="dcterms:W3CDTF">2013-12-23T23:15:00Z</dcterms:modified>
  <cp:category/>
</cp:coreProperties>
</file>