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icro"/>
      </w:pPr>
      <w:r>
        <w:t>PRODUCT REQUIREMENTS + DETAILED SOFTWARE DESIGN</w:t>
      </w:r>
    </w:p>
    <w:p>
      <w:pPr>
        <w:pStyle w:val="Title"/>
      </w:pPr>
      <w:r>
        <w:t>Ghar Sajag</w:t>
        <w:br/>
        <w:t>Family Check-in &amp; Home Risk</w:t>
      </w:r>
    </w:p>
    <w:p>
      <w:pPr>
        <w:pStyle w:val="Subtitle"/>
      </w:pPr>
      <w:r>
        <w:t>Complete P0 engineering specification</w:t>
      </w:r>
    </w:p>
    <w:p>
      <w:pPr>
        <w:pStyle w:val="Micro"/>
      </w:pPr>
      <w:r>
        <w:t>Prepared for Rahul Rathor • 7 September 2026 • Version 1.2</w:t>
      </w:r>
    </w:p>
    <w:p>
      <w:pPr>
        <w:pStyle w:val="Heading2"/>
      </w:pPr>
      <w:r>
        <w:t>Build the check-in workflow. Make uncertainty visible.</w:t>
      </w:r>
    </w:p>
    <w:p>
      <w:pPr/>
      <w:r>
        <w:t>A camera-free household-awareness product for families supporting one or two consenting older residents. This specification translates the startup blueprint, field-layout decisions and competitor-informed P0 review into implementable requirements, interfaces, module boundaries and release tests.</w:t>
      </w:r>
    </w:p>
    <w:tbl>
      <w:tblPr>
        <w:tblW w:type="dxa" w:w="9360"/>
        <w:tblLayout w:type="fixed"/>
        <w:tblLook w:firstColumn="1" w:firstRow="1" w:lastColumn="0" w:lastRow="0" w:noHBand="0" w:noVBand="1" w:val="04A0"/>
        <w:jc w:val="left"/>
        <w:tblInd w:type="dxa" w:w="120"/>
        <w:tblBorders>
          <w:top w:val="single" w:sz="4" w:color="B8C5D1" w:space="0"/>
          <w:left w:val="single" w:sz="4" w:color="B8C5D1" w:space="0"/>
          <w:bottom w:val="single" w:sz="4" w:color="B8C5D1" w:space="0"/>
          <w:right w:val="single" w:sz="4" w:color="B8C5D1" w:space="0"/>
          <w:insideH w:val="single" w:sz="4" w:color="B8C5D1" w:space="0"/>
          <w:insideV w:val="single" w:sz="4" w:color="B8C5D1" w:space="0"/>
        </w:tblBorders>
      </w:tblPr>
      <w:tblGrid>
        <w:gridCol w:w="2700"/>
        <w:gridCol w:w="6660"/>
      </w:tblGrid>
      <w:tr>
        <w:trPr>
          <w:cantSplit/>
          <w:tblHeader/>
          <w:cantSplit/>
          <w:tblHeader w:val="true"/>
        </w:trPr>
        <w:tc>
          <w:tcPr>
            <w:tcW w:type="dxa" w:w="27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8"/>
              </w:rPr>
              <w:t>Baseline</w:t>
            </w:r>
          </w:p>
        </w:tc>
        <w:tc>
          <w:tcPr>
            <w:tcW w:type="dxa" w:w="66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8"/>
              </w:rPr>
              <w:t>Decision</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Feature scope</w:t>
            </w:r>
          </w:p>
        </w:tc>
        <w:tc>
          <w:tcPr>
            <w:tcW w:type="dxa" w:w="6660"/>
            <w:tcMar>
              <w:top w:w="80" w:type="dxa"/>
              <w:bottom w:w="80" w:type="dxa"/>
              <w:start w:w="120" w:type="dxa"/>
              <w:end w:w="120" w:type="dxa"/>
            </w:tcMar>
            <w:vAlign w:val="center"/>
          </w:tcPr>
          <w:p>
            <w:pPr>
              <w:pStyle w:val="TableText"/>
              <w:spacing w:before="0" w:after="60" w:line="240" w:lineRule="auto"/>
            </w:pPr>
            <w:r>
              <w:rPr>
                <w:rFonts w:ascii="Calibri" w:hAnsi="Calibri"/>
                <w:sz w:val="18"/>
              </w:rPr>
              <w:t>24 P0 features: 14 resident/caregiver features + 10 engineering capabilities.</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Software structure</w:t>
            </w:r>
          </w:p>
        </w:tc>
        <w:tc>
          <w:tcPr>
            <w:tcW w:type="dxa" w:w="6660"/>
            <w:tcMar>
              <w:top w:w="80" w:type="dxa"/>
              <w:bottom w:w="80" w:type="dxa"/>
              <w:start w:w="120" w:type="dxa"/>
              <w:end w:w="120" w:type="dxa"/>
            </w:tcMar>
            <w:vAlign w:val="center"/>
          </w:tcPr>
          <w:p>
            <w:pPr>
              <w:pStyle w:val="TableText"/>
              <w:spacing w:before="0" w:after="60" w:line="240" w:lineRule="auto"/>
            </w:pPr>
            <w:r>
              <w:rPr>
                <w:rFonts w:ascii="Calibri" w:hAnsi="Calibri"/>
                <w:sz w:val="18"/>
              </w:rPr>
              <w:t>32 logical modules in one proposed monorepo; no microservice requirement for the pilot.</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One-home hardware</w:t>
            </w:r>
          </w:p>
        </w:tc>
        <w:tc>
          <w:tcPr>
            <w:tcW w:type="dxa" w:w="6660"/>
            <w:tcMar>
              <w:top w:w="80" w:type="dxa"/>
              <w:bottom w:w="80" w:type="dxa"/>
              <w:start w:w="120" w:type="dxa"/>
              <w:end w:w="120" w:type="dxa"/>
            </w:tcMar>
            <w:vAlign w:val="center"/>
          </w:tcPr>
          <w:p>
            <w:pPr>
              <w:spacing w:before="0" w:after="60" w:line="240" w:lineRule="auto"/>
            </w:pPr>
            <w:r>
              <w:rPr>
                <w:rFonts w:ascii="Calibri" w:hAnsi="Calibri"/>
                <w:sz w:val="18"/>
              </w:rPr>
              <w:t>1 ESP32 DevKit V1 hub + 4 ESP32-C3 nodes with configurable PIR/reed capabilities; two resident action buttons and a local privacy switch. Exact board variants and GPIO profiles must be verified before wiring freeze.</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Intelligence</w:t>
            </w:r>
          </w:p>
        </w:tc>
        <w:tc>
          <w:tcPr>
            <w:tcW w:type="dxa" w:w="6660"/>
            <w:tcMar>
              <w:top w:w="80" w:type="dxa"/>
              <w:bottom w:w="80" w:type="dxa"/>
              <w:start w:w="120" w:type="dxa"/>
              <w:end w:w="120" w:type="dxa"/>
            </w:tcMar>
            <w:vAlign w:val="center"/>
          </w:tcPr>
          <w:p>
            <w:pPr>
              <w:pStyle w:val="TableText"/>
              <w:spacing w:before="0" w:after="60" w:line="240" w:lineRule="auto"/>
            </w:pPr>
            <w:r>
              <w:rPr>
                <w:rFonts w:ascii="Calibri" w:hAnsi="Calibri"/>
                <w:sz w:val="18"/>
              </w:rPr>
              <w:t>Configured local rules in P0. No LLM, camera capture, microphone capture or cloud inference in the decision path.</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Power recommendation</w:t>
            </w:r>
          </w:p>
        </w:tc>
        <w:tc>
          <w:tcPr>
            <w:tcW w:type="dxa" w:w="6660"/>
            <w:tcMar>
              <w:top w:w="80" w:type="dxa"/>
              <w:bottom w:w="80" w:type="dxa"/>
              <w:start w:w="120" w:type="dxa"/>
              <w:end w:w="120" w:type="dxa"/>
            </w:tcMar>
            <w:vAlign w:val="center"/>
          </w:tcPr>
          <w:p>
            <w:pPr>
              <w:spacing w:before="0" w:after="60" w:line="240" w:lineRule="auto"/>
            </w:pPr>
            <w:r>
              <w:rPr>
                <w:rFonts w:ascii="Calibri" w:hAnsi="Calibri"/>
                <w:sz w:val="18"/>
              </w:rPr>
              <w:t>Rechargeable C3 nodes; hub normally powered by 5 V USB with tested rechargeable backup. A two-cell shield is acceptable for bench work only after polarity, cell matching and supply-transition tests; the commercial power path remains a separate hardware qualification decision.</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Status</w:t>
            </w:r>
          </w:p>
        </w:tc>
        <w:tc>
          <w:tcPr>
            <w:tcW w:type="dxa" w:w="6660"/>
            <w:tcMar>
              <w:top w:w="80" w:type="dxa"/>
              <w:bottom w:w="80" w:type="dxa"/>
              <w:start w:w="120" w:type="dxa"/>
              <w:end w:w="120" w:type="dxa"/>
            </w:tcMar>
            <w:vAlign w:val="center"/>
          </w:tcPr>
          <w:p>
            <w:r>
              <w:t>Hardware-independent reference implementation delivered and host-tested: 52 C++ checks, 10 backend tests, 6 app-domain tests, contract validation and one offline-replay simulator pass. GPIO, RF, flash, power, TLS/MQTT, OIDC, Web Push, OTA and field gates remain unverified.</w:t>
            </w:r>
          </w:p>
        </w:tc>
      </w:tr>
    </w:tbl>
    <w:p>
      <w:pPr>
        <w:pStyle w:val="TableSpacer"/>
      </w:pPr>
    </w:p>
    <w:p>
      <w:pPr>
        <w:pStyle w:val="SpecBody"/>
      </w:pPr>
      <w:r>
        <w:t>Critical product boundary: activity observed ≠ resident identified ≠ self-reported check-in ≠ medical safety. Remote contact depends on power, connectivity, notification permissions and a willing human responder. The product is not an emergency-response or medical-monitoring substitute.</w:t>
      </w:r>
    </w:p>
    <w:p>
      <w:bookmarkStart w:id="1" w:name="scope"/>
      <w:pPr>
        <w:pStyle w:val="Heading1"/>
        <w:pageBreakBefore/>
      </w:pPr>
      <w:r>
        <w:t>1. Reading map, scope and decisions</w:t>
      </w:r>
      <w:bookmarkEnd w:id="1"/>
    </w:p>
    <w:p>
      <w:pPr>
        <w:pStyle w:val="Contents"/>
      </w:pPr>
      <w:hyperlink w:anchor="scope">
        <w:r>
          <w:rPr>
            <w:color w:val="2E74B5"/>
          </w:rPr>
          <w:t>1. Scope, assumptions and morning routines</w:t>
        </w:r>
      </w:hyperlink>
    </w:p>
    <w:p>
      <w:pPr>
        <w:pStyle w:val="Contents"/>
      </w:pPr>
      <w:hyperlink w:anchor="catalog">
        <w:r>
          <w:rPr>
            <w:color w:val="2E74B5"/>
          </w:rPr>
          <w:t>2. Complete P0 catalogue</w:t>
        </w:r>
      </w:hyperlink>
    </w:p>
    <w:p>
      <w:pPr>
        <w:pStyle w:val="Contents"/>
      </w:pPr>
      <w:hyperlink w:anchor="architecture">
        <w:r>
          <w:rPr>
            <w:color w:val="2E74B5"/>
          </w:rPr>
          <w:t>3. Architecture, ownership and module model</w:t>
        </w:r>
      </w:hyperlink>
    </w:p>
    <w:p>
      <w:pPr>
        <w:pStyle w:val="Contents"/>
      </w:pPr>
      <w:hyperlink w:anchor="hardware">
        <w:r>
          <w:rPr>
            <w:color w:val="2E74B5"/>
          </w:rPr>
          <w:t>4. Hardware, GPIO contracts and battery design</w:t>
        </w:r>
      </w:hyperlink>
    </w:p>
    <w:p>
      <w:pPr>
        <w:pStyle w:val="Contents"/>
      </w:pPr>
      <w:hyperlink w:anchor="communications">
        <w:r>
          <w:rPr>
            <w:color w:val="2E74B5"/>
          </w:rPr>
          <w:t>5. Communication contracts and scenarios</w:t>
        </w:r>
      </w:hyperlink>
    </w:p>
    <w:p>
      <w:pPr>
        <w:pStyle w:val="Contents"/>
      </w:pPr>
      <w:hyperlink w:anchor="state">
        <w:r>
          <w:rPr>
            <w:color w:val="2E74B5"/>
          </w:rPr>
          <w:t>6. State, time and persistence design</w:t>
        </w:r>
      </w:hyperlink>
    </w:p>
    <w:p>
      <w:pPr>
        <w:pStyle w:val="Contents"/>
      </w:pPr>
      <w:hyperlink w:anchor="data">
        <w:r>
          <w:rPr>
            <w:color w:val="2E74B5"/>
          </w:rPr>
          <w:t>7. Data model, APIs and security</w:t>
        </w:r>
      </w:hyperlink>
    </w:p>
    <w:p>
      <w:pPr>
        <w:pStyle w:val="Contents"/>
      </w:pPr>
      <w:hyperlink w:anchor="F01">
        <w:r>
          <w:rPr>
            <w:color w:val="2E74B5"/>
          </w:rPr>
          <w:t>8. Detailed designs — F01 to F14</w:t>
        </w:r>
      </w:hyperlink>
    </w:p>
    <w:p>
      <w:pPr>
        <w:pStyle w:val="Contents"/>
      </w:pPr>
      <w:hyperlink w:anchor="E01">
        <w:r>
          <w:rPr>
            <w:color w:val="2E74B5"/>
          </w:rPr>
          <w:t>9. Detailed designs — E01 to E10</w:t>
        </w:r>
      </w:hyperlink>
    </w:p>
    <w:p>
      <w:pPr>
        <w:pStyle w:val="Contents"/>
      </w:pPr>
      <w:hyperlink w:anchor="verification">
        <w:r>
          <w:rPr>
            <w:color w:val="2E74B5"/>
          </w:rPr>
          <w:t>10. Verification and release exit criteria</w:t>
        </w:r>
      </w:hyperlink>
    </w:p>
    <w:p>
      <w:pPr>
        <w:pStyle w:val="Contents"/>
      </w:pPr>
      <w:hyperlink w:anchor="scale">
        <w:r>
          <w:rPr>
            <w:color w:val="2E74B5"/>
          </w:rPr>
          <w:t>11. Scalability, deployment and operations</w:t>
        </w:r>
      </w:hyperlink>
    </w:p>
    <w:p>
      <w:pPr>
        <w:pStyle w:val="Contents"/>
      </w:pPr>
      <w:hyperlink w:anchor="roadmap">
        <w:r>
          <w:rPr>
            <w:color w:val="2E74B5"/>
          </w:rPr>
          <w:t>12. Delivery plan, costs and enhancement scope</w:t>
        </w:r>
      </w:hyperlink>
    </w:p>
    <w:p>
      <w:pPr>
        <w:pStyle w:val="Contents"/>
      </w:pPr>
      <w:r>
        <w:t>Appendix A. Implemented module/file manifest</w:t>
      </w:r>
    </w:p>
    <w:p>
      <w:pPr>
        <w:pStyle w:val="Contents"/>
      </w:pPr>
      <w:r>
        <w:t>Appendix B. Decisions, glossary and sources • Appendix C. v1.2 implementation handoff</w:t>
      </w:r>
    </w:p>
    <w:p>
      <w:pPr>
        <w:pStyle w:val="Heading2"/>
      </w:pPr>
      <w:r>
        <w:t>Authority and interpretation</w:t>
      </w:r>
    </w:p>
    <w:p>
      <w:pPr/>
      <w:r>
        <w:t>“Shall” denotes a proposed P0 acceptance requirement. “Default” is a configurable starting value. “Target” requires measurement. “Future” is excluded from the P0 estimate. This document supersedes ambiguous P0 details in the earlier conversation and complements the startup blueprint’s market analysis. Appendix A now maps the 32 logical modules to the delivered hardware-independent reference implementation. Physical-device, provider and production-deployment gates remain explicitly unverified.</w:t>
      </w:r>
    </w:p>
    <w:p>
      <w:pPr>
        <w:pStyle w:val="Heading1"/>
      </w:pPr>
      <w:r>
        <w:t>Revision 1.2 — hardware-independent implementation record</w:t>
      </w:r>
    </w:p>
    <w:p>
      <w:pPr>
        <w:spacing w:after="60" w:line="259" w:lineRule="auto"/>
      </w:pPr>
      <w:r>
        <w:t>Authority: v1.2 preserves all 24 requirement IDs, their acceptance intent and the 32-module architecture. It supersedes v1.1 only for implementation status and actual source paths. The accompanying v1.0 reference package is a host-tested baseline, not released firmware or a production cloud service.</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700"/>
        <w:gridCol w:w="6660"/>
      </w:tblGrid>
      <w:tr>
        <w:trPr>
          <w:cantSplit/>
          <w:tblHeader w:val="true"/>
        </w:trPr>
        <w:tc>
          <w:tcPr>
            <w:tcW w:type="dxa" w:w="2700"/>
            <w:vAlign w:val="center"/>
            <w:shd w:fill="E8EEF5"/>
          </w:tcPr>
          <w:p>
            <w:pPr>
              <w:spacing w:before="0" w:after="60" w:line="240" w:lineRule="auto"/>
            </w:pPr>
            <w:r>
              <w:rPr>
                <w:rFonts w:ascii="Calibri" w:hAnsi="Calibri"/>
                <w:b/>
                <w:color w:val="1F4D78"/>
                <w:sz w:val="18"/>
              </w:rPr>
              <w:t>Approved change</w:t>
            </w:r>
          </w:p>
        </w:tc>
        <w:tc>
          <w:tcPr>
            <w:tcW w:type="dxa" w:w="6660"/>
            <w:vAlign w:val="center"/>
            <w:shd w:fill="E8EEF5"/>
          </w:tcPr>
          <w:p>
            <w:r>
              <w:t>Current decision</w:t>
            </w:r>
          </w:p>
        </w:tc>
      </w:tr>
      <w:tr>
        <w:trPr>
          <w:cantSplit/>
        </w:trPr>
        <w:tc>
          <w:tcPr>
            <w:tcW w:type="dxa" w:w="2700"/>
            <w:vAlign w:val="center"/>
          </w:tcPr>
          <w:p>
            <w:pPr>
              <w:spacing w:before="0" w:after="60" w:line="240" w:lineRule="auto"/>
            </w:pPr>
            <w:r>
              <w:rPr>
                <w:rFonts w:ascii="Calibri" w:hAnsi="Calibri"/>
                <w:sz w:val="18"/>
              </w:rPr>
              <w:t>Product name</w:t>
            </w:r>
          </w:p>
        </w:tc>
        <w:tc>
          <w:tcPr>
            <w:tcW w:type="dxa" w:w="6660"/>
            <w:vAlign w:val="center"/>
          </w:tcPr>
          <w:p>
            <w:pPr>
              <w:spacing w:before="0" w:after="60" w:line="240" w:lineRule="auto"/>
            </w:pPr>
            <w:r>
              <w:rPr>
                <w:rFonts w:ascii="Calibri" w:hAnsi="Calibri"/>
                <w:sz w:val="18"/>
              </w:rPr>
              <w:t>Use Ghar Sajag. “Family Check-in &amp; Home Risk” remains the engineering problem-domain subtitle.</w:t>
            </w:r>
          </w:p>
        </w:tc>
      </w:tr>
      <w:tr>
        <w:trPr>
          <w:cantSplit/>
        </w:trPr>
        <w:tc>
          <w:tcPr>
            <w:tcW w:type="dxa" w:w="2700"/>
            <w:vAlign w:val="center"/>
          </w:tcPr>
          <w:p>
            <w:pPr>
              <w:spacing w:before="0" w:after="60" w:line="240" w:lineRule="auto"/>
            </w:pPr>
            <w:r>
              <w:rPr>
                <w:rFonts w:ascii="Calibri" w:hAnsi="Calibri"/>
                <w:sz w:val="18"/>
              </w:rPr>
              <w:t>Household model</w:t>
            </w:r>
          </w:p>
        </w:tc>
        <w:tc>
          <w:tcPr>
            <w:tcW w:type="dxa" w:w="6660"/>
            <w:vAlign w:val="center"/>
          </w:tcPr>
          <w:p>
            <w:pPr>
              <w:spacing w:before="0" w:after="60" w:line="240" w:lineRule="auto"/>
            </w:pPr>
            <w:r>
              <w:rPr>
                <w:rFonts w:ascii="Calibri" w:hAnsi="Calibri"/>
                <w:sz w:val="18"/>
              </w:rPr>
              <w:t>Support one or two consenting older residents. PIR/reed data remains household/location evidence; no passive person identification.</w:t>
            </w:r>
          </w:p>
        </w:tc>
      </w:tr>
      <w:tr>
        <w:trPr>
          <w:cantSplit/>
        </w:trPr>
        <w:tc>
          <w:tcPr>
            <w:tcW w:type="dxa" w:w="2700"/>
            <w:vAlign w:val="center"/>
          </w:tcPr>
          <w:p>
            <w:pPr>
              <w:spacing w:before="0" w:after="60" w:line="240" w:lineRule="auto"/>
            </w:pPr>
            <w:r>
              <w:rPr>
                <w:rFonts w:ascii="Calibri" w:hAnsi="Calibri"/>
                <w:sz w:val="18"/>
              </w:rPr>
              <w:t>Prototype hardware</w:t>
            </w:r>
          </w:p>
        </w:tc>
        <w:tc>
          <w:tcPr>
            <w:tcW w:type="dxa" w:w="6660"/>
            <w:vAlign w:val="center"/>
          </w:tcPr>
          <w:p>
            <w:pPr>
              <w:spacing w:before="0" w:after="60" w:line="240" w:lineRule="auto"/>
            </w:pPr>
            <w:r>
              <w:rPr>
                <w:rFonts w:ascii="Calibri" w:hAnsi="Calibri"/>
                <w:sz w:val="18"/>
              </w:rPr>
              <w:t>One ESP32 DevKit V1 hub and four ESP32-C3 nodes. Node roles are capability-configured and accepted only after in-home placement tests.</w:t>
            </w:r>
          </w:p>
        </w:tc>
      </w:tr>
      <w:tr>
        <w:trPr>
          <w:cantSplit/>
        </w:trPr>
        <w:tc>
          <w:tcPr>
            <w:tcW w:type="dxa" w:w="2700"/>
            <w:vAlign w:val="center"/>
          </w:tcPr>
          <w:p>
            <w:pPr>
              <w:spacing w:before="0" w:after="60" w:line="240" w:lineRule="auto"/>
            </w:pPr>
            <w:r>
              <w:rPr>
                <w:rFonts w:ascii="Calibri" w:hAnsi="Calibri"/>
                <w:sz w:val="18"/>
              </w:rPr>
              <w:t>Test alert</w:t>
            </w:r>
          </w:p>
        </w:tc>
        <w:tc>
          <w:tcPr>
            <w:tcW w:type="dxa" w:w="6660"/>
            <w:vAlign w:val="center"/>
          </w:tcPr>
          <w:p>
            <w:pPr>
              <w:spacing w:before="0" w:after="60" w:line="240" w:lineRule="auto"/>
            </w:pPr>
            <w:r>
              <w:rPr>
                <w:rFonts w:ascii="Calibri" w:hAnsi="Calibri"/>
                <w:sz w:val="18"/>
              </w:rPr>
              <w:t>A repeatable, clearly labeled end-to-end drill is P0. It validates sensor path, push delivery and human acknowledgement without creating a real incident.</w:t>
            </w:r>
          </w:p>
        </w:tc>
      </w:tr>
      <w:tr>
        <w:trPr>
          <w:cantSplit/>
        </w:trPr>
        <w:tc>
          <w:tcPr>
            <w:tcW w:type="dxa" w:w="2700"/>
            <w:vAlign w:val="center"/>
          </w:tcPr>
          <w:p>
            <w:pPr>
              <w:spacing w:before="0" w:after="60" w:line="240" w:lineRule="auto"/>
            </w:pPr>
            <w:r>
              <w:rPr>
                <w:rFonts w:ascii="Calibri" w:hAnsi="Calibri"/>
                <w:sz w:val="18"/>
              </w:rPr>
              <w:t>Caregiver workflow</w:t>
            </w:r>
          </w:p>
        </w:tc>
        <w:tc>
          <w:tcPr>
            <w:tcW w:type="dxa" w:w="6660"/>
            <w:vAlign w:val="center"/>
          </w:tcPr>
          <w:p>
            <w:pPr>
              <w:spacing w:before="0" w:after="60" w:line="240" w:lineRule="auto"/>
            </w:pPr>
            <w:r>
              <w:rPr>
                <w:rFonts w:ascii="Calibri" w:hAnsi="Calibri"/>
                <w:sz w:val="18"/>
              </w:rPr>
              <w:t>Primary plus backup remains P0. Add explicit Ask backup caregiver handoff; it never means Contacted or Resolved.</w:t>
            </w:r>
          </w:p>
        </w:tc>
      </w:tr>
      <w:tr>
        <w:trPr>
          <w:cantSplit/>
        </w:trPr>
        <w:tc>
          <w:tcPr>
            <w:tcW w:type="dxa" w:w="2700"/>
            <w:vAlign w:val="center"/>
          </w:tcPr>
          <w:p>
            <w:pPr>
              <w:spacing w:before="0" w:after="60" w:line="240" w:lineRule="auto"/>
            </w:pPr>
            <w:r>
              <w:rPr>
                <w:rFonts w:ascii="Calibri" w:hAnsi="Calibri"/>
                <w:sz w:val="18"/>
              </w:rPr>
              <w:t>Health visibility</w:t>
            </w:r>
          </w:p>
        </w:tc>
        <w:tc>
          <w:tcPr>
            <w:tcW w:type="dxa" w:w="6660"/>
            <w:vAlign w:val="center"/>
          </w:tcPr>
          <w:p>
            <w:pPr>
              <w:spacing w:before="0" w:after="60" w:line="240" w:lineRule="auto"/>
            </w:pPr>
            <w:r>
              <w:rPr>
                <w:rFonts w:ascii="Calibri" w:hAnsi="Calibri"/>
                <w:sz w:val="18"/>
              </w:rPr>
              <w:t>Expose every node/source, battery/last seen, hub availability and internet path separately from activity evidence.</w:t>
            </w:r>
          </w:p>
        </w:tc>
      </w:tr>
      <w:tr>
        <w:trPr>
          <w:cantSplit/>
        </w:trPr>
        <w:tc>
          <w:tcPr>
            <w:tcW w:type="dxa" w:w="2700"/>
            <w:vAlign w:val="center"/>
          </w:tcPr>
          <w:p>
            <w:pPr>
              <w:spacing w:before="0" w:after="60" w:line="240" w:lineRule="auto"/>
            </w:pPr>
            <w:r>
              <w:rPr>
                <w:rFonts w:ascii="Calibri" w:hAnsi="Calibri"/>
                <w:sz w:val="18"/>
              </w:rPr>
              <w:t>Offline behavior</w:t>
            </w:r>
          </w:p>
        </w:tc>
        <w:tc>
          <w:tcPr>
            <w:tcW w:type="dxa" w:w="6660"/>
            <w:vAlign w:val="center"/>
          </w:tcPr>
          <w:p>
            <w:pPr>
              <w:spacing w:before="0" w:after="60" w:line="240" w:lineRule="auto"/>
            </w:pPr>
            <w:r>
              <w:rPr>
                <w:rFonts w:ascii="Calibri" w:hAnsi="Calibri"/>
                <w:sz w:val="18"/>
              </w:rPr>
              <w:t>Continue local rules while valid; queue and backfill events with original timestamps. Connectivity loss produces Home status unavailable, not a confident inactivity claim.</w:t>
            </w:r>
          </w:p>
        </w:tc>
      </w:tr>
      <w:tr>
        <w:trPr>
          <w:cantSplit/>
        </w:trPr>
        <w:tc>
          <w:tcPr>
            <w:tcW w:type="dxa" w:w="2700"/>
            <w:vAlign w:val="center"/>
          </w:tcPr>
          <w:p>
            <w:pPr>
              <w:spacing w:before="0" w:after="60" w:line="240" w:lineRule="auto"/>
            </w:pPr>
            <w:r>
              <w:rPr>
                <w:rFonts w:ascii="Calibri" w:hAnsi="Calibri"/>
                <w:sz w:val="18"/>
              </w:rPr>
              <w:t>Claims boundary</w:t>
            </w:r>
          </w:p>
        </w:tc>
        <w:tc>
          <w:tcPr>
            <w:tcW w:type="dxa" w:w="6660"/>
            <w:vAlign w:val="center"/>
          </w:tcPr>
          <w:p>
            <w:pPr>
              <w:spacing w:before="0" w:after="60" w:line="240" w:lineRule="auto"/>
            </w:pPr>
            <w:r>
              <w:rPr>
                <w:rFonts w:ascii="Calibri" w:hAnsi="Calibri"/>
                <w:sz w:val="18"/>
              </w:rPr>
              <w:t>No fall detection, medical monitoring, meal/medicine confirmation, emergency dispatch, camera, microphone or opaque AI risk score in P0.</w:t>
            </w:r>
          </w:p>
        </w:tc>
      </w:tr>
    </w:tbl>
    <w:p>
      <w:pPr>
        <w:pStyle w:val="Heading2"/>
      </w:pPr>
      <w:r>
        <w:t>Canonical user-facing status contract</w:t>
      </w:r>
    </w:p>
    <w:p>
      <w:pPr>
        <w:spacing w:after="60" w:line="259" w:lineRule="auto"/>
      </w:pPr>
      <w:r>
        <w:rPr>
          <w:sz w:val="21"/>
        </w:rPr>
        <w:t>The app, notifications, reports and support tools shall use these meanings consistently. No state may be summarized as “safe”, “fine” or “emergency” without independently established evidence and an approved service contract.</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050"/>
        <w:gridCol w:w="3630"/>
        <w:gridCol w:w="3680"/>
      </w:tblGrid>
      <w:tr>
        <w:trPr>
          <w:cantSplit/>
          <w:tblHeader w:val="true"/>
        </w:trPr>
        <w:tc>
          <w:tcPr>
            <w:tcW w:type="dxa" w:w="2050"/>
            <w:vAlign w:val="center"/>
            <w:shd w:fill="E8EEF5"/>
          </w:tcPr>
          <w:p>
            <w:pPr>
              <w:spacing w:before="0" w:after="60" w:line="240" w:lineRule="auto"/>
            </w:pPr>
            <w:r>
              <w:rPr>
                <w:rFonts w:ascii="Calibri" w:hAnsi="Calibri"/>
                <w:b/>
                <w:color w:val="1F4D78"/>
                <w:sz w:val="18"/>
              </w:rPr>
              <w:t>Status</w:t>
            </w:r>
          </w:p>
        </w:tc>
        <w:tc>
          <w:tcPr>
            <w:tcW w:type="dxa" w:w="3630"/>
            <w:vAlign w:val="center"/>
            <w:shd w:fill="E8EEF5"/>
          </w:tcPr>
          <w:p>
            <w:pPr>
              <w:spacing w:before="0" w:after="60" w:line="240" w:lineRule="auto"/>
            </w:pPr>
            <w:r>
              <w:rPr>
                <w:rFonts w:ascii="Calibri" w:hAnsi="Calibri"/>
                <w:b/>
                <w:color w:val="1F4D78"/>
                <w:sz w:val="18"/>
              </w:rPr>
              <w:t>Exact meaning</w:t>
            </w:r>
          </w:p>
        </w:tc>
        <w:tc>
          <w:tcPr>
            <w:tcW w:type="dxa" w:w="3680"/>
            <w:vAlign w:val="center"/>
            <w:shd w:fill="E8EEF5"/>
          </w:tcPr>
          <w:p>
            <w:pPr>
              <w:spacing w:before="0" w:after="60" w:line="240" w:lineRule="auto"/>
            </w:pPr>
            <w:r>
              <w:rPr>
                <w:rFonts w:ascii="Calibri" w:hAnsi="Calibri"/>
                <w:b/>
                <w:color w:val="1F4D78"/>
                <w:sz w:val="18"/>
              </w:rPr>
              <w:t>Required behavior</w:t>
            </w:r>
          </w:p>
        </w:tc>
      </w:tr>
      <w:tr>
        <w:trPr>
          <w:cantSplit/>
        </w:trPr>
        <w:tc>
          <w:tcPr>
            <w:tcW w:type="dxa" w:w="2050"/>
            <w:vAlign w:val="center"/>
          </w:tcPr>
          <w:p>
            <w:pPr>
              <w:spacing w:before="0" w:after="60" w:line="240" w:lineRule="auto"/>
            </w:pPr>
            <w:r>
              <w:rPr>
                <w:rFonts w:ascii="Calibri" w:hAnsi="Calibri"/>
                <w:sz w:val="18"/>
              </w:rPr>
              <w:t>Activity observed</w:t>
            </w:r>
          </w:p>
        </w:tc>
        <w:tc>
          <w:tcPr>
            <w:tcW w:type="dxa" w:w="3630"/>
            <w:vAlign w:val="center"/>
          </w:tcPr>
          <w:p>
            <w:pPr>
              <w:spacing w:before="0" w:after="60" w:line="240" w:lineRule="auto"/>
            </w:pPr>
            <w:r>
              <w:rPr>
                <w:rFonts w:ascii="Calibri" w:hAnsi="Calibri"/>
                <w:sz w:val="18"/>
              </w:rPr>
              <w:t>A configured sensor produced valid location/time evidence.</w:t>
            </w:r>
          </w:p>
        </w:tc>
        <w:tc>
          <w:tcPr>
            <w:tcW w:type="dxa" w:w="3680"/>
            <w:vAlign w:val="center"/>
          </w:tcPr>
          <w:p>
            <w:pPr>
              <w:spacing w:before="0" w:after="60" w:line="240" w:lineRule="auto"/>
            </w:pPr>
            <w:r>
              <w:rPr>
                <w:rFonts w:ascii="Calibri" w:hAnsi="Calibri"/>
                <w:sz w:val="18"/>
              </w:rPr>
              <w:t>Show source, time and coverage. Do not identify a person or infer wellness.</w:t>
            </w:r>
          </w:p>
        </w:tc>
      </w:tr>
      <w:tr>
        <w:trPr>
          <w:cantSplit/>
        </w:trPr>
        <w:tc>
          <w:tcPr>
            <w:tcW w:type="dxa" w:w="2050"/>
            <w:vAlign w:val="center"/>
          </w:tcPr>
          <w:p>
            <w:pPr>
              <w:spacing w:before="0" w:after="60" w:line="240" w:lineRule="auto"/>
            </w:pPr>
            <w:r>
              <w:rPr>
                <w:rFonts w:ascii="Calibri" w:hAnsi="Calibri"/>
                <w:sz w:val="18"/>
              </w:rPr>
              <w:t>Expected activity not observed</w:t>
            </w:r>
          </w:p>
        </w:tc>
        <w:tc>
          <w:tcPr>
            <w:tcW w:type="dxa" w:w="3630"/>
            <w:vAlign w:val="center"/>
          </w:tcPr>
          <w:p>
            <w:pPr>
              <w:spacing w:before="0" w:after="60" w:line="240" w:lineRule="auto"/>
            </w:pPr>
            <w:r>
              <w:rPr>
                <w:rFonts w:ascii="Calibri" w:hAnsi="Calibri"/>
                <w:sz w:val="18"/>
              </w:rPr>
              <w:t>The routine deadline passed with eligible observation coverage and no qualifying evidence.</w:t>
            </w:r>
          </w:p>
        </w:tc>
        <w:tc>
          <w:tcPr>
            <w:tcW w:type="dxa" w:w="3680"/>
            <w:vAlign w:val="center"/>
          </w:tcPr>
          <w:p>
            <w:pPr>
              <w:spacing w:before="0" w:after="60" w:line="240" w:lineRule="auto"/>
            </w:pPr>
            <w:r>
              <w:rPr>
                <w:rFonts w:ascii="Calibri" w:hAnsi="Calibri"/>
                <w:sz w:val="18"/>
              </w:rPr>
              <w:t>Open the check-in workflow; state the configured expectation and evidence window.</w:t>
            </w:r>
          </w:p>
        </w:tc>
      </w:tr>
      <w:tr>
        <w:trPr>
          <w:cantSplit/>
        </w:trPr>
        <w:tc>
          <w:tcPr>
            <w:tcW w:type="dxa" w:w="2050"/>
            <w:vAlign w:val="center"/>
          </w:tcPr>
          <w:p>
            <w:pPr>
              <w:spacing w:before="0" w:after="60" w:line="240" w:lineRule="auto"/>
            </w:pPr>
            <w:r>
              <w:rPr>
                <w:rFonts w:ascii="Calibri" w:hAnsi="Calibri"/>
                <w:sz w:val="18"/>
              </w:rPr>
              <w:t>Home status unavailable</w:t>
            </w:r>
          </w:p>
        </w:tc>
        <w:tc>
          <w:tcPr>
            <w:tcW w:type="dxa" w:w="3630"/>
            <w:vAlign w:val="center"/>
          </w:tcPr>
          <w:p>
            <w:pPr>
              <w:spacing w:before="0" w:after="60" w:line="240" w:lineRule="auto"/>
            </w:pPr>
            <w:r>
              <w:rPr>
                <w:rFonts w:ascii="Calibri" w:hAnsi="Calibri"/>
                <w:sz w:val="18"/>
              </w:rPr>
              <w:t>Required sensor, hub, time or connectivity coverage is missing or stale.</w:t>
            </w:r>
          </w:p>
        </w:tc>
        <w:tc>
          <w:tcPr>
            <w:tcW w:type="dxa" w:w="3680"/>
            <w:vAlign w:val="center"/>
          </w:tcPr>
          <w:p>
            <w:pPr>
              <w:spacing w:before="0" w:after="60" w:line="240" w:lineRule="auto"/>
            </w:pPr>
            <w:r>
              <w:rPr>
                <w:rFonts w:ascii="Calibri" w:hAnsi="Calibri"/>
                <w:sz w:val="18"/>
              </w:rPr>
              <w:t>Name the failing path and last-seen time. Do not present this as inactivity.</w:t>
            </w:r>
          </w:p>
        </w:tc>
      </w:tr>
      <w:tr>
        <w:trPr>
          <w:cantSplit/>
        </w:trPr>
        <w:tc>
          <w:tcPr>
            <w:tcW w:type="dxa" w:w="2050"/>
            <w:vAlign w:val="center"/>
          </w:tcPr>
          <w:p>
            <w:pPr>
              <w:spacing w:before="0" w:after="60" w:line="240" w:lineRule="auto"/>
            </w:pPr>
            <w:r>
              <w:rPr>
                <w:rFonts w:ascii="Calibri" w:hAnsi="Calibri"/>
                <w:sz w:val="18"/>
              </w:rPr>
              <w:t>Resident pressed I’m OK</w:t>
            </w:r>
          </w:p>
        </w:tc>
        <w:tc>
          <w:tcPr>
            <w:tcW w:type="dxa" w:w="3630"/>
            <w:vAlign w:val="center"/>
          </w:tcPr>
          <w:p>
            <w:pPr>
              <w:spacing w:before="0" w:after="60" w:line="240" w:lineRule="auto"/>
            </w:pPr>
            <w:r>
              <w:rPr>
                <w:rFonts w:ascii="Calibri" w:hAnsi="Calibri"/>
                <w:sz w:val="18"/>
              </w:rPr>
              <w:t>A mapped resident control produced an explicit self-check-in event.</w:t>
            </w:r>
          </w:p>
        </w:tc>
        <w:tc>
          <w:tcPr>
            <w:tcW w:type="dxa" w:w="3680"/>
            <w:vAlign w:val="center"/>
          </w:tcPr>
          <w:p>
            <w:pPr>
              <w:spacing w:before="0" w:after="60" w:line="240" w:lineRule="auto"/>
            </w:pPr>
            <w:r>
              <w:rPr>
                <w:rFonts w:ascii="Calibri" w:hAnsi="Calibri"/>
                <w:sz w:val="18"/>
              </w:rPr>
              <w:t>Show as self-reported and separate from passive motion evidence.</w:t>
            </w:r>
          </w:p>
        </w:tc>
      </w:tr>
      <w:tr>
        <w:trPr>
          <w:cantSplit/>
        </w:trPr>
        <w:tc>
          <w:tcPr>
            <w:tcW w:type="dxa" w:w="2050"/>
            <w:vAlign w:val="center"/>
          </w:tcPr>
          <w:p>
            <w:pPr>
              <w:spacing w:before="0" w:after="60" w:line="240" w:lineRule="auto"/>
            </w:pPr>
            <w:r>
              <w:rPr>
                <w:rFonts w:ascii="Calibri" w:hAnsi="Calibri"/>
                <w:sz w:val="18"/>
              </w:rPr>
              <w:t>Resident requested a call</w:t>
            </w:r>
          </w:p>
        </w:tc>
        <w:tc>
          <w:tcPr>
            <w:tcW w:type="dxa" w:w="3630"/>
            <w:vAlign w:val="center"/>
          </w:tcPr>
          <w:p>
            <w:pPr>
              <w:spacing w:before="0" w:after="60" w:line="240" w:lineRule="auto"/>
            </w:pPr>
            <w:r>
              <w:rPr>
                <w:rFonts w:ascii="Calibri" w:hAnsi="Calibri"/>
                <w:sz w:val="18"/>
              </w:rPr>
              <w:t>The Call family control produced a durable contact request.</w:t>
            </w:r>
          </w:p>
        </w:tc>
        <w:tc>
          <w:tcPr>
            <w:tcW w:type="dxa" w:w="3680"/>
            <w:vAlign w:val="center"/>
          </w:tcPr>
          <w:p>
            <w:pPr>
              <w:spacing w:before="0" w:after="60" w:line="240" w:lineRule="auto"/>
            </w:pPr>
            <w:r>
              <w:rPr>
                <w:rFonts w:ascii="Calibri" w:hAnsi="Calibri"/>
                <w:sz w:val="18"/>
              </w:rPr>
              <w:t>Route immediately to caregivers; later motion cannot resolve it.</w:t>
            </w:r>
          </w:p>
        </w:tc>
      </w:tr>
      <w:tr>
        <w:trPr>
          <w:cantSplit/>
        </w:trPr>
        <w:tc>
          <w:tcPr>
            <w:tcW w:type="dxa" w:w="2050"/>
            <w:vAlign w:val="center"/>
          </w:tcPr>
          <w:p>
            <w:pPr>
              <w:spacing w:before="0" w:after="60" w:line="240" w:lineRule="auto"/>
            </w:pPr>
            <w:r>
              <w:rPr>
                <w:rFonts w:ascii="Calibri" w:hAnsi="Calibri"/>
                <w:sz w:val="18"/>
              </w:rPr>
              <w:t>Caregiver acknowledged</w:t>
            </w:r>
          </w:p>
        </w:tc>
        <w:tc>
          <w:tcPr>
            <w:tcW w:type="dxa" w:w="3630"/>
            <w:vAlign w:val="center"/>
          </w:tcPr>
          <w:p>
            <w:pPr>
              <w:spacing w:before="0" w:after="60" w:line="240" w:lineRule="auto"/>
            </w:pPr>
            <w:r>
              <w:rPr>
                <w:rFonts w:ascii="Calibri" w:hAnsi="Calibri"/>
                <w:sz w:val="18"/>
              </w:rPr>
              <w:t>A named caregiver accepted a temporary response lease.</w:t>
            </w:r>
          </w:p>
        </w:tc>
        <w:tc>
          <w:tcPr>
            <w:tcW w:type="dxa" w:w="3680"/>
            <w:vAlign w:val="center"/>
          </w:tcPr>
          <w:p>
            <w:pPr>
              <w:spacing w:before="0" w:after="60" w:line="240" w:lineRule="auto"/>
            </w:pPr>
            <w:r>
              <w:rPr>
                <w:rFonts w:ascii="Calibri" w:hAnsi="Calibri"/>
                <w:sz w:val="18"/>
              </w:rPr>
              <w:t>Show owner and lease. Do not claim contact occurred.</w:t>
            </w:r>
          </w:p>
        </w:tc>
      </w:tr>
      <w:tr>
        <w:trPr>
          <w:cantSplit/>
        </w:trPr>
        <w:tc>
          <w:tcPr>
            <w:tcW w:type="dxa" w:w="2050"/>
            <w:vAlign w:val="center"/>
          </w:tcPr>
          <w:p>
            <w:pPr>
              <w:spacing w:before="0" w:after="60" w:line="240" w:lineRule="auto"/>
            </w:pPr>
            <w:r>
              <w:rPr>
                <w:rFonts w:ascii="Calibri" w:hAnsi="Calibri"/>
                <w:sz w:val="18"/>
              </w:rPr>
              <w:t>Contacted / Unable to reach</w:t>
            </w:r>
          </w:p>
        </w:tc>
        <w:tc>
          <w:tcPr>
            <w:tcW w:type="dxa" w:w="3630"/>
            <w:vAlign w:val="center"/>
          </w:tcPr>
          <w:p>
            <w:pPr>
              <w:spacing w:before="0" w:after="60" w:line="240" w:lineRule="auto"/>
            </w:pPr>
            <w:r>
              <w:rPr>
                <w:rFonts w:ascii="Calibri" w:hAnsi="Calibri"/>
                <w:sz w:val="18"/>
              </w:rPr>
              <w:t>A caregiver explicitly recorded the human outcome.</w:t>
            </w:r>
          </w:p>
        </w:tc>
        <w:tc>
          <w:tcPr>
            <w:tcW w:type="dxa" w:w="3680"/>
            <w:vAlign w:val="center"/>
          </w:tcPr>
          <w:p>
            <w:pPr>
              <w:spacing w:before="0" w:after="60" w:line="240" w:lineRule="auto"/>
            </w:pPr>
            <w:r>
              <w:rPr>
                <w:rFonts w:ascii="Calibri" w:hAnsi="Calibri"/>
                <w:sz w:val="18"/>
              </w:rPr>
              <w:t>Resolve only Contacted; Unable to reach keeps escalation open.</w:t>
            </w:r>
          </w:p>
        </w:tc>
      </w:tr>
      <w:tr>
        <w:trPr>
          <w:cantSplit/>
        </w:trPr>
        <w:tc>
          <w:tcPr>
            <w:tcW w:type="dxa" w:w="2050"/>
            <w:vAlign w:val="center"/>
          </w:tcPr>
          <w:p>
            <w:pPr>
              <w:spacing w:before="0" w:after="60" w:line="240" w:lineRule="auto"/>
            </w:pPr>
            <w:r>
              <w:rPr>
                <w:rFonts w:ascii="Calibri" w:hAnsi="Calibri"/>
                <w:sz w:val="18"/>
              </w:rPr>
              <w:t>Asked backup caregiver</w:t>
            </w:r>
          </w:p>
        </w:tc>
        <w:tc>
          <w:tcPr>
            <w:tcW w:type="dxa" w:w="3630"/>
            <w:vAlign w:val="center"/>
          </w:tcPr>
          <w:p>
            <w:pPr>
              <w:spacing w:before="0" w:after="60" w:line="240" w:lineRule="auto"/>
            </w:pPr>
            <w:r>
              <w:rPr>
                <w:rFonts w:ascii="Calibri" w:hAnsi="Calibri"/>
                <w:sz w:val="18"/>
              </w:rPr>
              <w:t>The current caregiver intentionally handed the open incident to backup.</w:t>
            </w:r>
          </w:p>
        </w:tc>
        <w:tc>
          <w:tcPr>
            <w:tcW w:type="dxa" w:w="3680"/>
            <w:vAlign w:val="center"/>
          </w:tcPr>
          <w:p>
            <w:pPr>
              <w:spacing w:before="0" w:after="60" w:line="240" w:lineRule="auto"/>
            </w:pPr>
            <w:r>
              <w:rPr>
                <w:rFonts w:ascii="Calibri" w:hAnsi="Calibri"/>
                <w:sz w:val="18"/>
              </w:rPr>
              <w:t>Release primary claim and create one audited backup route immediately.</w:t>
            </w:r>
          </w:p>
        </w:tc>
      </w:tr>
    </w:tbl>
    <w:p>
      <w:pPr>
        <w:pStyle w:val="Heading2"/>
      </w:pPr>
      <w:r>
        <w:t>Competitor-informed boundary and enhancement queue</w:t>
      </w:r>
    </w:p>
    <w:p>
      <w:pPr>
        <w:pStyle w:val="ListBullet"/>
        <w:spacing w:after="40" w:line="259" w:lineRule="auto"/>
      </w:pPr>
      <w:r>
        <w:rPr>
          <w:sz w:val="21"/>
        </w:rPr>
        <w:t>Keep in P0: distributed home sensing, recipient-phone independence, transparent routine rules, family acknowledgement, backup routing, installation drills and per-device health.</w:t>
      </w:r>
    </w:p>
    <w:p>
      <w:pPr>
        <w:pStyle w:val="ListBullet"/>
        <w:spacing w:after="40" w:line="259" w:lineRule="auto"/>
      </w:pPr>
      <w:r>
        <w:rPr>
          <w:sz w:val="21"/>
        </w:rPr>
        <w:t>Move to P1 validation: medicine-box or refrigerator/cabinet opening as activity only; weekly summaries; temperature/humidity context; additional notification channels; optional two-way audio only after consent, privacy, recurring-cost and support design.</w:t>
      </w:r>
    </w:p>
    <w:p>
      <w:pPr>
        <w:pStyle w:val="ListBullet"/>
        <w:spacing w:after="40" w:line="259" w:lineRule="auto"/>
      </w:pPr>
      <w:r>
        <w:rPr>
          <w:sz w:val="21"/>
        </w:rPr>
        <w:t>Keep outside this P0: fall detection, sleep quality, vital signs, automatic emergency dispatch, professional home visits, outdoor cameras, location tracking and AI-generated medical or safety scores.</w:t>
      </w:r>
    </w:p>
    <w:p>
      <w:pPr>
        <w:pStyle w:val="ListBullet"/>
        <w:spacing w:after="40" w:line="259" w:lineRule="auto"/>
      </w:pPr>
      <w:r>
        <w:rPr>
          <w:sz w:val="21"/>
        </w:rPr>
        <w:t>Marketing language must be precise: “no indoor camera” and “no always-on listening” are supportable P0 design statements. Do not use “100% privacy,” “fall detection,” “medicine taken,” “meal completed” or “guaranteed emergency response.”</w:t>
      </w:r>
    </w:p>
    <w:p>
      <w:pPr>
        <w:pStyle w:val="Heading2"/>
      </w:pPr>
      <w:r>
        <w:t>Software impact</w:t>
      </w:r>
    </w:p>
    <w:p>
      <w:pPr>
        <w:pStyle w:val="ListBullet"/>
        <w:spacing w:after="40" w:line="259" w:lineRule="auto"/>
      </w:pPr>
      <w:r>
        <w:rPr>
          <w:sz w:val="21"/>
        </w:rPr>
        <w:t>No new logical module is required. Reuse A01 InstallTest.tsx, A04 Actions.tsx, B04 incident state/service, B05 routing/worker, B08 audit/diagnostics, H04 health and H08 sync.</w:t>
      </w:r>
    </w:p>
    <w:p>
      <w:pPr>
        <w:pStyle w:val="ListBullet"/>
        <w:spacing w:after="40" w:line="259" w:lineRule="auto"/>
      </w:pPr>
      <w:r>
        <w:rPr>
          <w:sz w:val="21"/>
        </w:rPr>
        <w:t>Extend shared contracts with test flag/type/state, node capability profile, canonical home-status enum and HANDOFF_TO_BACKUP action. Regenerate firmware/backend/app types from S01.</w:t>
      </w:r>
    </w:p>
    <w:p>
      <w:pPr>
        <w:pStyle w:val="ListBullet"/>
        <w:spacing w:after="40" w:line="259" w:lineRule="auto"/>
      </w:pPr>
      <w:r>
        <w:rPr>
          <w:sz w:val="21"/>
        </w:rPr>
        <w:t>The backend shall exclude is_test=true records from production incident counts, summaries, response-time metrics and any future external response adapter.</w:t>
      </w:r>
    </w:p>
    <w:p>
      <w:pPr>
        <w:pStyle w:val="ListBullet"/>
        <w:spacing w:after="40" w:line="259" w:lineRule="auto"/>
      </w:pPr>
      <w:r>
        <w:rPr>
          <w:sz w:val="21"/>
        </w:rPr>
        <w:t>The dashboard projection shall calculate activity, observation coverage, hub/cloud reachability and human workflow state independently; UI composition may group them but storage and transitions remain separate.</w:t>
      </w:r>
    </w:p>
    <w:p>
      <w:pPr>
        <w:pStyle w:val="Heading2"/>
      </w:pPr>
      <w:r>
        <w:t>v1.2 release-delta exit criteria</w:t>
      </w:r>
    </w:p>
    <w:p>
      <w:pPr>
        <w:pStyle w:val="ListBullet"/>
        <w:spacing w:after="40" w:line="259" w:lineRule="auto"/>
      </w:pPr>
      <w:r>
        <w:rPr>
          <w:sz w:val="21"/>
        </w:rPr>
        <w:t>All four configured C3 nodes pass identity, capability, radio, input and last-seen tests in the installed home.</w:t>
      </w:r>
    </w:p>
    <w:p>
      <w:pPr>
        <w:pStyle w:val="ListBullet"/>
        <w:spacing w:after="40" w:line="259" w:lineRule="auto"/>
      </w:pPr>
      <w:r>
        <w:rPr>
          <w:sz w:val="21"/>
        </w:rPr>
        <w:t>A real caregiver phone completes a clearly labeled Test alert from creation through human acknowledgement; the drill creates no production escalation or summary event.</w:t>
      </w:r>
    </w:p>
    <w:p>
      <w:pPr>
        <w:pStyle w:val="ListBullet"/>
        <w:spacing w:after="40" w:line="259" w:lineRule="auto"/>
      </w:pPr>
      <w:r>
        <w:rPr>
          <w:sz w:val="21"/>
        </w:rPr>
        <w:t>Ask backup caregiver is idempotent, transactionally hands off ownership and creates exactly one backup notification job.</w:t>
      </w:r>
    </w:p>
    <w:p>
      <w:pPr>
        <w:pStyle w:val="ListBullet"/>
        <w:spacing w:after="40" w:line="259" w:lineRule="auto"/>
      </w:pPr>
      <w:r>
        <w:rPr>
          <w:sz w:val="21"/>
        </w:rPr>
        <w:t>The UI distinguishes the five evidence/availability states above in caregiver comprehension testing; sensor offline is never interpreted as resident inactivity.</w:t>
      </w:r>
    </w:p>
    <w:p>
      <w:pPr>
        <w:pStyle w:val="ListBullet"/>
        <w:spacing w:after="40" w:line="259" w:lineRule="auto"/>
      </w:pPr>
      <w:r>
        <w:rPr>
          <w:sz w:val="21"/>
        </w:rPr>
        <w:t>A 72-hour WAN isolation test preserves local behavior and replays queued events once with original event times and delayed/backfilled labels.</w:t>
      </w:r>
    </w:p>
    <w:p>
      <w:pPr>
        <w:pStyle w:val="ListBullet"/>
        <w:spacing w:after="40" w:line="259" w:lineRule="auto"/>
      </w:pPr>
      <w:r>
        <w:rPr>
          <w:sz w:val="21"/>
        </w:rPr>
        <w:t>One- and two-resident configurations pass permission/consent tests, and passive events never name a resident.</w:t>
      </w:r>
    </w:p>
    <w:p>
      <w:pPr>
        <w:pStyle w:val="Heading2"/>
      </w:pPr>
      <w:r>
        <w:t>Scope assumptions</w:t>
      </w:r>
    </w:p>
    <w:p>
      <w:pPr>
        <w:pStyle w:val="ListBullet"/>
        <w:numPr>
          <w:ilvl w:val="0"/>
          <w:numId w:val="50"/>
        </w:numPr>
      </w:pPr>
      <w:r>
        <w:t>India-first, assisted installation, one ESP32 DevKit V1 hub and four ESP32-C3 sensor nodes per home. Initial cohort: consenting households with one or two older residents in one serviceable city, with a reachable primary and backup caregiver. Motion remains household-level evidence; P0 does not identify which resident moved.</w:t>
      </w:r>
    </w:p>
    <w:p>
      <w:pPr>
        <w:pStyle w:val="ListBullet"/>
        <w:numPr>
          <w:ilvl w:val="0"/>
          <w:numId w:val="50"/>
        </w:numPr>
      </w:pPr>
      <w:r>
        <w:t>One solo engineer working approximately 10–15 focused hours per week; hardware assembly/testing and resident field trials remain real work even with code-generation assistance.</w:t>
      </w:r>
    </w:p>
    <w:p>
      <w:pPr>
        <w:pStyle w:val="ListBullet"/>
        <w:numPr>
          <w:ilvl w:val="0"/>
          <w:numId w:val="50"/>
        </w:numPr>
      </w:pPr>
      <w:r>
        <w:t>The P0 must function without audio. If fixed local prompts are enabled, use prerecorded assets with no speech recognition, microphone or audio upload.</w:t>
      </w:r>
    </w:p>
    <w:p>
      <w:pPr>
        <w:pStyle w:val="ListBullet"/>
        <w:numPr>
          <w:ilvl w:val="0"/>
          <w:numId w:val="50"/>
        </w:numPr>
      </w:pPr>
      <w:r>
        <w:t>No automatic emergency dispatch, fall diagnosis, medication/meal confirmation, identity recognition, door unlocking or gas/water/stove actuation.</w:t>
      </w:r>
    </w:p>
    <w:p>
      <w:pPr>
        <w:pStyle w:val="Heading2"/>
        <w:pageBreakBefore/>
      </w:pPr>
      <w:r>
        <w:t>Morning routine menu and evidence rules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150"/>
        <w:gridCol w:w="3600"/>
        <w:gridCol w:w="3610"/>
      </w:tblGrid>
      <w:tr>
        <w:trPr>
          <w:cantSplit/>
          <w:tblHeader/>
        </w:trPr>
        <w:tc>
          <w:tcPr>
            <w:tcW w:type="dxa" w:w="2150"/>
            <w:tcMar>
              <w:top w:w="80" w:type="dxa"/>
              <w:bottom w:w="80" w:type="dxa"/>
              <w:start w:w="120" w:type="dxa"/>
              <w:end w:w="120" w:type="dxa"/>
            </w:tcMar>
            <w:shd w:fill="E8EEF5"/>
          </w:tcPr>
          <w:p>
            <w:pPr>
              <w:pStyle w:val="TableText"/>
            </w:pPr>
            <w:r>
              <w:rPr>
                <w:b/>
              </w:rPr>
              <w:t>Routine / example</w:t>
            </w:r>
          </w:p>
        </w:tc>
        <w:tc>
          <w:tcPr>
            <w:tcW w:type="dxa" w:w="3600"/>
            <w:tcMar>
              <w:top w:w="80" w:type="dxa"/>
              <w:bottom w:w="80" w:type="dxa"/>
              <w:start w:w="120" w:type="dxa"/>
              <w:end w:w="120" w:type="dxa"/>
            </w:tcMar>
            <w:shd w:fill="E8EEF5"/>
          </w:tcPr>
          <w:p>
            <w:pPr>
              <w:pStyle w:val="TableText"/>
            </w:pPr>
            <w:r>
              <w:rPr>
                <w:b/>
              </w:rPr>
              <w:t>P0 behavior</w:t>
            </w:r>
          </w:p>
        </w:tc>
        <w:tc>
          <w:tcPr>
            <w:tcW w:type="dxa" w:w="3610"/>
            <w:tcMar>
              <w:top w:w="80" w:type="dxa"/>
              <w:bottom w:w="80" w:type="dxa"/>
              <w:start w:w="120" w:type="dxa"/>
              <w:end w:w="120" w:type="dxa"/>
            </w:tcMar>
            <w:shd w:fill="E8EEF5"/>
          </w:tcPr>
          <w:p>
            <w:pPr>
              <w:pStyle w:val="TableText"/>
            </w:pPr>
            <w:r>
              <w:rPr>
                <w:b/>
              </w:rPr>
              <w:t>Interpretation limit</w:t>
            </w:r>
          </w:p>
        </w:tc>
      </w:tr>
      <w:tr>
        <w:trPr>
          <w:cantSplit/>
        </w:trPr>
        <w:tc>
          <w:tcPr>
            <w:tcW w:type="dxa" w:w="2150"/>
            <w:tcMar>
              <w:top w:w="80" w:type="dxa"/>
              <w:bottom w:w="80" w:type="dxa"/>
              <w:start w:w="120" w:type="dxa"/>
              <w:end w:w="120" w:type="dxa"/>
            </w:tcMar>
          </w:tcPr>
          <w:p>
            <w:pPr>
              <w:pStyle w:val="TableText"/>
            </w:pPr>
            <w:r>
              <w:t>Morning activity</w:t>
              <w:br/>
              <w:t>06:00–09:00</w:t>
            </w:r>
          </w:p>
        </w:tc>
        <w:tc>
          <w:tcPr>
            <w:tcW w:type="dxa" w:w="3600"/>
            <w:tcMar>
              <w:top w:w="80" w:type="dxa"/>
              <w:bottom w:w="80" w:type="dxa"/>
              <w:start w:w="120" w:type="dxa"/>
              <w:end w:w="120" w:type="dxa"/>
            </w:tcMar>
          </w:tcPr>
          <w:p>
            <w:pPr>
              <w:pStyle w:val="TableText"/>
            </w:pPr>
            <w:r>
              <w:t>Hallway OR kitchen movement counts as observed activity; keep location/time.</w:t>
            </w:r>
          </w:p>
        </w:tc>
        <w:tc>
          <w:tcPr>
            <w:tcW w:type="dxa" w:w="3610"/>
            <w:tcMar>
              <w:top w:w="80" w:type="dxa"/>
              <w:bottom w:w="80" w:type="dxa"/>
              <w:start w:w="120" w:type="dxa"/>
              <w:end w:w="120" w:type="dxa"/>
            </w:tcMar>
          </w:tcPr>
          <w:p>
            <w:pPr>
              <w:pStyle w:val="TableText"/>
            </w:pPr>
            <w:r>
              <w:t>No prescribed room sequence or resident identity.</w:t>
            </w:r>
          </w:p>
        </w:tc>
      </w:tr>
      <w:tr>
        <w:trPr>
          <w:cantSplit/>
        </w:trPr>
        <w:tc>
          <w:tcPr>
            <w:tcW w:type="dxa" w:w="2150"/>
            <w:tcMar>
              <w:top w:w="80" w:type="dxa"/>
              <w:bottom w:w="80" w:type="dxa"/>
              <w:start w:w="120" w:type="dxa"/>
              <w:end w:w="120" w:type="dxa"/>
            </w:tcMar>
          </w:tcPr>
          <w:p>
            <w:pPr>
              <w:pStyle w:val="TableText"/>
            </w:pPr>
            <w:r>
              <w:t>Explicit morning check-in</w:t>
            </w:r>
          </w:p>
        </w:tc>
        <w:tc>
          <w:tcPr>
            <w:tcW w:type="dxa" w:w="3600"/>
            <w:tcMar>
              <w:top w:w="80" w:type="dxa"/>
              <w:bottom w:w="80" w:type="dxa"/>
              <w:start w:w="120" w:type="dxa"/>
              <w:end w:w="120" w:type="dxa"/>
            </w:tcMar>
          </w:tcPr>
          <w:p>
            <w:pPr>
              <w:pStyle w:val="TableText"/>
            </w:pPr>
            <w:r>
              <w:t>I’m OK button records a separate self-report; optional local reminder at deadline.</w:t>
            </w:r>
          </w:p>
        </w:tc>
        <w:tc>
          <w:tcPr>
            <w:tcW w:type="dxa" w:w="3610"/>
            <w:tcMar>
              <w:top w:w="80" w:type="dxa"/>
              <w:bottom w:w="80" w:type="dxa"/>
              <w:start w:w="120" w:type="dxa"/>
              <w:end w:w="120" w:type="dxa"/>
            </w:tcMar>
          </w:tcPr>
          <w:p>
            <w:pPr>
              <w:pStyle w:val="TableText"/>
            </w:pPr>
            <w:r>
              <w:t>A button press is not a clinical assessment.</w:t>
            </w:r>
          </w:p>
        </w:tc>
      </w:tr>
      <w:tr>
        <w:trPr>
          <w:cantSplit/>
        </w:trPr>
        <w:tc>
          <w:tcPr>
            <w:tcW w:type="dxa" w:w="2150"/>
            <w:tcMar>
              <w:top w:w="80" w:type="dxa"/>
              <w:bottom w:w="80" w:type="dxa"/>
              <w:start w:w="120" w:type="dxa"/>
              <w:end w:w="120" w:type="dxa"/>
            </w:tcMar>
          </w:tcPr>
          <w:p>
            <w:pPr>
              <w:pStyle w:val="TableText"/>
            </w:pPr>
            <w:r>
              <w:t>No evidence by deadline</w:t>
            </w:r>
          </w:p>
        </w:tc>
        <w:tc>
          <w:tcPr>
            <w:tcW w:type="dxa" w:w="3600"/>
            <w:tcMar>
              <w:top w:w="80" w:type="dxa"/>
              <w:bottom w:w="80" w:type="dxa"/>
              <w:start w:w="120" w:type="dxa"/>
              <w:end w:w="120" w:type="dxa"/>
            </w:tcMar>
          </w:tcPr>
          <w:p>
            <w:pPr>
              <w:pStyle w:val="TableText"/>
            </w:pPr>
            <w:r>
              <w:t>If eligible coverage exists, wait the configured 15-minute grace, then ask family to check in.</w:t>
            </w:r>
          </w:p>
        </w:tc>
        <w:tc>
          <w:tcPr>
            <w:tcW w:type="dxa" w:w="3610"/>
            <w:tcMar>
              <w:top w:w="80" w:type="dxa"/>
              <w:bottom w:w="80" w:type="dxa"/>
              <w:start w:w="120" w:type="dxa"/>
              <w:end w:w="120" w:type="dxa"/>
            </w:tcMar>
          </w:tcPr>
          <w:p>
            <w:pPr>
              <w:pStyle w:val="TableText"/>
            </w:pPr>
            <w:r>
              <w:t>If coverage is incomplete, report unknown observation instead.</w:t>
            </w:r>
          </w:p>
        </w:tc>
      </w:tr>
      <w:tr>
        <w:trPr>
          <w:cantSplit/>
        </w:trPr>
        <w:tc>
          <w:tcPr>
            <w:tcW w:type="dxa" w:w="2150"/>
            <w:tcMar>
              <w:top w:w="80" w:type="dxa"/>
              <w:bottom w:w="80" w:type="dxa"/>
              <w:start w:w="120" w:type="dxa"/>
              <w:end w:w="120" w:type="dxa"/>
            </w:tcMar>
          </w:tcPr>
          <w:p>
            <w:pPr>
              <w:pStyle w:val="TableText"/>
            </w:pPr>
            <w:r>
              <w:t>Kitchen activity</w:t>
            </w:r>
          </w:p>
        </w:tc>
        <w:tc>
          <w:tcPr>
            <w:tcW w:type="dxa" w:w="3600"/>
            <w:tcMar>
              <w:top w:w="80" w:type="dxa"/>
              <w:bottom w:w="80" w:type="dxa"/>
              <w:start w:w="120" w:type="dxa"/>
              <w:end w:w="120" w:type="dxa"/>
            </w:tcMar>
          </w:tcPr>
          <w:p>
            <w:pPr>
              <w:pStyle w:val="TableText"/>
            </w:pPr>
            <w:r>
              <w:t>Include movement in the evidence timeline.</w:t>
            </w:r>
          </w:p>
        </w:tc>
        <w:tc>
          <w:tcPr>
            <w:tcW w:type="dxa" w:w="3610"/>
            <w:tcMar>
              <w:top w:w="80" w:type="dxa"/>
              <w:bottom w:w="80" w:type="dxa"/>
              <w:start w:w="120" w:type="dxa"/>
              <w:end w:w="120" w:type="dxa"/>
            </w:tcMar>
          </w:tcPr>
          <w:p>
            <w:pPr>
              <w:pStyle w:val="TableText"/>
            </w:pPr>
            <w:r>
              <w:t>Does not prove breakfast, water or medication intake.</w:t>
            </w:r>
          </w:p>
        </w:tc>
      </w:tr>
      <w:tr>
        <w:trPr>
          <w:cantSplit/>
        </w:trPr>
        <w:tc>
          <w:tcPr>
            <w:tcW w:type="dxa" w:w="2150"/>
            <w:tcMar>
              <w:top w:w="80" w:type="dxa"/>
              <w:bottom w:w="80" w:type="dxa"/>
              <w:start w:w="120" w:type="dxa"/>
              <w:end w:w="120" w:type="dxa"/>
            </w:tcMar>
          </w:tcPr>
          <w:p>
            <w:pPr>
              <w:pStyle w:val="TableText"/>
            </w:pPr>
            <w:r>
              <w:t>Main-door quiet hours</w:t>
            </w:r>
          </w:p>
        </w:tc>
        <w:tc>
          <w:tcPr>
            <w:tcW w:type="dxa" w:w="3600"/>
            <w:tcMar>
              <w:top w:w="80" w:type="dxa"/>
              <w:bottom w:w="80" w:type="dxa"/>
              <w:start w:w="120" w:type="dxa"/>
              <w:end w:w="120" w:type="dxa"/>
            </w:tcMar>
          </w:tcPr>
          <w:p>
            <w:pPr>
              <w:pStyle w:val="TableText"/>
            </w:pPr>
            <w:r>
              <w:t>Opt-in event notice with a repeat cap.</w:t>
            </w:r>
          </w:p>
        </w:tc>
        <w:tc>
          <w:tcPr>
            <w:tcW w:type="dxa" w:w="3610"/>
            <w:tcMar>
              <w:top w:w="80" w:type="dxa"/>
              <w:bottom w:w="80" w:type="dxa"/>
              <w:start w:w="120" w:type="dxa"/>
              <w:end w:w="120" w:type="dxa"/>
            </w:tcMar>
          </w:tcPr>
          <w:p>
            <w:pPr>
              <w:pStyle w:val="TableText"/>
            </w:pPr>
            <w:r>
              <w:t>No inferred departure/return or automatic away mode.</w:t>
            </w:r>
          </w:p>
        </w:tc>
      </w:tr>
      <w:tr>
        <w:trPr>
          <w:cantSplit/>
        </w:trPr>
        <w:tc>
          <w:tcPr>
            <w:tcW w:type="dxa" w:w="2150"/>
            <w:tcMar>
              <w:top w:w="80" w:type="dxa"/>
              <w:bottom w:w="80" w:type="dxa"/>
              <w:start w:w="120" w:type="dxa"/>
              <w:end w:w="120" w:type="dxa"/>
            </w:tcMar>
          </w:tcPr>
          <w:p>
            <w:pPr>
              <w:pStyle w:val="TableText"/>
            </w:pPr>
            <w:r>
              <w:t>Daily recap</w:t>
            </w:r>
          </w:p>
        </w:tc>
        <w:tc>
          <w:tcPr>
            <w:tcW w:type="dxa" w:w="3600"/>
            <w:tcMar>
              <w:top w:w="80" w:type="dxa"/>
              <w:bottom w:w="80" w:type="dxa"/>
              <w:start w:w="120" w:type="dxa"/>
              <w:end w:w="120" w:type="dxa"/>
            </w:tcMar>
          </w:tcPr>
          <w:p>
            <w:pPr>
              <w:pStyle w:val="TableText"/>
            </w:pPr>
            <w:r>
              <w:t>One opt-in summary after the morning window.</w:t>
            </w:r>
          </w:p>
        </w:tc>
        <w:tc>
          <w:tcPr>
            <w:tcW w:type="dxa" w:w="3610"/>
            <w:tcMar>
              <w:top w:w="80" w:type="dxa"/>
              <w:bottom w:w="80" w:type="dxa"/>
              <w:start w:w="120" w:type="dxa"/>
              <w:end w:w="120" w:type="dxa"/>
            </w:tcMar>
          </w:tcPr>
          <w:p>
            <w:pPr>
              <w:pStyle w:val="TableText"/>
            </w:pPr>
            <w:r>
              <w:t>Never clears an unresolved contact request.</w:t>
            </w:r>
          </w:p>
        </w:tc>
      </w:tr>
      <w:tr>
        <w:trPr>
          <w:cantSplit/>
        </w:trPr>
        <w:tc>
          <w:tcPr>
            <w:tcW w:type="dxa" w:w="2150"/>
            <w:tcMar>
              <w:top w:w="80" w:type="dxa"/>
              <w:bottom w:w="80" w:type="dxa"/>
              <w:start w:w="120" w:type="dxa"/>
              <w:end w:w="120" w:type="dxa"/>
            </w:tcMar>
          </w:tcPr>
          <w:p>
            <w:pPr>
              <w:pStyle w:val="TableText"/>
            </w:pPr>
            <w:r>
              <w:t>Away / guests / privacy</w:t>
            </w:r>
          </w:p>
        </w:tc>
        <w:tc>
          <w:tcPr>
            <w:tcW w:type="dxa" w:w="3600"/>
            <w:tcMar>
              <w:top w:w="80" w:type="dxa"/>
              <w:bottom w:w="80" w:type="dxa"/>
              <w:start w:w="120" w:type="dxa"/>
              <w:end w:w="120" w:type="dxa"/>
            </w:tcMar>
          </w:tcPr>
          <w:p>
            <w:pPr>
              <w:pStyle w:val="TableText"/>
            </w:pPr>
            <w:r>
              <w:t>Explicit modes change interpretation and data collection; visible locally and remotely.</w:t>
            </w:r>
          </w:p>
        </w:tc>
        <w:tc>
          <w:tcPr>
            <w:tcW w:type="dxa" w:w="3610"/>
            <w:tcMar>
              <w:top w:w="80" w:type="dxa"/>
              <w:bottom w:w="80" w:type="dxa"/>
              <w:start w:w="120" w:type="dxa"/>
              <w:end w:w="120" w:type="dxa"/>
            </w:tcMar>
          </w:tcPr>
          <w:p>
            <w:pPr>
              <w:pStyle w:val="TableText"/>
            </w:pPr>
            <w:r>
              <w:t>Visitors, pets and domestic workers can confound PIR evidence.</w:t>
            </w:r>
          </w:p>
        </w:tc>
      </w:tr>
    </w:tbl>
    <w:p>
      <w:pPr>
        <w:pStyle w:val="TableSpacer"/>
      </w:pPr>
    </w:p>
    <w:p>
      <w:pPr>
        <w:pStyle w:val="Heading2"/>
      </w:pPr>
      <w:r>
        <w:t>Decisions requiring confirmation before hardware freeze</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650"/>
        <w:gridCol w:w="4410"/>
        <w:gridCol w:w="4300"/>
      </w:tblGrid>
      <w:tr>
        <w:trPr>
          <w:cantSplit/>
          <w:tblHeader/>
        </w:trPr>
        <w:tc>
          <w:tcPr>
            <w:tcW w:type="dxa" w:w="650"/>
            <w:tcMar>
              <w:top w:w="80" w:type="dxa"/>
              <w:bottom w:w="80" w:type="dxa"/>
              <w:start w:w="120" w:type="dxa"/>
              <w:end w:w="120" w:type="dxa"/>
            </w:tcMar>
            <w:shd w:fill="E8EEF5"/>
          </w:tcPr>
          <w:p>
            <w:pPr>
              <w:pStyle w:val="TableText"/>
            </w:pPr>
            <w:r>
              <w:rPr>
                <w:b/>
              </w:rPr>
              <w:t>ID</w:t>
            </w:r>
          </w:p>
        </w:tc>
        <w:tc>
          <w:tcPr>
            <w:tcW w:type="dxa" w:w="4410"/>
            <w:tcMar>
              <w:top w:w="80" w:type="dxa"/>
              <w:bottom w:w="80" w:type="dxa"/>
              <w:start w:w="120" w:type="dxa"/>
              <w:end w:w="120" w:type="dxa"/>
            </w:tcMar>
            <w:shd w:fill="E8EEF5"/>
          </w:tcPr>
          <w:p>
            <w:pPr>
              <w:pStyle w:val="TableText"/>
            </w:pPr>
            <w:r>
              <w:rPr>
                <w:b/>
              </w:rPr>
              <w:t>Proposed baseline / unresolved item</w:t>
            </w:r>
          </w:p>
        </w:tc>
        <w:tc>
          <w:tcPr>
            <w:tcW w:type="dxa" w:w="4300"/>
            <w:tcMar>
              <w:top w:w="80" w:type="dxa"/>
              <w:bottom w:w="80" w:type="dxa"/>
              <w:start w:w="120" w:type="dxa"/>
              <w:end w:w="120" w:type="dxa"/>
            </w:tcMar>
            <w:shd w:fill="E8EEF5"/>
          </w:tcPr>
          <w:p>
            <w:pPr>
              <w:pStyle w:val="TableText"/>
            </w:pPr>
            <w:r>
              <w:rPr>
                <w:b/>
              </w:rPr>
              <w:t>Exit before build or field use</w:t>
            </w:r>
          </w:p>
        </w:tc>
      </w:tr>
      <w:tr>
        <w:trPr>
          <w:cantSplit/>
        </w:trPr>
        <w:tc>
          <w:tcPr>
            <w:tcW w:type="dxa" w:w="650"/>
            <w:tcMar>
              <w:top w:w="80" w:type="dxa"/>
              <w:bottom w:w="80" w:type="dxa"/>
              <w:start w:w="120" w:type="dxa"/>
              <w:end w:w="120" w:type="dxa"/>
            </w:tcMar>
          </w:tcPr>
          <w:p>
            <w:pPr>
              <w:pStyle w:val="TableText"/>
            </w:pPr>
            <w:r>
              <w:t>D01</w:t>
            </w:r>
          </w:p>
        </w:tc>
        <w:tc>
          <w:tcPr>
            <w:tcW w:type="dxa" w:w="4410"/>
            <w:tcMar>
              <w:top w:w="80" w:type="dxa"/>
              <w:bottom w:w="80" w:type="dxa"/>
              <w:start w:w="120" w:type="dxa"/>
              <w:end w:w="120" w:type="dxa"/>
            </w:tcMar>
          </w:tcPr>
          <w:p>
            <w:pPr>
              <w:pStyle w:val="TableText"/>
            </w:pPr>
            <w:r>
              <w:t>USB-powered hub with rechargeable backup is recommended, despite the original battery-only preference.</w:t>
            </w:r>
          </w:p>
        </w:tc>
        <w:tc>
          <w:tcPr>
            <w:tcW w:type="dxa" w:w="4300"/>
            <w:tcMar>
              <w:top w:w="80" w:type="dxa"/>
              <w:bottom w:w="80" w:type="dxa"/>
              <w:start w:w="120" w:type="dxa"/>
              <w:end w:w="120" w:type="dxa"/>
            </w:tcMar>
          </w:tcPr>
          <w:p>
            <w:pPr>
              <w:pStyle w:val="TableText"/>
            </w:pPr>
            <w:r>
              <w:t>Measure battery-side current/runtime; obtain agreement before production power design.</w:t>
            </w:r>
          </w:p>
        </w:tc>
      </w:tr>
      <w:tr>
        <w:trPr>
          <w:cantSplit/>
        </w:trPr>
        <w:tc>
          <w:tcPr>
            <w:tcW w:type="dxa" w:w="650"/>
            <w:tcMar>
              <w:top w:w="80" w:type="dxa"/>
              <w:bottom w:w="80" w:type="dxa"/>
              <w:start w:w="120" w:type="dxa"/>
              <w:end w:w="120" w:type="dxa"/>
            </w:tcMar>
          </w:tcPr>
          <w:p>
            <w:pPr>
              <w:pStyle w:val="TableText"/>
            </w:pPr>
            <w:r>
              <w:t>D02</w:t>
            </w:r>
          </w:p>
        </w:tc>
        <w:tc>
          <w:tcPr>
            <w:tcW w:type="dxa" w:w="4410"/>
            <w:tcMar>
              <w:top w:w="80" w:type="dxa"/>
              <w:bottom w:w="80" w:type="dxa"/>
              <w:start w:w="120" w:type="dxa"/>
              <w:end w:w="120" w:type="dxa"/>
            </w:tcMar>
          </w:tcPr>
          <w:p>
            <w:pPr>
              <w:pStyle w:val="TableText"/>
            </w:pPr>
            <w:r>
              <w:t>“BLC” may mean BL-5C, but exact pack is unknown.</w:t>
            </w:r>
          </w:p>
        </w:tc>
        <w:tc>
          <w:tcPr>
            <w:tcW w:type="dxa" w:w="4300"/>
            <w:tcMar>
              <w:top w:w="80" w:type="dxa"/>
              <w:bottom w:w="80" w:type="dxa"/>
              <w:start w:w="120" w:type="dxa"/>
              <w:end w:w="120" w:type="dxa"/>
            </w:tcMar>
          </w:tcPr>
          <w:p>
            <w:pPr>
              <w:pStyle w:val="TableText"/>
            </w:pPr>
            <w:r>
              <w:t>Obtain model, chemistry, rated voltage/capacity, protection, terminals and permitted charge current.</w:t>
            </w:r>
          </w:p>
        </w:tc>
      </w:tr>
      <w:tr>
        <w:trPr>
          <w:cantSplit/>
        </w:trPr>
        <w:tc>
          <w:tcPr>
            <w:tcW w:type="dxa" w:w="650"/>
            <w:tcMar>
              <w:top w:w="80" w:type="dxa"/>
              <w:bottom w:w="80" w:type="dxa"/>
              <w:start w:w="120" w:type="dxa"/>
              <w:end w:w="120" w:type="dxa"/>
            </w:tcMar>
          </w:tcPr>
          <w:p>
            <w:pPr>
              <w:pStyle w:val="TableText"/>
            </w:pPr>
            <w:r>
              <w:t>D03</w:t>
            </w:r>
          </w:p>
        </w:tc>
        <w:tc>
          <w:tcPr>
            <w:tcW w:type="dxa" w:w="4410"/>
            <w:tcMar>
              <w:top w:w="80" w:type="dxa"/>
              <w:bottom w:w="80" w:type="dxa"/>
              <w:start w:w="120" w:type="dxa"/>
              <w:end w:w="120" w:type="dxa"/>
            </w:tcMar>
          </w:tcPr>
          <w:p>
            <w:pPr>
              <w:pStyle w:val="TableText"/>
            </w:pPr>
            <w:r>
              <w:t>Two action buttons replace a multifunction button; add a privacy switch.</w:t>
            </w:r>
          </w:p>
        </w:tc>
        <w:tc>
          <w:tcPr>
            <w:tcW w:type="dxa" w:w="4300"/>
            <w:tcMar>
              <w:top w:w="80" w:type="dxa"/>
              <w:bottom w:w="80" w:type="dxa"/>
              <w:start w:w="120" w:type="dxa"/>
              <w:end w:w="120" w:type="dxa"/>
            </w:tcMar>
          </w:tcPr>
          <w:p>
            <w:pPr>
              <w:pStyle w:val="TableText"/>
            </w:pPr>
            <w:r>
              <w:t>Resident usability test of labels, reach and accidental activation.</w:t>
            </w:r>
          </w:p>
        </w:tc>
      </w:tr>
      <w:tr>
        <w:trPr>
          <w:cantSplit/>
        </w:trPr>
        <w:tc>
          <w:tcPr>
            <w:tcW w:type="dxa" w:w="650"/>
            <w:tcMar>
              <w:top w:w="80" w:type="dxa"/>
              <w:bottom w:w="80" w:type="dxa"/>
              <w:start w:w="120" w:type="dxa"/>
              <w:end w:w="120" w:type="dxa"/>
            </w:tcMar>
          </w:tcPr>
          <w:p>
            <w:pPr>
              <w:pStyle w:val="TableText"/>
            </w:pPr>
            <w:r>
              <w:t>D04</w:t>
            </w:r>
          </w:p>
        </w:tc>
        <w:tc>
          <w:tcPr>
            <w:tcW w:type="dxa" w:w="4410"/>
            <w:tcMar>
              <w:top w:w="80" w:type="dxa"/>
              <w:bottom w:w="80" w:type="dxa"/>
              <w:start w:w="120" w:type="dxa"/>
              <w:end w:w="120" w:type="dxa"/>
            </w:tcMar>
          </w:tcPr>
          <w:p>
            <w:pPr>
              <w:pStyle w:val="TableText"/>
            </w:pPr>
            <w:r>
              <w:t>Assisted USB provisioning; PWA remote interface; Web Push only.</w:t>
            </w:r>
          </w:p>
        </w:tc>
        <w:tc>
          <w:tcPr>
            <w:tcW w:type="dxa" w:w="4300"/>
            <w:tcMar>
              <w:top w:w="80" w:type="dxa"/>
              <w:bottom w:w="80" w:type="dxa"/>
              <w:start w:w="120" w:type="dxa"/>
              <w:end w:w="120" w:type="dxa"/>
            </w:tcMar>
          </w:tcPr>
          <w:p>
            <w:pPr>
              <w:pStyle w:val="TableText"/>
            </w:pPr>
            <w:r>
              <w:t>Test target phones and installation process before unattended pilot.</w:t>
            </w:r>
          </w:p>
        </w:tc>
      </w:tr>
      <w:tr>
        <w:trPr>
          <w:cantSplit/>
        </w:trPr>
        <w:tc>
          <w:tcPr>
            <w:tcW w:type="dxa" w:w="650"/>
            <w:tcMar>
              <w:top w:w="80" w:type="dxa"/>
              <w:bottom w:w="80" w:type="dxa"/>
              <w:start w:w="120" w:type="dxa"/>
              <w:end w:w="120" w:type="dxa"/>
            </w:tcMar>
          </w:tcPr>
          <w:p>
            <w:pPr>
              <w:pStyle w:val="TableText"/>
            </w:pPr>
            <w:r>
              <w:t>D05</w:t>
            </w:r>
          </w:p>
        </w:tc>
        <w:tc>
          <w:tcPr>
            <w:tcW w:type="dxa" w:w="4410"/>
            <w:tcMar>
              <w:top w:w="80" w:type="dxa"/>
              <w:bottom w:w="80" w:type="dxa"/>
              <w:start w:w="120" w:type="dxa"/>
              <w:end w:w="120" w:type="dxa"/>
            </w:tcMar>
          </w:tcPr>
          <w:p>
            <w:pPr>
              <w:pStyle w:val="TableText"/>
            </w:pPr>
            <w:r>
              <w:t>Use exact board profiles; no guessed GPIO pinout.</w:t>
            </w:r>
          </w:p>
        </w:tc>
        <w:tc>
          <w:tcPr>
            <w:tcW w:type="dxa" w:w="4300"/>
            <w:tcMar>
              <w:top w:w="80" w:type="dxa"/>
              <w:bottom w:w="80" w:type="dxa"/>
              <w:start w:w="120" w:type="dxa"/>
              <w:end w:w="120" w:type="dxa"/>
            </w:tcMar>
          </w:tcPr>
          <w:p>
            <w:pPr>
              <w:pStyle w:val="TableText"/>
            </w:pPr>
            <w:r>
              <w:t>Schematic/pin audit, flash size, wake-capable pins and charge circuit review.</w:t>
            </w:r>
          </w:p>
        </w:tc>
      </w:tr>
      <w:tr>
        <w:trPr>
          <w:cantSplit/>
        </w:trPr>
        <w:tc>
          <w:tcPr>
            <w:tcW w:type="dxa" w:w="650"/>
            <w:tcMar>
              <w:top w:w="80" w:type="dxa"/>
              <w:bottom w:w="80" w:type="dxa"/>
              <w:start w:w="120" w:type="dxa"/>
              <w:end w:w="120" w:type="dxa"/>
            </w:tcMar>
          </w:tcPr>
          <w:p>
            <w:pPr>
              <w:pStyle w:val="TableText"/>
            </w:pPr>
            <w:r>
              <w:t>D06</w:t>
            </w:r>
          </w:p>
        </w:tc>
        <w:tc>
          <w:tcPr>
            <w:tcW w:type="dxa" w:w="4410"/>
            <w:tcMar>
              <w:top w:w="80" w:type="dxa"/>
              <w:bottom w:w="80" w:type="dxa"/>
              <w:start w:w="120" w:type="dxa"/>
              <w:end w:w="120" w:type="dxa"/>
            </w:tcMar>
          </w:tcPr>
          <w:p>
            <w:pPr>
              <w:pStyle w:val="TableText"/>
            </w:pPr>
            <w:r>
              <w:t>Prototype is not safety-certified or a medical service.</w:t>
            </w:r>
          </w:p>
        </w:tc>
        <w:tc>
          <w:tcPr>
            <w:tcW w:type="dxa" w:w="4300"/>
            <w:tcMar>
              <w:top w:w="80" w:type="dxa"/>
              <w:bottom w:w="80" w:type="dxa"/>
              <w:start w:w="120" w:type="dxa"/>
              <w:end w:w="120" w:type="dxa"/>
            </w:tcMar>
          </w:tcPr>
          <w:p>
            <w:pPr>
              <w:pStyle w:val="TableText"/>
            </w:pPr>
            <w:r>
              <w:t>Intended-use, product-claims, electrical/radio/privacy and customer-terms review before paid launch.</w:t>
            </w:r>
          </w:p>
        </w:tc>
      </w:tr>
    </w:tbl>
    <w:p>
      <w:pPr>
        <w:pStyle w:val="TableSpacer"/>
      </w:pPr>
    </w:p>
    <w:p>
      <w:bookmarkStart w:id="2" w:name="catalog"/>
      <w:pPr>
        <w:pStyle w:val="Heading1"/>
        <w:pageBreakBefore/>
      </w:pPr>
      <w:r>
        <w:t>2. Complete P0 catalogue</w:t>
      </w:r>
      <w:bookmarkEnd w:id="2"/>
    </w:p>
    <w:p>
      <w:pPr>
        <w:pStyle w:val="SpecBody"/>
      </w:pPr>
      <w:r>
        <w:t>All 24 items belong to P0. Bench delivery may stub external recipients or use USB maintenance, but the unattended pilot shall satisfy every relevant acceptance test. IDs remain stable across backlog, code reviews, tests and release evidence. Each detailed feature page lists its owning modules and expected test results.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650"/>
        <w:gridCol w:w="4800"/>
        <w:gridCol w:w="3910"/>
      </w:tblGrid>
      <w:tr>
        <w:trPr>
          <w:cantSplit/>
          <w:tblHeader/>
        </w:trPr>
        <w:tc>
          <w:tcPr>
            <w:tcW w:type="dxa" w:w="650"/>
            <w:tcMar>
              <w:top w:w="80" w:type="dxa"/>
              <w:bottom w:w="80" w:type="dxa"/>
              <w:start w:w="120" w:type="dxa"/>
              <w:end w:w="120" w:type="dxa"/>
            </w:tcMar>
            <w:shd w:fill="E8EEF5"/>
          </w:tcPr>
          <w:p>
            <w:pPr>
              <w:pStyle w:val="TableText"/>
            </w:pPr>
            <w:r>
              <w:rPr>
                <w:b/>
              </w:rPr>
              <w:t>ID</w:t>
            </w:r>
          </w:p>
        </w:tc>
        <w:tc>
          <w:tcPr>
            <w:tcW w:type="dxa" w:w="4800"/>
            <w:tcMar>
              <w:top w:w="80" w:type="dxa"/>
              <w:bottom w:w="80" w:type="dxa"/>
              <w:start w:w="120" w:type="dxa"/>
              <w:end w:w="120" w:type="dxa"/>
            </w:tcMar>
            <w:shd w:fill="E8EEF5"/>
          </w:tcPr>
          <w:p>
            <w:pPr>
              <w:pStyle w:val="TableText"/>
            </w:pPr>
            <w:r>
              <w:rPr>
                <w:b/>
              </w:rPr>
              <w:t>Feature</w:t>
            </w:r>
          </w:p>
        </w:tc>
        <w:tc>
          <w:tcPr>
            <w:tcW w:type="dxa" w:w="3910"/>
            <w:tcMar>
              <w:top w:w="80" w:type="dxa"/>
              <w:bottom w:w="80" w:type="dxa"/>
              <w:start w:w="120" w:type="dxa"/>
              <w:end w:w="120" w:type="dxa"/>
            </w:tcMar>
            <w:shd w:fill="E8EEF5"/>
          </w:tcPr>
          <w:p>
            <w:pPr>
              <w:pStyle w:val="TableText"/>
            </w:pPr>
            <w:r>
              <w:rPr>
                <w:b/>
              </w:rPr>
              <w:t>Primary ownership</w:t>
            </w:r>
          </w:p>
        </w:tc>
      </w:tr>
      <w:tr>
        <w:trPr>
          <w:cantSplit/>
        </w:trPr>
        <w:tc>
          <w:tcPr>
            <w:tcW w:type="dxa" w:w="650"/>
            <w:tcMar>
              <w:top w:w="80" w:type="dxa"/>
              <w:bottom w:w="80" w:type="dxa"/>
              <w:start w:w="120" w:type="dxa"/>
              <w:end w:w="120" w:type="dxa"/>
            </w:tcMar>
          </w:tcPr>
          <w:p>
            <w:pPr>
              <w:pStyle w:val="TableText"/>
            </w:pPr>
            <w:r>
              <w:t>F01</w:t>
            </w:r>
          </w:p>
        </w:tc>
        <w:tc>
          <w:tcPr>
            <w:tcW w:type="dxa" w:w="4800"/>
            <w:tcMar>
              <w:top w:w="80" w:type="dxa"/>
              <w:bottom w:w="80" w:type="dxa"/>
              <w:start w:w="120" w:type="dxa"/>
              <w:end w:w="120" w:type="dxa"/>
            </w:tcMar>
          </w:tcPr>
          <w:p>
            <w:pPr>
              <w:pStyle w:val="TableText"/>
            </w:pPr>
            <w:r>
              <w:t>Household profile and caregiver roles</w:t>
            </w:r>
          </w:p>
        </w:tc>
        <w:tc>
          <w:tcPr>
            <w:tcW w:type="dxa" w:w="3910"/>
            <w:tcMar>
              <w:top w:w="80" w:type="dxa"/>
              <w:bottom w:w="80" w:type="dxa"/>
              <w:start w:w="120" w:type="dxa"/>
              <w:end w:w="120" w:type="dxa"/>
            </w:tcMar>
          </w:tcPr>
          <w:p>
            <w:pPr>
              <w:pStyle w:val="TableText"/>
            </w:pPr>
            <w:r>
              <w:t>B01, B02, A01, S01</w:t>
            </w:r>
          </w:p>
        </w:tc>
      </w:tr>
      <w:tr>
        <w:trPr>
          <w:cantSplit/>
        </w:trPr>
        <w:tc>
          <w:tcPr>
            <w:tcW w:type="dxa" w:w="650"/>
            <w:tcMar>
              <w:top w:w="80" w:type="dxa"/>
              <w:bottom w:w="80" w:type="dxa"/>
              <w:start w:w="120" w:type="dxa"/>
              <w:end w:w="120" w:type="dxa"/>
            </w:tcMar>
          </w:tcPr>
          <w:p>
            <w:pPr>
              <w:pStyle w:val="TableText"/>
            </w:pPr>
            <w:r>
              <w:t>F02</w:t>
            </w:r>
          </w:p>
        </w:tc>
        <w:tc>
          <w:tcPr>
            <w:tcW w:type="dxa" w:w="4800"/>
            <w:tcMar>
              <w:top w:w="80" w:type="dxa"/>
              <w:bottom w:w="80" w:type="dxa"/>
              <w:start w:w="120" w:type="dxa"/>
              <w:end w:w="120" w:type="dxa"/>
            </w:tcMar>
          </w:tcPr>
          <w:p>
            <w:pPr>
              <w:pStyle w:val="TableText"/>
            </w:pPr>
            <w:r>
              <w:t>Resident consent and privacy controls</w:t>
            </w:r>
          </w:p>
        </w:tc>
        <w:tc>
          <w:tcPr>
            <w:tcW w:type="dxa" w:w="3910"/>
            <w:tcMar>
              <w:top w:w="80" w:type="dxa"/>
              <w:bottom w:w="80" w:type="dxa"/>
              <w:start w:w="120" w:type="dxa"/>
              <w:end w:w="120" w:type="dxa"/>
            </w:tcMar>
          </w:tcPr>
          <w:p>
            <w:pPr>
              <w:pStyle w:val="TableText"/>
            </w:pPr>
            <w:r>
              <w:t>B02, H06, H07, A01, B08</w:t>
            </w:r>
          </w:p>
        </w:tc>
      </w:tr>
      <w:tr>
        <w:trPr>
          <w:cantSplit/>
        </w:trPr>
        <w:tc>
          <w:tcPr>
            <w:tcW w:type="dxa" w:w="650"/>
            <w:tcMar>
              <w:top w:w="80" w:type="dxa"/>
              <w:bottom w:w="80" w:type="dxa"/>
              <w:start w:w="120" w:type="dxa"/>
              <w:end w:w="120" w:type="dxa"/>
            </w:tcMar>
          </w:tcPr>
          <w:p>
            <w:pPr>
              <w:pStyle w:val="TableText"/>
            </w:pPr>
            <w:r>
              <w:t>F03</w:t>
            </w:r>
          </w:p>
        </w:tc>
        <w:tc>
          <w:tcPr>
            <w:tcW w:type="dxa" w:w="4800"/>
            <w:tcMar>
              <w:top w:w="80" w:type="dxa"/>
              <w:bottom w:w="80" w:type="dxa"/>
              <w:start w:w="120" w:type="dxa"/>
              <w:end w:w="120" w:type="dxa"/>
            </w:tcMar>
          </w:tcPr>
          <w:p>
            <w:pPr>
              <w:pStyle w:val="TableText"/>
            </w:pPr>
            <w:r>
              <w:t>Kit provisioning and installation verification</w:t>
            </w:r>
          </w:p>
        </w:tc>
        <w:tc>
          <w:tcPr>
            <w:tcW w:type="dxa" w:w="3910"/>
            <w:tcMar>
              <w:top w:w="80" w:type="dxa"/>
              <w:bottom w:w="80" w:type="dxa"/>
              <w:start w:w="120" w:type="dxa"/>
              <w:end w:w="120" w:type="dxa"/>
            </w:tcMar>
          </w:tcPr>
          <w:p>
            <w:pPr>
              <w:pStyle w:val="TableText"/>
            </w:pPr>
            <w:r>
              <w:t>N04, H07, B06, A01, S03, T02</w:t>
            </w:r>
          </w:p>
        </w:tc>
      </w:tr>
      <w:tr>
        <w:trPr>
          <w:cantSplit/>
        </w:trPr>
        <w:tc>
          <w:tcPr>
            <w:tcW w:type="dxa" w:w="650"/>
            <w:tcMar>
              <w:top w:w="80" w:type="dxa"/>
              <w:bottom w:w="80" w:type="dxa"/>
              <w:start w:w="120" w:type="dxa"/>
              <w:end w:w="120" w:type="dxa"/>
            </w:tcMar>
          </w:tcPr>
          <w:p>
            <w:pPr>
              <w:pStyle w:val="TableText"/>
            </w:pPr>
            <w:r>
              <w:t>F04</w:t>
            </w:r>
          </w:p>
        </w:tc>
        <w:tc>
          <w:tcPr>
            <w:tcW w:type="dxa" w:w="4800"/>
            <w:tcMar>
              <w:top w:w="80" w:type="dxa"/>
              <w:bottom w:w="80" w:type="dxa"/>
              <w:start w:w="120" w:type="dxa"/>
              <w:end w:w="120" w:type="dxa"/>
            </w:tcMar>
          </w:tcPr>
          <w:p>
            <w:pPr>
              <w:pStyle w:val="TableText"/>
            </w:pPr>
            <w:r>
              <w:t>Configurable morning routine</w:t>
            </w:r>
          </w:p>
        </w:tc>
        <w:tc>
          <w:tcPr>
            <w:tcW w:type="dxa" w:w="3910"/>
            <w:tcMar>
              <w:top w:w="80" w:type="dxa"/>
              <w:bottom w:w="80" w:type="dxa"/>
              <w:start w:w="120" w:type="dxa"/>
              <w:end w:w="120" w:type="dxa"/>
            </w:tcMar>
          </w:tcPr>
          <w:p>
            <w:pPr>
              <w:pStyle w:val="TableText"/>
            </w:pPr>
            <w:r>
              <w:t>A03, B06, H07, H03, H05, S02</w:t>
            </w:r>
          </w:p>
        </w:tc>
      </w:tr>
      <w:tr>
        <w:trPr>
          <w:cantSplit/>
        </w:trPr>
        <w:tc>
          <w:tcPr>
            <w:tcW w:type="dxa" w:w="650"/>
            <w:tcMar>
              <w:top w:w="80" w:type="dxa"/>
              <w:bottom w:w="80" w:type="dxa"/>
              <w:start w:w="120" w:type="dxa"/>
              <w:end w:w="120" w:type="dxa"/>
            </w:tcMar>
          </w:tcPr>
          <w:p>
            <w:pPr>
              <w:pStyle w:val="TableText"/>
            </w:pPr>
            <w:r>
              <w:t>F05</w:t>
            </w:r>
          </w:p>
        </w:tc>
        <w:tc>
          <w:tcPr>
            <w:tcW w:type="dxa" w:w="4800"/>
            <w:tcMar>
              <w:top w:w="80" w:type="dxa"/>
              <w:bottom w:w="80" w:type="dxa"/>
              <w:start w:w="120" w:type="dxa"/>
              <w:end w:w="120" w:type="dxa"/>
            </w:tcMar>
          </w:tcPr>
          <w:p>
            <w:pPr>
              <w:pStyle w:val="TableText"/>
            </w:pPr>
            <w:r>
              <w:t>Morning activity evidence</w:t>
            </w:r>
          </w:p>
        </w:tc>
        <w:tc>
          <w:tcPr>
            <w:tcW w:type="dxa" w:w="3910"/>
            <w:tcMar>
              <w:top w:w="80" w:type="dxa"/>
              <w:bottom w:w="80" w:type="dxa"/>
              <w:start w:w="120" w:type="dxa"/>
              <w:end w:w="120" w:type="dxa"/>
            </w:tcMar>
          </w:tcPr>
          <w:p>
            <w:pPr>
              <w:pStyle w:val="TableText"/>
            </w:pPr>
            <w:r>
              <w:t>N01, H01, H02, H05, S02, B07, A02</w:t>
            </w:r>
          </w:p>
        </w:tc>
      </w:tr>
      <w:tr>
        <w:trPr>
          <w:cantSplit/>
        </w:trPr>
        <w:tc>
          <w:tcPr>
            <w:tcW w:type="dxa" w:w="650"/>
            <w:tcMar>
              <w:top w:w="80" w:type="dxa"/>
              <w:bottom w:w="80" w:type="dxa"/>
              <w:start w:w="120" w:type="dxa"/>
              <w:end w:w="120" w:type="dxa"/>
            </w:tcMar>
          </w:tcPr>
          <w:p>
            <w:pPr>
              <w:pStyle w:val="TableText"/>
            </w:pPr>
            <w:r>
              <w:t>F06</w:t>
            </w:r>
          </w:p>
        </w:tc>
        <w:tc>
          <w:tcPr>
            <w:tcW w:type="dxa" w:w="4800"/>
            <w:tcMar>
              <w:top w:w="80" w:type="dxa"/>
              <w:bottom w:w="80" w:type="dxa"/>
              <w:start w:w="120" w:type="dxa"/>
              <w:end w:w="120" w:type="dxa"/>
            </w:tcMar>
          </w:tcPr>
          <w:p>
            <w:pPr>
              <w:pStyle w:val="TableText"/>
            </w:pPr>
            <w:r>
              <w:t>Explicit “I’m OK” check-in</w:t>
            </w:r>
          </w:p>
        </w:tc>
        <w:tc>
          <w:tcPr>
            <w:tcW w:type="dxa" w:w="3910"/>
            <w:tcMar>
              <w:top w:w="80" w:type="dxa"/>
              <w:bottom w:w="80" w:type="dxa"/>
              <w:start w:w="120" w:type="dxa"/>
              <w:end w:w="120" w:type="dxa"/>
            </w:tcMar>
          </w:tcPr>
          <w:p>
            <w:pPr>
              <w:pStyle w:val="TableText"/>
            </w:pPr>
            <w:r>
              <w:t>H06, H02, H05, S02, B07, A02</w:t>
            </w:r>
          </w:p>
        </w:tc>
      </w:tr>
      <w:tr>
        <w:trPr>
          <w:cantSplit/>
        </w:trPr>
        <w:tc>
          <w:tcPr>
            <w:tcW w:type="dxa" w:w="650"/>
            <w:tcMar>
              <w:top w:w="80" w:type="dxa"/>
              <w:bottom w:w="80" w:type="dxa"/>
              <w:start w:w="120" w:type="dxa"/>
              <w:end w:w="120" w:type="dxa"/>
            </w:tcMar>
          </w:tcPr>
          <w:p>
            <w:pPr>
              <w:pStyle w:val="TableText"/>
            </w:pPr>
            <w:r>
              <w:t>F07</w:t>
            </w:r>
          </w:p>
        </w:tc>
        <w:tc>
          <w:tcPr>
            <w:tcW w:type="dxa" w:w="4800"/>
            <w:tcMar>
              <w:top w:w="80" w:type="dxa"/>
              <w:bottom w:w="80" w:type="dxa"/>
              <w:start w:w="120" w:type="dxa"/>
              <w:end w:w="120" w:type="dxa"/>
            </w:tcMar>
          </w:tcPr>
          <w:p>
            <w:pPr>
              <w:pStyle w:val="TableText"/>
            </w:pPr>
            <w:r>
              <w:t>“Call family” request</w:t>
            </w:r>
          </w:p>
        </w:tc>
        <w:tc>
          <w:tcPr>
            <w:tcW w:type="dxa" w:w="3910"/>
            <w:tcMar>
              <w:top w:w="80" w:type="dxa"/>
              <w:bottom w:w="80" w:type="dxa"/>
              <w:start w:w="120" w:type="dxa"/>
              <w:end w:w="120" w:type="dxa"/>
            </w:tcMar>
          </w:tcPr>
          <w:p>
            <w:pPr>
              <w:pStyle w:val="TableText"/>
            </w:pPr>
            <w:r>
              <w:t>H06, H02, H05, B04, B05, A04</w:t>
            </w:r>
          </w:p>
        </w:tc>
      </w:tr>
      <w:tr>
        <w:trPr>
          <w:cantSplit/>
        </w:trPr>
        <w:tc>
          <w:tcPr>
            <w:tcW w:type="dxa" w:w="650"/>
            <w:tcMar>
              <w:top w:w="80" w:type="dxa"/>
              <w:bottom w:w="80" w:type="dxa"/>
              <w:start w:w="120" w:type="dxa"/>
              <w:end w:w="120" w:type="dxa"/>
            </w:tcMar>
          </w:tcPr>
          <w:p>
            <w:pPr>
              <w:pStyle w:val="TableText"/>
            </w:pPr>
            <w:r>
              <w:t>F08</w:t>
            </w:r>
          </w:p>
        </w:tc>
        <w:tc>
          <w:tcPr>
            <w:tcW w:type="dxa" w:w="4800"/>
            <w:tcMar>
              <w:top w:w="80" w:type="dxa"/>
              <w:bottom w:w="80" w:type="dxa"/>
              <w:start w:w="120" w:type="dxa"/>
              <w:end w:w="120" w:type="dxa"/>
            </w:tcMar>
          </w:tcPr>
          <w:p>
            <w:pPr>
              <w:pStyle w:val="TableText"/>
            </w:pPr>
            <w:r>
              <w:t>Missing morning activity workflow</w:t>
            </w:r>
          </w:p>
        </w:tc>
        <w:tc>
          <w:tcPr>
            <w:tcW w:type="dxa" w:w="3910"/>
            <w:tcMar>
              <w:top w:w="80" w:type="dxa"/>
              <w:bottom w:w="80" w:type="dxa"/>
              <w:start w:w="120" w:type="dxa"/>
              <w:end w:w="120" w:type="dxa"/>
            </w:tcMar>
          </w:tcPr>
          <w:p>
            <w:pPr>
              <w:pStyle w:val="TableText"/>
            </w:pPr>
            <w:r>
              <w:t>H03, H04, H05, S02, B04, B05</w:t>
            </w:r>
          </w:p>
        </w:tc>
      </w:tr>
      <w:tr>
        <w:trPr>
          <w:cantSplit/>
        </w:trPr>
        <w:tc>
          <w:tcPr>
            <w:tcW w:type="dxa" w:w="650"/>
            <w:tcMar>
              <w:top w:w="80" w:type="dxa"/>
              <w:bottom w:w="80" w:type="dxa"/>
              <w:start w:w="120" w:type="dxa"/>
              <w:end w:w="120" w:type="dxa"/>
            </w:tcMar>
          </w:tcPr>
          <w:p>
            <w:pPr>
              <w:pStyle w:val="TableText"/>
            </w:pPr>
            <w:r>
              <w:t>F09</w:t>
            </w:r>
          </w:p>
        </w:tc>
        <w:tc>
          <w:tcPr>
            <w:tcW w:type="dxa" w:w="4800"/>
            <w:tcMar>
              <w:top w:w="80" w:type="dxa"/>
              <w:bottom w:w="80" w:type="dxa"/>
              <w:start w:w="120" w:type="dxa"/>
              <w:end w:w="120" w:type="dxa"/>
            </w:tcMar>
          </w:tcPr>
          <w:p>
            <w:pPr>
              <w:pStyle w:val="TableText"/>
            </w:pPr>
            <w:r>
              <w:t>Main-door event history and quiet-hour notice</w:t>
            </w:r>
          </w:p>
        </w:tc>
        <w:tc>
          <w:tcPr>
            <w:tcW w:type="dxa" w:w="3910"/>
            <w:tcMar>
              <w:top w:w="80" w:type="dxa"/>
              <w:bottom w:w="80" w:type="dxa"/>
              <w:start w:w="120" w:type="dxa"/>
              <w:end w:w="120" w:type="dxa"/>
            </w:tcMar>
          </w:tcPr>
          <w:p>
            <w:pPr>
              <w:pStyle w:val="TableText"/>
            </w:pPr>
            <w:r>
              <w:t>N01, H05, S02, B07, B05, A02</w:t>
            </w:r>
          </w:p>
        </w:tc>
      </w:tr>
      <w:tr>
        <w:trPr>
          <w:cantSplit/>
        </w:trPr>
        <w:tc>
          <w:tcPr>
            <w:tcW w:type="dxa" w:w="650"/>
            <w:tcMar>
              <w:top w:w="80" w:type="dxa"/>
              <w:bottom w:w="80" w:type="dxa"/>
              <w:start w:w="120" w:type="dxa"/>
              <w:end w:w="120" w:type="dxa"/>
            </w:tcMar>
          </w:tcPr>
          <w:p>
            <w:pPr>
              <w:pStyle w:val="TableText"/>
            </w:pPr>
            <w:r>
              <w:t>F10</w:t>
            </w:r>
          </w:p>
        </w:tc>
        <w:tc>
          <w:tcPr>
            <w:tcW w:type="dxa" w:w="4800"/>
            <w:tcMar>
              <w:top w:w="80" w:type="dxa"/>
              <w:bottom w:w="80" w:type="dxa"/>
              <w:start w:w="120" w:type="dxa"/>
              <w:end w:w="120" w:type="dxa"/>
            </w:tcMar>
          </w:tcPr>
          <w:p>
            <w:pPr>
              <w:pStyle w:val="TableText"/>
            </w:pPr>
            <w:r>
              <w:t>Away, pause and visitor modes</w:t>
            </w:r>
          </w:p>
        </w:tc>
        <w:tc>
          <w:tcPr>
            <w:tcW w:type="dxa" w:w="3910"/>
            <w:tcMar>
              <w:top w:w="80" w:type="dxa"/>
              <w:bottom w:w="80" w:type="dxa"/>
              <w:start w:w="120" w:type="dxa"/>
              <w:end w:w="120" w:type="dxa"/>
            </w:tcMar>
          </w:tcPr>
          <w:p>
            <w:pPr>
              <w:pStyle w:val="TableText"/>
            </w:pPr>
            <w:r>
              <w:t>A03, B02, H07, H06, H05, S02</w:t>
            </w:r>
          </w:p>
        </w:tc>
      </w:tr>
      <w:tr>
        <w:trPr>
          <w:cantSplit/>
        </w:trPr>
        <w:tc>
          <w:tcPr>
            <w:tcW w:type="dxa" w:w="650"/>
            <w:tcMar>
              <w:top w:w="80" w:type="dxa"/>
              <w:bottom w:w="80" w:type="dxa"/>
              <w:start w:w="120" w:type="dxa"/>
              <w:end w:w="120" w:type="dxa"/>
            </w:tcMar>
          </w:tcPr>
          <w:p>
            <w:pPr>
              <w:pStyle w:val="TableText"/>
            </w:pPr>
            <w:r>
              <w:t>F11</w:t>
            </w:r>
          </w:p>
        </w:tc>
        <w:tc>
          <w:tcPr>
            <w:tcW w:type="dxa" w:w="4800"/>
            <w:tcMar>
              <w:top w:w="80" w:type="dxa"/>
              <w:bottom w:w="80" w:type="dxa"/>
              <w:start w:w="120" w:type="dxa"/>
              <w:end w:w="120" w:type="dxa"/>
            </w:tcMar>
          </w:tcPr>
          <w:p>
            <w:pPr>
              <w:pStyle w:val="TableText"/>
            </w:pPr>
            <w:r>
              <w:t>Caregiver home screen and evidence timeline</w:t>
            </w:r>
          </w:p>
        </w:tc>
        <w:tc>
          <w:tcPr>
            <w:tcW w:type="dxa" w:w="3910"/>
            <w:tcMar>
              <w:top w:w="80" w:type="dxa"/>
              <w:bottom w:w="80" w:type="dxa"/>
              <w:start w:w="120" w:type="dxa"/>
              <w:end w:w="120" w:type="dxa"/>
            </w:tcMar>
          </w:tcPr>
          <w:p>
            <w:pPr>
              <w:pStyle w:val="TableText"/>
            </w:pPr>
            <w:r>
              <w:t>B07, B08, A02, A05</w:t>
            </w:r>
          </w:p>
        </w:tc>
      </w:tr>
      <w:tr>
        <w:trPr>
          <w:cantSplit/>
        </w:trPr>
        <w:tc>
          <w:tcPr>
            <w:tcW w:type="dxa" w:w="650"/>
            <w:tcMar>
              <w:top w:w="80" w:type="dxa"/>
              <w:bottom w:w="80" w:type="dxa"/>
              <w:start w:w="120" w:type="dxa"/>
              <w:end w:w="120" w:type="dxa"/>
            </w:tcMar>
          </w:tcPr>
          <w:p>
            <w:pPr>
              <w:pStyle w:val="TableText"/>
            </w:pPr>
            <w:r>
              <w:t>F12</w:t>
            </w:r>
          </w:p>
        </w:tc>
        <w:tc>
          <w:tcPr>
            <w:tcW w:type="dxa" w:w="4800"/>
            <w:tcMar>
              <w:top w:w="80" w:type="dxa"/>
              <w:bottom w:w="80" w:type="dxa"/>
              <w:start w:w="120" w:type="dxa"/>
              <w:end w:w="120" w:type="dxa"/>
            </w:tcMar>
          </w:tcPr>
          <w:p>
            <w:pPr>
              <w:pStyle w:val="TableText"/>
            </w:pPr>
            <w:r>
              <w:t>Caregiver acknowledgement and resolution</w:t>
            </w:r>
          </w:p>
        </w:tc>
        <w:tc>
          <w:tcPr>
            <w:tcW w:type="dxa" w:w="3910"/>
            <w:tcMar>
              <w:top w:w="80" w:type="dxa"/>
              <w:bottom w:w="80" w:type="dxa"/>
              <w:start w:w="120" w:type="dxa"/>
              <w:end w:w="120" w:type="dxa"/>
            </w:tcMar>
          </w:tcPr>
          <w:p>
            <w:pPr>
              <w:pStyle w:val="TableText"/>
            </w:pPr>
            <w:r>
              <w:t>B04, B07, B05, A04, H08</w:t>
            </w:r>
          </w:p>
        </w:tc>
      </w:tr>
      <w:tr>
        <w:trPr>
          <w:cantSplit/>
        </w:trPr>
        <w:tc>
          <w:tcPr>
            <w:tcW w:type="dxa" w:w="650"/>
            <w:tcMar>
              <w:top w:w="80" w:type="dxa"/>
              <w:bottom w:w="80" w:type="dxa"/>
              <w:start w:w="120" w:type="dxa"/>
              <w:end w:w="120" w:type="dxa"/>
            </w:tcMar>
          </w:tcPr>
          <w:p>
            <w:pPr>
              <w:pStyle w:val="TableText"/>
            </w:pPr>
            <w:r>
              <w:t>F13</w:t>
            </w:r>
          </w:p>
        </w:tc>
        <w:tc>
          <w:tcPr>
            <w:tcW w:type="dxa" w:w="4800"/>
            <w:tcMar>
              <w:top w:w="80" w:type="dxa"/>
              <w:bottom w:w="80" w:type="dxa"/>
              <w:start w:w="120" w:type="dxa"/>
              <w:end w:w="120" w:type="dxa"/>
            </w:tcMar>
          </w:tcPr>
          <w:p>
            <w:pPr>
              <w:pStyle w:val="TableText"/>
            </w:pPr>
            <w:r>
              <w:t>Backup caregiver routing and delivery visibility</w:t>
            </w:r>
          </w:p>
        </w:tc>
        <w:tc>
          <w:tcPr>
            <w:tcW w:type="dxa" w:w="3910"/>
            <w:tcMar>
              <w:top w:w="80" w:type="dxa"/>
              <w:bottom w:w="80" w:type="dxa"/>
              <w:start w:w="120" w:type="dxa"/>
              <w:end w:w="120" w:type="dxa"/>
            </w:tcMar>
          </w:tcPr>
          <w:p>
            <w:pPr>
              <w:pStyle w:val="TableText"/>
            </w:pPr>
            <w:r>
              <w:t>B05, B04, B08, A04, A05</w:t>
            </w:r>
          </w:p>
        </w:tc>
      </w:tr>
      <w:tr>
        <w:trPr>
          <w:cantSplit/>
        </w:trPr>
        <w:tc>
          <w:tcPr>
            <w:tcW w:type="dxa" w:w="650"/>
            <w:tcMar>
              <w:top w:w="80" w:type="dxa"/>
              <w:bottom w:w="80" w:type="dxa"/>
              <w:start w:w="120" w:type="dxa"/>
              <w:end w:w="120" w:type="dxa"/>
            </w:tcMar>
          </w:tcPr>
          <w:p>
            <w:pPr>
              <w:pStyle w:val="TableText"/>
            </w:pPr>
            <w:r>
              <w:t>F14</w:t>
            </w:r>
          </w:p>
        </w:tc>
        <w:tc>
          <w:tcPr>
            <w:tcW w:type="dxa" w:w="4800"/>
            <w:tcMar>
              <w:top w:w="80" w:type="dxa"/>
              <w:bottom w:w="80" w:type="dxa"/>
              <w:start w:w="120" w:type="dxa"/>
              <w:end w:w="120" w:type="dxa"/>
            </w:tcMar>
          </w:tcPr>
          <w:p>
            <w:pPr>
              <w:pStyle w:val="TableText"/>
            </w:pPr>
            <w:r>
              <w:t>Opt-in daily morning summary</w:t>
            </w:r>
          </w:p>
        </w:tc>
        <w:tc>
          <w:tcPr>
            <w:tcW w:type="dxa" w:w="3910"/>
            <w:tcMar>
              <w:top w:w="80" w:type="dxa"/>
              <w:bottom w:w="80" w:type="dxa"/>
              <w:start w:w="120" w:type="dxa"/>
              <w:end w:w="120" w:type="dxa"/>
            </w:tcMar>
          </w:tcPr>
          <w:p>
            <w:pPr>
              <w:pStyle w:val="TableText"/>
            </w:pPr>
            <w:r>
              <w:t>B05, B07, A03, A02</w:t>
            </w:r>
          </w:p>
        </w:tc>
      </w:tr>
    </w:tbl>
    <w:p>
      <w:pPr>
        <w:pStyle w:val="TableSpacer"/>
      </w:pPr>
    </w:p>
    <w:p>
      <w:pPr>
        <w:pStyle w:val="Heading2"/>
        <w:pageBreakBefore/>
      </w:pPr>
      <w:r>
        <w:t>Engineering P0 — necessary for trustworthy behavior</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650"/>
        <w:gridCol w:w="4800"/>
        <w:gridCol w:w="3910"/>
      </w:tblGrid>
      <w:tr>
        <w:trPr>
          <w:cantSplit/>
          <w:tblHeader/>
        </w:trPr>
        <w:tc>
          <w:tcPr>
            <w:tcW w:type="dxa" w:w="650"/>
            <w:tcMar>
              <w:top w:w="80" w:type="dxa"/>
              <w:bottom w:w="80" w:type="dxa"/>
              <w:start w:w="120" w:type="dxa"/>
              <w:end w:w="120" w:type="dxa"/>
            </w:tcMar>
            <w:shd w:fill="E8EEF5"/>
          </w:tcPr>
          <w:p>
            <w:pPr>
              <w:pStyle w:val="TableText"/>
            </w:pPr>
            <w:r>
              <w:rPr>
                <w:b/>
              </w:rPr>
              <w:t>ID</w:t>
            </w:r>
          </w:p>
        </w:tc>
        <w:tc>
          <w:tcPr>
            <w:tcW w:type="dxa" w:w="4800"/>
            <w:tcMar>
              <w:top w:w="80" w:type="dxa"/>
              <w:bottom w:w="80" w:type="dxa"/>
              <w:start w:w="120" w:type="dxa"/>
              <w:end w:w="120" w:type="dxa"/>
            </w:tcMar>
            <w:shd w:fill="E8EEF5"/>
          </w:tcPr>
          <w:p>
            <w:pPr>
              <w:pStyle w:val="TableText"/>
            </w:pPr>
            <w:r>
              <w:rPr>
                <w:b/>
              </w:rPr>
              <w:t>Capability</w:t>
            </w:r>
          </w:p>
        </w:tc>
        <w:tc>
          <w:tcPr>
            <w:tcW w:type="dxa" w:w="3910"/>
            <w:tcMar>
              <w:top w:w="80" w:type="dxa"/>
              <w:bottom w:w="80" w:type="dxa"/>
              <w:start w:w="120" w:type="dxa"/>
              <w:end w:w="120" w:type="dxa"/>
            </w:tcMar>
            <w:shd w:fill="E8EEF5"/>
          </w:tcPr>
          <w:p>
            <w:pPr>
              <w:pStyle w:val="TableText"/>
            </w:pPr>
            <w:r>
              <w:rPr>
                <w:b/>
              </w:rPr>
              <w:t>Primary ownership</w:t>
            </w:r>
          </w:p>
        </w:tc>
      </w:tr>
      <w:tr>
        <w:trPr>
          <w:cantSplit/>
        </w:trPr>
        <w:tc>
          <w:tcPr>
            <w:tcW w:type="dxa" w:w="650"/>
            <w:tcMar>
              <w:top w:w="80" w:type="dxa"/>
              <w:bottom w:w="80" w:type="dxa"/>
              <w:start w:w="120" w:type="dxa"/>
              <w:end w:w="120" w:type="dxa"/>
            </w:tcMar>
          </w:tcPr>
          <w:p>
            <w:pPr>
              <w:pStyle w:val="TableText"/>
            </w:pPr>
            <w:r>
              <w:t>E01</w:t>
            </w:r>
          </w:p>
        </w:tc>
        <w:tc>
          <w:tcPr>
            <w:tcW w:type="dxa" w:w="4800"/>
            <w:tcMar>
              <w:top w:w="80" w:type="dxa"/>
              <w:bottom w:w="80" w:type="dxa"/>
              <w:start w:w="120" w:type="dxa"/>
              <w:end w:w="120" w:type="dxa"/>
            </w:tcMar>
          </w:tcPr>
          <w:p>
            <w:pPr>
              <w:pStyle w:val="TableText"/>
            </w:pPr>
            <w:r>
              <w:t>Node health, battery and observation coverage</w:t>
            </w:r>
          </w:p>
        </w:tc>
        <w:tc>
          <w:tcPr>
            <w:tcW w:type="dxa" w:w="3910"/>
            <w:tcMar>
              <w:top w:w="80" w:type="dxa"/>
              <w:bottom w:w="80" w:type="dxa"/>
              <w:start w:w="120" w:type="dxa"/>
              <w:end w:w="120" w:type="dxa"/>
            </w:tcMar>
          </w:tcPr>
          <w:p>
            <w:pPr>
              <w:pStyle w:val="TableText"/>
            </w:pPr>
            <w:r>
              <w:t>N03, N02, H04, B08, A02</w:t>
            </w:r>
          </w:p>
        </w:tc>
      </w:tr>
      <w:tr>
        <w:trPr>
          <w:cantSplit/>
        </w:trPr>
        <w:tc>
          <w:tcPr>
            <w:tcW w:type="dxa" w:w="650"/>
            <w:tcMar>
              <w:top w:w="80" w:type="dxa"/>
              <w:bottom w:w="80" w:type="dxa"/>
              <w:start w:w="120" w:type="dxa"/>
              <w:end w:w="120" w:type="dxa"/>
            </w:tcMar>
          </w:tcPr>
          <w:p>
            <w:pPr>
              <w:pStyle w:val="TableText"/>
            </w:pPr>
            <w:r>
              <w:t>E02</w:t>
            </w:r>
          </w:p>
        </w:tc>
        <w:tc>
          <w:tcPr>
            <w:tcW w:type="dxa" w:w="4800"/>
            <w:tcMar>
              <w:top w:w="80" w:type="dxa"/>
              <w:bottom w:w="80" w:type="dxa"/>
              <w:start w:w="120" w:type="dxa"/>
              <w:end w:w="120" w:type="dxa"/>
            </w:tcMar>
          </w:tcPr>
          <w:p>
            <w:pPr>
              <w:pStyle w:val="TableText"/>
            </w:pPr>
            <w:r>
              <w:t>Reliable event transport and duplicate handling</w:t>
            </w:r>
          </w:p>
        </w:tc>
        <w:tc>
          <w:tcPr>
            <w:tcW w:type="dxa" w:w="3910"/>
            <w:tcMar>
              <w:top w:w="80" w:type="dxa"/>
              <w:bottom w:w="80" w:type="dxa"/>
              <w:start w:w="120" w:type="dxa"/>
              <w:end w:w="120" w:type="dxa"/>
            </w:tcMar>
          </w:tcPr>
          <w:p>
            <w:pPr>
              <w:pStyle w:val="TableText"/>
            </w:pPr>
            <w:r>
              <w:t>N02, N05, H01, H02, H08, B03, S01</w:t>
            </w:r>
          </w:p>
        </w:tc>
      </w:tr>
      <w:tr>
        <w:trPr>
          <w:cantSplit/>
        </w:trPr>
        <w:tc>
          <w:tcPr>
            <w:tcW w:type="dxa" w:w="650"/>
            <w:tcMar>
              <w:top w:w="80" w:type="dxa"/>
              <w:bottom w:w="80" w:type="dxa"/>
              <w:start w:w="120" w:type="dxa"/>
              <w:end w:w="120" w:type="dxa"/>
            </w:tcMar>
          </w:tcPr>
          <w:p>
            <w:pPr>
              <w:pStyle w:val="TableText"/>
            </w:pPr>
            <w:r>
              <w:t>E03</w:t>
            </w:r>
          </w:p>
        </w:tc>
        <w:tc>
          <w:tcPr>
            <w:tcW w:type="dxa" w:w="4800"/>
            <w:tcMar>
              <w:top w:w="80" w:type="dxa"/>
              <w:bottom w:w="80" w:type="dxa"/>
              <w:start w:w="120" w:type="dxa"/>
              <w:end w:w="120" w:type="dxa"/>
            </w:tcMar>
          </w:tcPr>
          <w:p>
            <w:pPr>
              <w:pStyle w:val="TableText"/>
            </w:pPr>
            <w:r>
              <w:t>Local operation during internet failure</w:t>
            </w:r>
          </w:p>
        </w:tc>
        <w:tc>
          <w:tcPr>
            <w:tcW w:type="dxa" w:w="3910"/>
            <w:tcMar>
              <w:top w:w="80" w:type="dxa"/>
              <w:bottom w:w="80" w:type="dxa"/>
              <w:start w:w="120" w:type="dxa"/>
              <w:end w:w="120" w:type="dxa"/>
            </w:tcMar>
          </w:tcPr>
          <w:p>
            <w:pPr>
              <w:pStyle w:val="TableText"/>
            </w:pPr>
            <w:r>
              <w:t>H03, H04, H05, H06, H02, H08</w:t>
            </w:r>
          </w:p>
        </w:tc>
      </w:tr>
      <w:tr>
        <w:trPr>
          <w:cantSplit/>
        </w:trPr>
        <w:tc>
          <w:tcPr>
            <w:tcW w:type="dxa" w:w="650"/>
            <w:tcMar>
              <w:top w:w="80" w:type="dxa"/>
              <w:bottom w:w="80" w:type="dxa"/>
              <w:start w:w="120" w:type="dxa"/>
              <w:end w:w="120" w:type="dxa"/>
            </w:tcMar>
          </w:tcPr>
          <w:p>
            <w:pPr>
              <w:pStyle w:val="TableText"/>
            </w:pPr>
            <w:r>
              <w:t>E04</w:t>
            </w:r>
          </w:p>
        </w:tc>
        <w:tc>
          <w:tcPr>
            <w:tcW w:type="dxa" w:w="4800"/>
            <w:tcMar>
              <w:top w:w="80" w:type="dxa"/>
              <w:bottom w:w="80" w:type="dxa"/>
              <w:start w:w="120" w:type="dxa"/>
              <w:end w:w="120" w:type="dxa"/>
            </w:tcMar>
          </w:tcPr>
          <w:p>
            <w:pPr>
              <w:pStyle w:val="TableText"/>
            </w:pPr>
            <w:r>
              <w:t>Hub/cloud/app connectivity and freshness</w:t>
            </w:r>
          </w:p>
        </w:tc>
        <w:tc>
          <w:tcPr>
            <w:tcW w:type="dxa" w:w="3910"/>
            <w:tcMar>
              <w:top w:w="80" w:type="dxa"/>
              <w:bottom w:w="80" w:type="dxa"/>
              <w:start w:w="120" w:type="dxa"/>
              <w:end w:w="120" w:type="dxa"/>
            </w:tcMar>
          </w:tcPr>
          <w:p>
            <w:pPr>
              <w:pStyle w:val="TableText"/>
            </w:pPr>
            <w:r>
              <w:t>H08, B08, B07, A05, A02</w:t>
            </w:r>
          </w:p>
        </w:tc>
      </w:tr>
      <w:tr>
        <w:trPr>
          <w:cantSplit/>
        </w:trPr>
        <w:tc>
          <w:tcPr>
            <w:tcW w:type="dxa" w:w="650"/>
            <w:tcMar>
              <w:top w:w="80" w:type="dxa"/>
              <w:bottom w:w="80" w:type="dxa"/>
              <w:start w:w="120" w:type="dxa"/>
              <w:end w:w="120" w:type="dxa"/>
            </w:tcMar>
          </w:tcPr>
          <w:p>
            <w:pPr>
              <w:pStyle w:val="TableText"/>
            </w:pPr>
            <w:r>
              <w:t>E05</w:t>
            </w:r>
          </w:p>
        </w:tc>
        <w:tc>
          <w:tcPr>
            <w:tcW w:type="dxa" w:w="4800"/>
            <w:tcMar>
              <w:top w:w="80" w:type="dxa"/>
              <w:bottom w:w="80" w:type="dxa"/>
              <w:start w:w="120" w:type="dxa"/>
              <w:end w:w="120" w:type="dxa"/>
            </w:tcMar>
          </w:tcPr>
          <w:p>
            <w:pPr>
              <w:pStyle w:val="TableText"/>
            </w:pPr>
            <w:r>
              <w:t>Persistence, recovery and bounded storage</w:t>
            </w:r>
          </w:p>
        </w:tc>
        <w:tc>
          <w:tcPr>
            <w:tcW w:type="dxa" w:w="3910"/>
            <w:tcMar>
              <w:top w:w="80" w:type="dxa"/>
              <w:bottom w:w="80" w:type="dxa"/>
              <w:start w:w="120" w:type="dxa"/>
              <w:end w:w="120" w:type="dxa"/>
            </w:tcMar>
          </w:tcPr>
          <w:p>
            <w:pPr>
              <w:pStyle w:val="TableText"/>
            </w:pPr>
            <w:r>
              <w:t>N05, H02, B03, B04, B05, B08</w:t>
            </w:r>
          </w:p>
        </w:tc>
      </w:tr>
      <w:tr>
        <w:trPr>
          <w:cantSplit/>
        </w:trPr>
        <w:tc>
          <w:tcPr>
            <w:tcW w:type="dxa" w:w="650"/>
            <w:tcMar>
              <w:top w:w="80" w:type="dxa"/>
              <w:bottom w:w="80" w:type="dxa"/>
              <w:start w:w="120" w:type="dxa"/>
              <w:end w:w="120" w:type="dxa"/>
            </w:tcMar>
          </w:tcPr>
          <w:p>
            <w:pPr>
              <w:pStyle w:val="TableText"/>
            </w:pPr>
            <w:r>
              <w:t>E06</w:t>
            </w:r>
          </w:p>
        </w:tc>
        <w:tc>
          <w:tcPr>
            <w:tcW w:type="dxa" w:w="4800"/>
            <w:tcMar>
              <w:top w:w="80" w:type="dxa"/>
              <w:bottom w:w="80" w:type="dxa"/>
              <w:start w:w="120" w:type="dxa"/>
              <w:end w:w="120" w:type="dxa"/>
            </w:tcMar>
          </w:tcPr>
          <w:p>
            <w:pPr>
              <w:pStyle w:val="TableText"/>
            </w:pPr>
            <w:r>
              <w:t>Trusted time and routine boundary handling</w:t>
            </w:r>
          </w:p>
        </w:tc>
        <w:tc>
          <w:tcPr>
            <w:tcW w:type="dxa" w:w="3910"/>
            <w:tcMar>
              <w:top w:w="80" w:type="dxa"/>
              <w:bottom w:w="80" w:type="dxa"/>
              <w:start w:w="120" w:type="dxa"/>
              <w:end w:w="120" w:type="dxa"/>
            </w:tcMar>
          </w:tcPr>
          <w:p>
            <w:pPr>
              <w:pStyle w:val="TableText"/>
            </w:pPr>
            <w:r>
              <w:t>H03, H07, H05, S01, S02</w:t>
            </w:r>
          </w:p>
        </w:tc>
      </w:tr>
      <w:tr>
        <w:trPr>
          <w:cantSplit/>
        </w:trPr>
        <w:tc>
          <w:tcPr>
            <w:tcW w:type="dxa" w:w="650"/>
            <w:tcMar>
              <w:top w:w="80" w:type="dxa"/>
              <w:bottom w:w="80" w:type="dxa"/>
              <w:start w:w="120" w:type="dxa"/>
              <w:end w:w="120" w:type="dxa"/>
            </w:tcMar>
          </w:tcPr>
          <w:p>
            <w:pPr>
              <w:pStyle w:val="TableText"/>
            </w:pPr>
            <w:r>
              <w:t>E07</w:t>
            </w:r>
          </w:p>
        </w:tc>
        <w:tc>
          <w:tcPr>
            <w:tcW w:type="dxa" w:w="4800"/>
            <w:tcMar>
              <w:top w:w="80" w:type="dxa"/>
              <w:bottom w:w="80" w:type="dxa"/>
              <w:start w:w="120" w:type="dxa"/>
              <w:end w:w="120" w:type="dxa"/>
            </w:tcMar>
          </w:tcPr>
          <w:p>
            <w:pPr>
              <w:pStyle w:val="TableText"/>
            </w:pPr>
            <w:r>
              <w:t>Versioned configuration and command application</w:t>
            </w:r>
          </w:p>
        </w:tc>
        <w:tc>
          <w:tcPr>
            <w:tcW w:type="dxa" w:w="3910"/>
            <w:tcMar>
              <w:top w:w="80" w:type="dxa"/>
              <w:bottom w:w="80" w:type="dxa"/>
              <w:start w:w="120" w:type="dxa"/>
              <w:end w:w="120" w:type="dxa"/>
            </w:tcMar>
          </w:tcPr>
          <w:p>
            <w:pPr>
              <w:pStyle w:val="TableText"/>
            </w:pPr>
            <w:r>
              <w:t>B06, A03, H07, N04, H08, S01</w:t>
            </w:r>
          </w:p>
        </w:tc>
      </w:tr>
      <w:tr>
        <w:trPr>
          <w:cantSplit/>
        </w:trPr>
        <w:tc>
          <w:tcPr>
            <w:tcW w:type="dxa" w:w="650"/>
            <w:tcMar>
              <w:top w:w="80" w:type="dxa"/>
              <w:bottom w:w="80" w:type="dxa"/>
              <w:start w:w="120" w:type="dxa"/>
              <w:end w:w="120" w:type="dxa"/>
            </w:tcMar>
          </w:tcPr>
          <w:p>
            <w:pPr>
              <w:pStyle w:val="TableText"/>
            </w:pPr>
            <w:r>
              <w:t>E08</w:t>
            </w:r>
          </w:p>
        </w:tc>
        <w:tc>
          <w:tcPr>
            <w:tcW w:type="dxa" w:w="4800"/>
            <w:tcMar>
              <w:top w:w="80" w:type="dxa"/>
              <w:bottom w:w="80" w:type="dxa"/>
              <w:start w:w="120" w:type="dxa"/>
              <w:end w:w="120" w:type="dxa"/>
            </w:tcMar>
          </w:tcPr>
          <w:p>
            <w:pPr>
              <w:pStyle w:val="TableText"/>
            </w:pPr>
            <w:r>
              <w:t>Security, access control and data lifecycle</w:t>
            </w:r>
          </w:p>
        </w:tc>
        <w:tc>
          <w:tcPr>
            <w:tcW w:type="dxa" w:w="3910"/>
            <w:tcMar>
              <w:top w:w="80" w:type="dxa"/>
              <w:bottom w:w="80" w:type="dxa"/>
              <w:start w:w="120" w:type="dxa"/>
              <w:end w:w="120" w:type="dxa"/>
            </w:tcMar>
          </w:tcPr>
          <w:p>
            <w:pPr>
              <w:pStyle w:val="TableText"/>
            </w:pPr>
            <w:r>
              <w:t>S03, B01, B02, B06, B08, A05, T01</w:t>
            </w:r>
          </w:p>
        </w:tc>
      </w:tr>
      <w:tr>
        <w:trPr>
          <w:cantSplit/>
        </w:trPr>
        <w:tc>
          <w:tcPr>
            <w:tcW w:type="dxa" w:w="650"/>
            <w:tcMar>
              <w:top w:w="80" w:type="dxa"/>
              <w:bottom w:w="80" w:type="dxa"/>
              <w:start w:w="120" w:type="dxa"/>
              <w:end w:w="120" w:type="dxa"/>
            </w:tcMar>
          </w:tcPr>
          <w:p>
            <w:pPr>
              <w:pStyle w:val="TableText"/>
            </w:pPr>
            <w:r>
              <w:t>E09</w:t>
            </w:r>
          </w:p>
        </w:tc>
        <w:tc>
          <w:tcPr>
            <w:tcW w:type="dxa" w:w="4800"/>
            <w:tcMar>
              <w:top w:w="80" w:type="dxa"/>
              <w:bottom w:w="80" w:type="dxa"/>
              <w:start w:w="120" w:type="dxa"/>
              <w:end w:w="120" w:type="dxa"/>
            </w:tcMar>
          </w:tcPr>
          <w:p>
            <w:pPr>
              <w:pStyle w:val="TableText"/>
            </w:pPr>
            <w:r>
              <w:t>Firmware update, watchdog and recovery</w:t>
            </w:r>
          </w:p>
        </w:tc>
        <w:tc>
          <w:tcPr>
            <w:tcW w:type="dxa" w:w="3910"/>
            <w:tcMar>
              <w:top w:w="80" w:type="dxa"/>
              <w:bottom w:w="80" w:type="dxa"/>
              <w:start w:w="120" w:type="dxa"/>
              <w:end w:w="120" w:type="dxa"/>
            </w:tcMar>
          </w:tcPr>
          <w:p>
            <w:pPr>
              <w:pStyle w:val="TableText"/>
            </w:pPr>
            <w:r>
              <w:t>S03, H07, N04, B06, B08, T02</w:t>
            </w:r>
          </w:p>
        </w:tc>
      </w:tr>
      <w:tr>
        <w:trPr>
          <w:cantSplit/>
        </w:trPr>
        <w:tc>
          <w:tcPr>
            <w:tcW w:type="dxa" w:w="650"/>
            <w:tcMar>
              <w:top w:w="80" w:type="dxa"/>
              <w:bottom w:w="80" w:type="dxa"/>
              <w:start w:w="120" w:type="dxa"/>
              <w:end w:w="120" w:type="dxa"/>
            </w:tcMar>
          </w:tcPr>
          <w:p>
            <w:pPr>
              <w:pStyle w:val="TableText"/>
            </w:pPr>
            <w:r>
              <w:t>E10</w:t>
            </w:r>
          </w:p>
        </w:tc>
        <w:tc>
          <w:tcPr>
            <w:tcW w:type="dxa" w:w="4800"/>
            <w:tcMar>
              <w:top w:w="80" w:type="dxa"/>
              <w:bottom w:w="80" w:type="dxa"/>
              <w:start w:w="120" w:type="dxa"/>
              <w:end w:w="120" w:type="dxa"/>
            </w:tcMar>
          </w:tcPr>
          <w:p>
            <w:pPr>
              <w:pStyle w:val="TableText"/>
            </w:pPr>
            <w:r>
              <w:t>Diagnostics, support and installation evidence</w:t>
            </w:r>
          </w:p>
        </w:tc>
        <w:tc>
          <w:tcPr>
            <w:tcW w:type="dxa" w:w="3910"/>
            <w:tcMar>
              <w:top w:w="80" w:type="dxa"/>
              <w:bottom w:w="80" w:type="dxa"/>
              <w:start w:w="120" w:type="dxa"/>
              <w:end w:w="120" w:type="dxa"/>
            </w:tcMar>
          </w:tcPr>
          <w:p>
            <w:pPr>
              <w:pStyle w:val="TableText"/>
            </w:pPr>
            <w:r>
              <w:t>B08, A02, T01, T02, T03, H02, H08</w:t>
            </w:r>
          </w:p>
        </w:tc>
      </w:tr>
    </w:tbl>
    <w:p>
      <w:pPr>
        <w:pStyle w:val="TableSpacer"/>
      </w:pPr>
    </w:p>
    <w:p>
      <w:pPr>
        <w:pStyle w:val="Heading2"/>
      </w:pPr>
      <w:r>
        <w:t>P0 hardware and operational cross-cutting gates</w:t>
      </w:r>
    </w:p>
    <w:p>
      <w:pPr>
        <w:pStyle w:val="SpecBody"/>
      </w:pPr>
      <w:r>
        <w:t>The 24 feature IDs do not replace physical-product obligations. HW01 installation coverage, HW02 power/charging safety, HW03 button/privacy usability, HW04 enclosure/mounting and HW05 radio/EMC/product compliance review are cross-cutting gates. OP01 caregiver contact availability, OP02 incident/support ownership and OP03 funded remote-service duration must also be defined before sale. Their detailed tests appear in Sections 4 and 10.</w:t>
      </w:r>
    </w:p>
    <w:p>
      <w:pPr>
        <w:pStyle w:val="SpecBody"/>
      </w:pPr>
      <w:r>
        <w:t>Global invariant: any code path that cannot establish a required fact shall return unknown/degraded/pending with a reason. It shall not invent activity, wellness, delivery or successful configuration application.</w:t>
      </w:r>
    </w:p>
    <w:p>
      <w:bookmarkStart w:id="3" w:name="architecture"/>
      <w:pPr>
        <w:pStyle w:val="Heading1"/>
        <w:pageBreakBefore/>
      </w:pPr>
      <w:r>
        <w:t>3. Architecture and ownership</w:t>
      </w:r>
      <w:bookmarkEnd w:id="3"/>
    </w:p>
    <w:p>
      <w:pPr>
        <w:pStyle w:val="SpecBody"/>
      </w:pPr>
      <w:r>
        <w:t>Use a monorepo and a modular monolith backend. Keep hardware dependencies out of the pure rule engine so the same rule logic can run in host tests. Scale process replicas and database access before splitting business domains into services.</w:t>
      </w:r>
    </w:p>
    <w:p>
      <w:r>
        <w:drawing>
          <wp:inline xmlns:a="http://schemas.openxmlformats.org/drawingml/2006/main" xmlns:pic="http://schemas.openxmlformats.org/drawingml/2006/picture">
            <wp:extent cx="5440680" cy="3339427"/>
            <wp:docPr id="1" name="Picture 1" descr="Three ESP32-C3 nodes communicate with the local ESP32-S3 rules hub over encrypted ESP-NOW. The hub connects through MQTT to a backend and PostgreSQL. Caregivers use HTTPS/SSE and an external Web Push delivery path."/>
            <wp:cNvGraphicFramePr>
              <a:graphicFrameLocks noChangeAspect="1"/>
            </wp:cNvGraphicFramePr>
            <a:graphic>
              <a:graphicData uri="http://schemas.openxmlformats.org/drawingml/2006/picture">
                <pic:pic>
                  <pic:nvPicPr>
                    <pic:cNvPr id="0" name="requirements_architecture.png"/>
                    <pic:cNvPicPr/>
                  </pic:nvPicPr>
                  <pic:blipFill>
                    <a:blip r:embed="rId11"/>
                    <a:stretch>
                      <a:fillRect/>
                    </a:stretch>
                  </pic:blipFill>
                  <pic:spPr>
                    <a:xfrm>
                      <a:off x="0" y="0"/>
                      <a:ext cx="5440680" cy="3339427"/>
                    </a:xfrm>
                    <a:prstGeom prst="rect"/>
                  </pic:spPr>
                </pic:pic>
              </a:graphicData>
            </a:graphic>
          </wp:inline>
        </w:drawing>
      </w:r>
    </w:p>
    <w:p>
      <w:pPr>
        <w:pStyle w:val="TableCitation"/>
      </w:pPr>
      <w:r>
        <w:t>Figure 1. Local observation is independent of WAN connectivity. Remote family routing is not. Arrows show interfaces, not guaranteed delivery.</w:t>
      </w:r>
    </w:p>
    <w:p>
      <w:pPr>
        <w:pStyle w:val="Heading2"/>
        <w:pageBreakBefore/>
      </w:pPr>
      <w:r>
        <w:t>Technology baseline and authoritative owners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400"/>
        <w:gridCol w:w="4210"/>
        <w:gridCol w:w="3750"/>
      </w:tblGrid>
      <w:tr>
        <w:trPr>
          <w:cantSplit/>
          <w:tblHeader/>
        </w:trPr>
        <w:tc>
          <w:tcPr>
            <w:tcW w:type="dxa" w:w="1400"/>
            <w:tcMar>
              <w:top w:w="80" w:type="dxa"/>
              <w:bottom w:w="80" w:type="dxa"/>
              <w:start w:w="120" w:type="dxa"/>
              <w:end w:w="120" w:type="dxa"/>
            </w:tcMar>
            <w:shd w:fill="E8EEF5"/>
          </w:tcPr>
          <w:p>
            <w:pPr>
              <w:pStyle w:val="TableText"/>
            </w:pPr>
            <w:r>
              <w:rPr>
                <w:b/>
              </w:rPr>
              <w:t>Layer</w:t>
            </w:r>
          </w:p>
        </w:tc>
        <w:tc>
          <w:tcPr>
            <w:tcW w:type="dxa" w:w="4210"/>
            <w:tcMar>
              <w:top w:w="80" w:type="dxa"/>
              <w:bottom w:w="80" w:type="dxa"/>
              <w:start w:w="120" w:type="dxa"/>
              <w:end w:w="120" w:type="dxa"/>
            </w:tcMar>
            <w:shd w:fill="E8EEF5"/>
          </w:tcPr>
          <w:p>
            <w:pPr>
              <w:pStyle w:val="TableText"/>
            </w:pPr>
            <w:r>
              <w:rPr>
                <w:b/>
              </w:rPr>
              <w:t>Proposed choice</w:t>
            </w:r>
          </w:p>
        </w:tc>
        <w:tc>
          <w:tcPr>
            <w:tcW w:type="dxa" w:w="3750"/>
            <w:tcMar>
              <w:top w:w="80" w:type="dxa"/>
              <w:bottom w:w="80" w:type="dxa"/>
              <w:start w:w="120" w:type="dxa"/>
              <w:end w:w="120" w:type="dxa"/>
            </w:tcMar>
            <w:shd w:fill="E8EEF5"/>
          </w:tcPr>
          <w:p>
            <w:pPr>
              <w:pStyle w:val="TableText"/>
            </w:pPr>
            <w:r>
              <w:rPr>
                <w:b/>
              </w:rPr>
              <w:t>Owns / does not own</w:t>
            </w:r>
          </w:p>
        </w:tc>
      </w:tr>
      <w:tr>
        <w:trPr>
          <w:cantSplit/>
        </w:trPr>
        <w:tc>
          <w:tcPr>
            <w:tcW w:type="dxa" w:w="1400"/>
            <w:tcMar>
              <w:top w:w="80" w:type="dxa"/>
              <w:bottom w:w="80" w:type="dxa"/>
              <w:start w:w="120" w:type="dxa"/>
              <w:end w:w="120" w:type="dxa"/>
            </w:tcMar>
          </w:tcPr>
          <w:p>
            <w:pPr>
              <w:pStyle w:val="TableText"/>
            </w:pPr>
            <w:r>
              <w:t>Node + hub firmware</w:t>
            </w:r>
          </w:p>
        </w:tc>
        <w:tc>
          <w:tcPr>
            <w:tcW w:type="dxa" w:w="4210"/>
            <w:tcMar>
              <w:top w:w="80" w:type="dxa"/>
              <w:bottom w:w="80" w:type="dxa"/>
              <w:start w:w="120" w:type="dxa"/>
              <w:end w:w="120" w:type="dxa"/>
            </w:tcMar>
          </w:tcPr>
          <w:p>
            <w:pPr>
              <w:pStyle w:val="TableText"/>
            </w:pPr>
            <w:r>
              <w:t>ESP-IDF, C/C++; FreeRTOS; fixed-size messages. Start a compatibility spike on the verified SDK documentation baseline, then pin the tested tag/commit.</w:t>
            </w:r>
          </w:p>
        </w:tc>
        <w:tc>
          <w:tcPr>
            <w:tcW w:type="dxa" w:w="3750"/>
            <w:tcMar>
              <w:top w:w="80" w:type="dxa"/>
              <w:bottom w:w="80" w:type="dxa"/>
              <w:start w:w="120" w:type="dxa"/>
              <w:end w:w="120" w:type="dxa"/>
            </w:tcMar>
          </w:tcPr>
          <w:p>
            <w:pPr>
              <w:pStyle w:val="TableText"/>
            </w:pPr>
            <w:r>
              <w:t>Node owns sampling; hub owns all routine windows and routine/contact incident creation.</w:t>
            </w:r>
          </w:p>
        </w:tc>
      </w:tr>
      <w:tr>
        <w:trPr>
          <w:cantSplit/>
        </w:trPr>
        <w:tc>
          <w:tcPr>
            <w:tcW w:type="dxa" w:w="1400"/>
            <w:tcMar>
              <w:top w:w="80" w:type="dxa"/>
              <w:bottom w:w="80" w:type="dxa"/>
              <w:start w:w="120" w:type="dxa"/>
              <w:end w:w="120" w:type="dxa"/>
            </w:tcMar>
          </w:tcPr>
          <w:p>
            <w:pPr>
              <w:pStyle w:val="TableText"/>
            </w:pPr>
            <w:r>
              <w:t>Rules core</w:t>
            </w:r>
          </w:p>
        </w:tc>
        <w:tc>
          <w:tcPr>
            <w:tcW w:type="dxa" w:w="4210"/>
            <w:tcMar>
              <w:top w:w="80" w:type="dxa"/>
              <w:bottom w:w="80" w:type="dxa"/>
              <w:start w:w="120" w:type="dxa"/>
              <w:end w:w="120" w:type="dxa"/>
            </w:tcMar>
          </w:tcPr>
          <w:p>
            <w:pPr>
              <w:pStyle w:val="TableText"/>
            </w:pPr>
            <w:r>
              <w:t>Pure C++ reducer with injected clock/events; compiled into hub and host tests.</w:t>
            </w:r>
          </w:p>
        </w:tc>
        <w:tc>
          <w:tcPr>
            <w:tcW w:type="dxa" w:w="3750"/>
            <w:tcMar>
              <w:top w:w="80" w:type="dxa"/>
              <w:bottom w:w="80" w:type="dxa"/>
              <w:start w:w="120" w:type="dxa"/>
              <w:end w:w="120" w:type="dxa"/>
            </w:tcMar>
          </w:tcPr>
          <w:p>
            <w:pPr>
              <w:pStyle w:val="TableText"/>
            </w:pPr>
            <w:r>
              <w:t>Deterministic decisions only; no GPIO, database, TLS or push calls.</w:t>
            </w:r>
          </w:p>
        </w:tc>
      </w:tr>
      <w:tr>
        <w:trPr>
          <w:cantSplit/>
        </w:trPr>
        <w:tc>
          <w:tcPr>
            <w:tcW w:type="dxa" w:w="1400"/>
            <w:tcMar>
              <w:top w:w="80" w:type="dxa"/>
              <w:bottom w:w="80" w:type="dxa"/>
              <w:start w:w="120" w:type="dxa"/>
              <w:end w:w="120" w:type="dxa"/>
            </w:tcMar>
          </w:tcPr>
          <w:p>
            <w:pPr>
              <w:pStyle w:val="TableText"/>
            </w:pPr>
            <w:r>
              <w:t>Backend</w:t>
            </w:r>
          </w:p>
        </w:tc>
        <w:tc>
          <w:tcPr>
            <w:tcW w:type="dxa" w:w="4210"/>
            <w:tcMar>
              <w:top w:w="80" w:type="dxa"/>
              <w:bottom w:w="80" w:type="dxa"/>
              <w:start w:w="120" w:type="dxa"/>
              <w:end w:w="120" w:type="dxa"/>
            </w:tcMar>
          </w:tcPr>
          <w:p>
            <w:pPr>
              <w:pStyle w:val="TableText"/>
            </w:pPr>
            <w:r>
              <w:t>Python FastAPI, PostgreSQL, Mosquitto; API + worker processes from one codebase.</w:t>
            </w:r>
          </w:p>
        </w:tc>
        <w:tc>
          <w:tcPr>
            <w:tcW w:type="dxa" w:w="3750"/>
            <w:tcMar>
              <w:top w:w="80" w:type="dxa"/>
              <w:bottom w:w="80" w:type="dxa"/>
              <w:start w:w="120" w:type="dxa"/>
              <w:end w:w="120" w:type="dxa"/>
            </w:tcMar>
          </w:tcPr>
          <w:p>
            <w:pPr>
              <w:pStyle w:val="TableText"/>
            </w:pPr>
            <w:r>
              <w:t>Access, durable cloud ingest, caregiver workflow, delivery, summaries and independent reachability incidents.</w:t>
            </w:r>
          </w:p>
        </w:tc>
      </w:tr>
      <w:tr>
        <w:trPr>
          <w:cantSplit/>
        </w:trPr>
        <w:tc>
          <w:tcPr>
            <w:tcW w:type="dxa" w:w="1400"/>
            <w:tcMar>
              <w:top w:w="80" w:type="dxa"/>
              <w:bottom w:w="80" w:type="dxa"/>
              <w:start w:w="120" w:type="dxa"/>
              <w:end w:w="120" w:type="dxa"/>
            </w:tcMar>
          </w:tcPr>
          <w:p>
            <w:pPr>
              <w:pStyle w:val="TableText"/>
            </w:pPr>
            <w:r>
              <w:t>App</w:t>
            </w:r>
          </w:p>
        </w:tc>
        <w:tc>
          <w:tcPr>
            <w:tcW w:type="dxa" w:w="4210"/>
            <w:tcMar>
              <w:top w:w="80" w:type="dxa"/>
              <w:bottom w:w="80" w:type="dxa"/>
              <w:start w:w="120" w:type="dxa"/>
              <w:end w:w="120" w:type="dxa"/>
            </w:tcMar>
          </w:tcPr>
          <w:p>
            <w:pPr>
              <w:pStyle w:val="TableText"/>
            </w:pPr>
            <w:r>
              <w:t>React + TypeScript PWA, HTTPS API, SSE foreground updates and standard Web Push.</w:t>
            </w:r>
          </w:p>
        </w:tc>
        <w:tc>
          <w:tcPr>
            <w:tcW w:type="dxa" w:w="3750"/>
            <w:tcMar>
              <w:top w:w="80" w:type="dxa"/>
              <w:bottom w:w="80" w:type="dxa"/>
              <w:start w:w="120" w:type="dxa"/>
              <w:end w:w="120" w:type="dxa"/>
            </w:tcMar>
          </w:tcPr>
          <w:p>
            <w:pPr>
              <w:pStyle w:val="TableText"/>
            </w:pPr>
            <w:r>
              <w:t>Presentation and user commands; never independently decides that a missed routine occurred.</w:t>
            </w:r>
          </w:p>
        </w:tc>
      </w:tr>
      <w:tr>
        <w:trPr>
          <w:cantSplit/>
        </w:trPr>
        <w:tc>
          <w:tcPr>
            <w:tcW w:type="dxa" w:w="1400"/>
            <w:tcMar>
              <w:top w:w="80" w:type="dxa"/>
              <w:bottom w:w="80" w:type="dxa"/>
              <w:start w:w="120" w:type="dxa"/>
              <w:end w:w="120" w:type="dxa"/>
            </w:tcMar>
          </w:tcPr>
          <w:p>
            <w:pPr>
              <w:pStyle w:val="TableText"/>
            </w:pPr>
            <w:r>
              <w:t>Identity / notification</w:t>
            </w:r>
          </w:p>
        </w:tc>
        <w:tc>
          <w:tcPr>
            <w:tcW w:type="dxa" w:w="4210"/>
            <w:tcMar>
              <w:top w:w="80" w:type="dxa"/>
              <w:bottom w:w="80" w:type="dxa"/>
              <w:start w:w="120" w:type="dxa"/>
              <w:end w:w="120" w:type="dxa"/>
            </w:tcMar>
          </w:tcPr>
          <w:p>
            <w:pPr>
              <w:pStyle w:val="TableText"/>
            </w:pPr>
            <w:r>
              <w:t>Managed OIDC adapter; provider choice is a procurement gate. Web Push VAPID service credentials.</w:t>
            </w:r>
          </w:p>
        </w:tc>
        <w:tc>
          <w:tcPr>
            <w:tcW w:type="dxa" w:w="3750"/>
            <w:tcMar>
              <w:top w:w="80" w:type="dxa"/>
              <w:bottom w:w="80" w:type="dxa"/>
              <w:start w:w="120" w:type="dxa"/>
              <w:end w:w="120" w:type="dxa"/>
            </w:tcMar>
          </w:tcPr>
          <w:p>
            <w:pPr>
              <w:pStyle w:val="TableText"/>
            </w:pPr>
            <w:r>
              <w:t>Provider authentication and push transport; neither provides a staffed responder.</w:t>
            </w:r>
          </w:p>
        </w:tc>
      </w:tr>
      <w:tr>
        <w:trPr>
          <w:cantSplit/>
        </w:trPr>
        <w:tc>
          <w:tcPr>
            <w:tcW w:type="dxa" w:w="1400"/>
            <w:tcMar>
              <w:top w:w="80" w:type="dxa"/>
              <w:bottom w:w="80" w:type="dxa"/>
              <w:start w:w="120" w:type="dxa"/>
              <w:end w:w="120" w:type="dxa"/>
            </w:tcMar>
          </w:tcPr>
          <w:p>
            <w:pPr>
              <w:pStyle w:val="TableText"/>
            </w:pPr>
            <w:r>
              <w:t>Deployment</w:t>
            </w:r>
          </w:p>
        </w:tc>
        <w:tc>
          <w:tcPr>
            <w:tcW w:type="dxa" w:w="4210"/>
            <w:tcMar>
              <w:top w:w="80" w:type="dxa"/>
              <w:bottom w:w="80" w:type="dxa"/>
              <w:start w:w="120" w:type="dxa"/>
              <w:end w:w="120" w:type="dxa"/>
            </w:tcMar>
          </w:tcPr>
          <w:p>
            <w:pPr>
              <w:pStyle w:val="TableText"/>
            </w:pPr>
            <w:r>
              <w:t>Containerized pilot on a small host, encrypted backups and external monitoring.</w:t>
            </w:r>
          </w:p>
        </w:tc>
        <w:tc>
          <w:tcPr>
            <w:tcW w:type="dxa" w:w="3750"/>
            <w:tcMar>
              <w:top w:w="80" w:type="dxa"/>
              <w:bottom w:w="80" w:type="dxa"/>
              <w:start w:w="120" w:type="dxa"/>
              <w:end w:w="120" w:type="dxa"/>
            </w:tcMar>
          </w:tcPr>
          <w:p>
            <w:pPr>
              <w:pStyle w:val="TableText"/>
            </w:pPr>
            <w:r>
              <w:t>Scale within a region first; avoid Kubernetes, Kafka and per-feature services in P0.</w:t>
            </w:r>
          </w:p>
        </w:tc>
      </w:tr>
    </w:tbl>
    <w:p>
      <w:pPr>
        <w:pStyle w:val="TableSpacer"/>
      </w:pPr>
    </w:p>
    <w:p>
      <w:pPr>
        <w:pStyle w:val="SpecBody"/>
      </w:pPr>
      <w:r>
        <w:t>Cloud SDK/library versions shall be locked after the integration spike, with a reproducible build and vulnerability scan. A version number in current documentation is not proof it has been tested on the purchased boards.</w:t>
      </w:r>
    </w:p>
    <w:p>
      <w:pPr>
        <w:pStyle w:val="Heading2"/>
      </w:pPr>
      <w:r>
        <w:t>Single-writer rules</w:t>
      </w:r>
    </w:p>
    <w:p>
      <w:pPr>
        <w:pStyle w:val="ListBullet"/>
        <w:numPr>
          <w:ilvl w:val="0"/>
          <w:numId w:val="50"/>
        </w:numPr>
      </w:pPr>
      <w:r>
        <w:t>Hub: routine/contact incident IDs, window state, local evidence and applied configuration. Backend shall not regenerate an absence incident from an independent timer.</w:t>
      </w:r>
    </w:p>
    <w:p>
      <w:pPr>
        <w:pStyle w:val="ListBullet"/>
        <w:numPr>
          <w:ilvl w:val="0"/>
          <w:numId w:val="50"/>
        </w:numPr>
      </w:pPr>
      <w:r>
        <w:t>Backend: human claims, resolution, escalation and notification attempts. Hub projects those changes; it does not independently escalate to caregivers.</w:t>
      </w:r>
    </w:p>
    <w:p>
      <w:pPr>
        <w:pStyle w:val="ListBullet"/>
        <w:numPr>
          <w:ilvl w:val="0"/>
          <w:numId w:val="50"/>
        </w:numPr>
      </w:pPr>
      <w:r>
        <w:t>Backend health service: HUB_UNREACHABLE incidents, with a separate rule/ID namespace. Only verified new hub traffic closes reachability; it does not close a contact request.</w:t>
      </w:r>
    </w:p>
    <w:p>
      <w:pPr>
        <w:pStyle w:val="ListBullet"/>
        <w:numPr>
          <w:ilvl w:val="0"/>
          <w:numId w:val="50"/>
        </w:numPr>
      </w:pPr>
      <w:r>
        <w:t>App: no authoritative incident state while offline. Show pending commands and failed acknowledgements rather than pretending they succeeded.</w:t>
      </w:r>
    </w:p>
    <w:p>
      <w:pPr>
        <w:pStyle w:val="Heading2"/>
        <w:pageBreakBefore/>
      </w:pPr>
      <w:r>
        <w:t>32 modules: bounded responsibilities, not 32 services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350"/>
        <w:gridCol w:w="650"/>
        <w:gridCol w:w="6360"/>
      </w:tblGrid>
      <w:tr>
        <w:trPr>
          <w:cantSplit/>
          <w:tblHeader/>
        </w:trPr>
        <w:tc>
          <w:tcPr>
            <w:tcW w:type="dxa" w:w="2350"/>
            <w:tcMar>
              <w:top w:w="80" w:type="dxa"/>
              <w:bottom w:w="80" w:type="dxa"/>
              <w:start w:w="120" w:type="dxa"/>
              <w:end w:w="120" w:type="dxa"/>
            </w:tcMar>
            <w:shd w:fill="E8EEF5"/>
          </w:tcPr>
          <w:p>
            <w:pPr>
              <w:pStyle w:val="TableText"/>
            </w:pPr>
            <w:r>
              <w:rPr>
                <w:b/>
              </w:rPr>
              <w:t>Group</w:t>
            </w:r>
          </w:p>
        </w:tc>
        <w:tc>
          <w:tcPr>
            <w:tcW w:type="dxa" w:w="650"/>
            <w:tcMar>
              <w:top w:w="80" w:type="dxa"/>
              <w:bottom w:w="80" w:type="dxa"/>
              <w:start w:w="120" w:type="dxa"/>
              <w:end w:w="120" w:type="dxa"/>
            </w:tcMar>
            <w:shd w:fill="E8EEF5"/>
          </w:tcPr>
          <w:p>
            <w:pPr>
              <w:pStyle w:val="TableText"/>
            </w:pPr>
            <w:r>
              <w:rPr>
                <w:b/>
              </w:rPr>
              <w:t>#</w:t>
            </w:r>
          </w:p>
        </w:tc>
        <w:tc>
          <w:tcPr>
            <w:tcW w:type="dxa" w:w="6360"/>
            <w:tcMar>
              <w:top w:w="80" w:type="dxa"/>
              <w:bottom w:w="80" w:type="dxa"/>
              <w:start w:w="120" w:type="dxa"/>
              <w:end w:w="120" w:type="dxa"/>
            </w:tcMar>
            <w:shd w:fill="E8EEF5"/>
          </w:tcPr>
          <w:p>
            <w:pPr>
              <w:pStyle w:val="TableText"/>
            </w:pPr>
            <w:r>
              <w:rPr>
                <w:b/>
              </w:rPr>
              <w:t>Boundary</w:t>
            </w:r>
          </w:p>
        </w:tc>
      </w:tr>
      <w:tr>
        <w:trPr>
          <w:cantSplit/>
        </w:trPr>
        <w:tc>
          <w:tcPr>
            <w:tcW w:type="dxa" w:w="2350"/>
            <w:tcMar>
              <w:top w:w="80" w:type="dxa"/>
              <w:bottom w:w="80" w:type="dxa"/>
              <w:start w:w="120" w:type="dxa"/>
              <w:end w:w="120" w:type="dxa"/>
            </w:tcMar>
          </w:tcPr>
          <w:p>
            <w:pPr>
              <w:pStyle w:val="TableText"/>
            </w:pPr>
            <w:r>
              <w:t>Node N01–N05</w:t>
            </w:r>
          </w:p>
        </w:tc>
        <w:tc>
          <w:tcPr>
            <w:tcW w:type="dxa" w:w="650"/>
            <w:tcMar>
              <w:top w:w="80" w:type="dxa"/>
              <w:bottom w:w="80" w:type="dxa"/>
              <w:start w:w="120" w:type="dxa"/>
              <w:end w:w="120" w:type="dxa"/>
            </w:tcMar>
          </w:tcPr>
          <w:p>
            <w:pPr>
              <w:pStyle w:val="TableText"/>
            </w:pPr>
            <w:r>
              <w:t>5</w:t>
            </w:r>
          </w:p>
        </w:tc>
        <w:tc>
          <w:tcPr>
            <w:tcW w:type="dxa" w:w="6360"/>
            <w:tcMar>
              <w:top w:w="80" w:type="dxa"/>
              <w:bottom w:w="80" w:type="dxa"/>
              <w:start w:w="120" w:type="dxa"/>
              <w:end w:w="120" w:type="dxa"/>
            </w:tcMar>
          </w:tcPr>
          <w:p>
            <w:pPr>
              <w:pStyle w:val="TableText"/>
            </w:pPr>
            <w:r>
              <w:t>Sensors, radio, power, lifecycle and storage.</w:t>
            </w:r>
          </w:p>
        </w:tc>
      </w:tr>
      <w:tr>
        <w:trPr>
          <w:cantSplit/>
        </w:trPr>
        <w:tc>
          <w:tcPr>
            <w:tcW w:type="dxa" w:w="2350"/>
            <w:tcMar>
              <w:top w:w="80" w:type="dxa"/>
              <w:bottom w:w="80" w:type="dxa"/>
              <w:start w:w="120" w:type="dxa"/>
              <w:end w:w="120" w:type="dxa"/>
            </w:tcMar>
          </w:tcPr>
          <w:p>
            <w:pPr>
              <w:pStyle w:val="TableText"/>
            </w:pPr>
            <w:r>
              <w:t>Hub H01–H08</w:t>
            </w:r>
          </w:p>
        </w:tc>
        <w:tc>
          <w:tcPr>
            <w:tcW w:type="dxa" w:w="650"/>
            <w:tcMar>
              <w:top w:w="80" w:type="dxa"/>
              <w:bottom w:w="80" w:type="dxa"/>
              <w:start w:w="120" w:type="dxa"/>
              <w:end w:w="120" w:type="dxa"/>
            </w:tcMar>
          </w:tcPr>
          <w:p>
            <w:pPr>
              <w:pStyle w:val="TableText"/>
            </w:pPr>
            <w:r>
              <w:t>8</w:t>
            </w:r>
          </w:p>
        </w:tc>
        <w:tc>
          <w:tcPr>
            <w:tcW w:type="dxa" w:w="6360"/>
            <w:tcMar>
              <w:top w:w="80" w:type="dxa"/>
              <w:bottom w:w="80" w:type="dxa"/>
              <w:start w:w="120" w:type="dxa"/>
              <w:end w:w="120" w:type="dxa"/>
            </w:tcMar>
          </w:tcPr>
          <w:p>
            <w:pPr>
              <w:pStyle w:val="TableText"/>
            </w:pPr>
            <w:r>
              <w:t>Ingest, persistence, time, coverage, rules, resident UI, config and cloud link.</w:t>
            </w:r>
          </w:p>
        </w:tc>
      </w:tr>
      <w:tr>
        <w:trPr>
          <w:cantSplit/>
        </w:trPr>
        <w:tc>
          <w:tcPr>
            <w:tcW w:type="dxa" w:w="2350"/>
            <w:tcMar>
              <w:top w:w="80" w:type="dxa"/>
              <w:bottom w:w="80" w:type="dxa"/>
              <w:start w:w="120" w:type="dxa"/>
              <w:end w:w="120" w:type="dxa"/>
            </w:tcMar>
          </w:tcPr>
          <w:p>
            <w:pPr>
              <w:pStyle w:val="TableText"/>
            </w:pPr>
            <w:r>
              <w:t>Backend B01–B08</w:t>
            </w:r>
          </w:p>
        </w:tc>
        <w:tc>
          <w:tcPr>
            <w:tcW w:type="dxa" w:w="650"/>
            <w:tcMar>
              <w:top w:w="80" w:type="dxa"/>
              <w:bottom w:w="80" w:type="dxa"/>
              <w:start w:w="120" w:type="dxa"/>
              <w:end w:w="120" w:type="dxa"/>
            </w:tcMar>
          </w:tcPr>
          <w:p>
            <w:pPr>
              <w:pStyle w:val="TableText"/>
            </w:pPr>
            <w:r>
              <w:t>8</w:t>
            </w:r>
          </w:p>
        </w:tc>
        <w:tc>
          <w:tcPr>
            <w:tcW w:type="dxa" w:w="6360"/>
            <w:tcMar>
              <w:top w:w="80" w:type="dxa"/>
              <w:bottom w:w="80" w:type="dxa"/>
              <w:start w:w="120" w:type="dxa"/>
              <w:end w:w="120" w:type="dxa"/>
            </w:tcMar>
          </w:tcPr>
          <w:p>
            <w:pPr>
              <w:pStyle w:val="TableText"/>
            </w:pPr>
            <w:r>
              <w:t>Identity, home/consent, ingest, incidents, notifications, fleet, queries and operations.</w:t>
            </w:r>
          </w:p>
        </w:tc>
      </w:tr>
      <w:tr>
        <w:trPr>
          <w:cantSplit/>
        </w:trPr>
        <w:tc>
          <w:tcPr>
            <w:tcW w:type="dxa" w:w="2350"/>
            <w:tcMar>
              <w:top w:w="80" w:type="dxa"/>
              <w:bottom w:w="80" w:type="dxa"/>
              <w:start w:w="120" w:type="dxa"/>
              <w:end w:w="120" w:type="dxa"/>
            </w:tcMar>
          </w:tcPr>
          <w:p>
            <w:pPr>
              <w:pStyle w:val="TableText"/>
            </w:pPr>
            <w:r>
              <w:t>App A01–A05</w:t>
            </w:r>
          </w:p>
        </w:tc>
        <w:tc>
          <w:tcPr>
            <w:tcW w:type="dxa" w:w="650"/>
            <w:tcMar>
              <w:top w:w="80" w:type="dxa"/>
              <w:bottom w:w="80" w:type="dxa"/>
              <w:start w:w="120" w:type="dxa"/>
              <w:end w:w="120" w:type="dxa"/>
            </w:tcMar>
          </w:tcPr>
          <w:p>
            <w:pPr>
              <w:pStyle w:val="TableText"/>
            </w:pPr>
            <w:r>
              <w:t>5</w:t>
            </w:r>
          </w:p>
        </w:tc>
        <w:tc>
          <w:tcPr>
            <w:tcW w:type="dxa" w:w="6360"/>
            <w:tcMar>
              <w:top w:w="80" w:type="dxa"/>
              <w:bottom w:w="80" w:type="dxa"/>
              <w:start w:w="120" w:type="dxa"/>
              <w:end w:w="120" w:type="dxa"/>
            </w:tcMar>
          </w:tcPr>
          <w:p>
            <w:pPr>
              <w:pStyle w:val="TableText"/>
            </w:pPr>
            <w:r>
              <w:t>Onboarding, home, routine settings, incidents and platform integration.</w:t>
            </w:r>
          </w:p>
        </w:tc>
      </w:tr>
      <w:tr>
        <w:trPr>
          <w:cantSplit/>
        </w:trPr>
        <w:tc>
          <w:tcPr>
            <w:tcW w:type="dxa" w:w="2350"/>
            <w:tcMar>
              <w:top w:w="80" w:type="dxa"/>
              <w:bottom w:w="80" w:type="dxa"/>
              <w:start w:w="120" w:type="dxa"/>
              <w:end w:w="120" w:type="dxa"/>
            </w:tcMar>
          </w:tcPr>
          <w:p>
            <w:pPr>
              <w:pStyle w:val="TableText"/>
            </w:pPr>
            <w:r>
              <w:t>Shared S01–S03</w:t>
            </w:r>
          </w:p>
        </w:tc>
        <w:tc>
          <w:tcPr>
            <w:tcW w:type="dxa" w:w="650"/>
            <w:tcMar>
              <w:top w:w="80" w:type="dxa"/>
              <w:bottom w:w="80" w:type="dxa"/>
              <w:start w:w="120" w:type="dxa"/>
              <w:end w:w="120" w:type="dxa"/>
            </w:tcMar>
          </w:tcPr>
          <w:p>
            <w:pPr>
              <w:pStyle w:val="TableText"/>
            </w:pPr>
            <w:r>
              <w:t>3</w:t>
            </w:r>
          </w:p>
        </w:tc>
        <w:tc>
          <w:tcPr>
            <w:tcW w:type="dxa" w:w="6360"/>
            <w:tcMar>
              <w:top w:w="80" w:type="dxa"/>
              <w:bottom w:w="80" w:type="dxa"/>
              <w:start w:w="120" w:type="dxa"/>
              <w:end w:w="120" w:type="dxa"/>
            </w:tcMar>
          </w:tcPr>
          <w:p>
            <w:pPr>
              <w:pStyle w:val="TableText"/>
            </w:pPr>
            <w:r>
              <w:t>Contracts, deterministic rule core and firmware security/update utilities.</w:t>
            </w:r>
          </w:p>
        </w:tc>
      </w:tr>
      <w:tr>
        <w:trPr>
          <w:cantSplit/>
        </w:trPr>
        <w:tc>
          <w:tcPr>
            <w:tcW w:type="dxa" w:w="2350"/>
            <w:tcMar>
              <w:top w:w="80" w:type="dxa"/>
              <w:bottom w:w="80" w:type="dxa"/>
              <w:start w:w="120" w:type="dxa"/>
              <w:end w:w="120" w:type="dxa"/>
            </w:tcMar>
          </w:tcPr>
          <w:p>
            <w:pPr>
              <w:pStyle w:val="TableText"/>
            </w:pPr>
            <w:r>
              <w:t>Test/operations T01–T03</w:t>
            </w:r>
          </w:p>
        </w:tc>
        <w:tc>
          <w:tcPr>
            <w:tcW w:type="dxa" w:w="650"/>
            <w:tcMar>
              <w:top w:w="80" w:type="dxa"/>
              <w:bottom w:w="80" w:type="dxa"/>
              <w:start w:w="120" w:type="dxa"/>
              <w:end w:w="120" w:type="dxa"/>
            </w:tcMar>
          </w:tcPr>
          <w:p>
            <w:pPr>
              <w:pStyle w:val="TableText"/>
            </w:pPr>
            <w:r>
              <w:t>3</w:t>
            </w:r>
          </w:p>
        </w:tc>
        <w:tc>
          <w:tcPr>
            <w:tcW w:type="dxa" w:w="6360"/>
            <w:tcMar>
              <w:top w:w="80" w:type="dxa"/>
              <w:bottom w:w="80" w:type="dxa"/>
              <w:start w:w="120" w:type="dxa"/>
              <w:end w:w="120" w:type="dxa"/>
            </w:tcMar>
          </w:tcPr>
          <w:p>
            <w:pPr>
              <w:pStyle w:val="TableText"/>
            </w:pPr>
            <w:r>
              <w:t>Simulation, hardware-in-loop and deployment/runbooks.</w:t>
            </w:r>
          </w:p>
        </w:tc>
      </w:tr>
    </w:tbl>
    <w:p>
      <w:pPr>
        <w:pStyle w:val="TableSpacer"/>
      </w:pPr>
    </w:p>
    <w:p>
      <w:pPr>
        <w:pStyle w:val="SpecBody"/>
      </w:pPr>
      <w:r>
        <w:t>Within firmware, use static queues and a small number of tasks rather than one task per module. Proposed hub tasks: ingest dispatcher, storage/rules worker, resident UI, cloud worker and maintenance/health. A single state-owning worker serializes rule/config transitions; callbacks enqueue bounded data and never write flash, block on the network or play audio. Resident inputs have reserved admission capacity and priority over diagnostics.</w:t>
      </w:r>
    </w:p>
    <w:p>
      <w:pPr>
        <w:pStyle w:val="SpecBody"/>
      </w:pPr>
      <w:r>
        <w:t>Module interfaces use immutable value objects and explicit Result/Error types. Inject Clock, EventStore, RadioTransport and Notifier ports into tests. Backend services access repositories through interfaces; API handlers perform authentication/validation and invoke services, not raw cross-domain SQL. Dependency direction: app/transport adapters → application services → domain/contracts. Domain code never imports a UI/provider SDK.</w:t>
      </w:r>
    </w:p>
    <w:p>
      <w:pPr>
        <w:pStyle w:val="Heading2"/>
      </w:pPr>
      <w:r>
        <w:t>How to read requirement-to-module ownership</w:t>
      </w:r>
    </w:p>
    <w:p>
      <w:pPr>
        <w:pStyle w:val="SpecBody"/>
      </w:pPr>
      <w:r>
        <w:t>A requirement ID is a stable behavioral contract; module IDs name the code boundaries that collaborate to satisfy it. A comma-separated list is ownership traceability, not an execution order and not a set of separate services. The first prefix indicates the deployment/code layer.</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100"/>
        <w:gridCol w:w="2350"/>
        <w:gridCol w:w="5910"/>
      </w:tblGrid>
      <w:tr>
        <w:trPr>
          <w:cantSplit/>
          <w:tblHeader w:val="true"/>
        </w:trPr>
        <w:tc>
          <w:tcPr>
            <w:tcW w:type="dxa" w:w="11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Prefix</w:t>
            </w:r>
          </w:p>
        </w:tc>
        <w:tc>
          <w:tcPr>
            <w:tcW w:type="dxa" w:w="235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Layer</w:t>
            </w:r>
          </w:p>
        </w:tc>
        <w:tc>
          <w:tcPr>
            <w:tcW w:type="dxa" w:w="591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Meaning in this baseline</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N</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Node firmware</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ESP32-C3 sampling, retained work, radio, power and lifecycle</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H</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Hub firmware</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ESP32 hub admission, persistence, time, coverage, rules, UI, config and cloud sync</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B</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Backend</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Identity, home/consent, ingest, incidents, notification, fleet, queries and operations</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A</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Caregiver application</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Onboarding, home view, routines, incident actions and browser platform</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S</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Shared</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Wire contracts, deterministic rule core and firmware security/update policy</w:t>
            </w:r>
          </w:p>
        </w:tc>
      </w:tr>
      <w:tr>
        <w:trPr>
          <w:cantSplit/>
        </w:trPr>
        <w:tc>
          <w:tcPr>
            <w:tcW w:type="dxa" w:w="1100"/>
            <w:tcMar>
              <w:top w:w="80" w:type="dxa"/>
              <w:start w:w="120" w:type="dxa"/>
              <w:bottom w:w="80" w:type="dxa"/>
              <w:end w:w="120" w:type="dxa"/>
            </w:tcMar>
            <w:vAlign w:val="center"/>
          </w:tcPr>
          <w:p>
            <w:pPr>
              <w:spacing w:before="0" w:after="60" w:line="240" w:lineRule="auto"/>
            </w:pPr>
            <w:r>
              <w:rPr>
                <w:rFonts w:ascii="Calibri" w:hAnsi="Calibri"/>
                <w:sz w:val="17"/>
              </w:rPr>
              <w:t>T</w:t>
            </w:r>
          </w:p>
        </w:tc>
        <w:tc>
          <w:tcPr>
            <w:tcW w:type="dxa" w:w="2350"/>
            <w:tcMar>
              <w:top w:w="80" w:type="dxa"/>
              <w:start w:w="120" w:type="dxa"/>
              <w:bottom w:w="80" w:type="dxa"/>
              <w:end w:w="120" w:type="dxa"/>
            </w:tcMar>
            <w:vAlign w:val="center"/>
          </w:tcPr>
          <w:p>
            <w:pPr>
              <w:spacing w:before="0" w:after="60" w:line="240" w:lineRule="auto"/>
            </w:pPr>
            <w:r>
              <w:rPr>
                <w:rFonts w:ascii="Calibri" w:hAnsi="Calibri"/>
                <w:sz w:val="17"/>
              </w:rPr>
              <w:t>Verification/operations</w:t>
            </w:r>
          </w:p>
        </w:tc>
        <w:tc>
          <w:tcPr>
            <w:tcW w:type="dxa" w:w="5910"/>
            <w:tcMar>
              <w:top w:w="80" w:type="dxa"/>
              <w:start w:w="120" w:type="dxa"/>
              <w:bottom w:w="80" w:type="dxa"/>
              <w:end w:w="120" w:type="dxa"/>
            </w:tcMar>
            <w:vAlign w:val="center"/>
          </w:tcPr>
          <w:p>
            <w:pPr>
              <w:spacing w:before="0" w:after="60" w:line="240" w:lineRule="auto"/>
            </w:pPr>
            <w:r>
              <w:rPr>
                <w:rFonts w:ascii="Calibri" w:hAnsi="Calibri"/>
                <w:sz w:val="17"/>
              </w:rPr>
              <w:t>Simulation/CI, HIL tooling and deployment/runbook assets</w:t>
            </w:r>
          </w:p>
        </w:tc>
      </w:tr>
    </w:tbl>
    <w:p>
      <w:pPr>
        <w:pStyle w:val="Heading3"/>
      </w:pPr>
      <w:r>
        <w:t>F01 example flow</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800"/>
        <w:gridCol w:w="1300"/>
        <w:gridCol w:w="7260"/>
      </w:tblGrid>
      <w:tr>
        <w:trPr>
          <w:cantSplit/>
          <w:tblHeader w:val="true"/>
        </w:trPr>
        <w:tc>
          <w:tcPr>
            <w:tcW w:type="dxa" w:w="8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Step</w:t>
            </w:r>
          </w:p>
        </w:tc>
        <w:tc>
          <w:tcPr>
            <w:tcW w:type="dxa" w:w="13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Owner</w:t>
            </w:r>
          </w:p>
        </w:tc>
        <w:tc>
          <w:tcPr>
            <w:tcW w:type="dxa" w:w="72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Implemented flow</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7"/>
              </w:rPr>
              <w:t>1</w:t>
            </w:r>
          </w:p>
        </w:tc>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7"/>
              </w:rPr>
              <w:t>A01</w:t>
            </w:r>
          </w:p>
        </w:tc>
        <w:tc>
          <w:tcPr>
            <w:tcW w:type="dxa" w:w="7260"/>
            <w:tcMar>
              <w:top w:w="80" w:type="dxa"/>
              <w:start w:w="120" w:type="dxa"/>
              <w:bottom w:w="80" w:type="dxa"/>
              <w:end w:w="120" w:type="dxa"/>
            </w:tcMar>
            <w:vAlign w:val="center"/>
          </w:tcPr>
          <w:p>
            <w:pPr>
              <w:keepNext/>
              <w:spacing w:before="0" w:after="60" w:line="240" w:lineRule="auto"/>
            </w:pPr>
            <w:r>
              <w:rPr>
                <w:rFonts w:ascii="Calibri" w:hAnsi="Calibri"/>
                <w:sz w:val="17"/>
              </w:rPr>
              <w:t>Validate home name, IANA timezone, resident consent and distinct primary/backup caregivers; build idempotent create-home command.</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7"/>
              </w:rPr>
              <w:t>2</w:t>
            </w:r>
          </w:p>
        </w:tc>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7"/>
              </w:rPr>
              <w:t>B01</w:t>
            </w:r>
          </w:p>
        </w:tc>
        <w:tc>
          <w:tcPr>
            <w:tcW w:type="dxa" w:w="7260"/>
            <w:tcMar>
              <w:top w:w="80" w:type="dxa"/>
              <w:start w:w="120" w:type="dxa"/>
              <w:bottom w:w="80" w:type="dxa"/>
              <w:end w:w="120" w:type="dxa"/>
            </w:tcMar>
            <w:vAlign w:val="center"/>
          </w:tcPr>
          <w:p>
            <w:pPr>
              <w:keepNext/>
              <w:spacing w:before="0" w:after="60" w:line="240" w:lineRule="auto"/>
            </w:pPr>
            <w:r>
              <w:rPr>
                <w:rFonts w:ascii="Calibri" w:hAnsi="Calibri"/>
                <w:sz w:val="17"/>
              </w:rPr>
              <w:t>Create home-scoped OWNER/CAREGIVER memberships and enforce access on every read/action.</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7"/>
              </w:rPr>
              <w:t>3</w:t>
            </w:r>
          </w:p>
        </w:tc>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7"/>
              </w:rPr>
              <w:t>B02</w:t>
            </w:r>
          </w:p>
        </w:tc>
        <w:tc>
          <w:tcPr>
            <w:tcW w:type="dxa" w:w="7260"/>
            <w:tcMar>
              <w:top w:w="80" w:type="dxa"/>
              <w:start w:w="120" w:type="dxa"/>
              <w:bottom w:w="80" w:type="dxa"/>
              <w:end w:w="120" w:type="dxa"/>
            </w:tcMar>
            <w:vAlign w:val="center"/>
          </w:tcPr>
          <w:p>
            <w:pPr>
              <w:keepNext/>
              <w:spacing w:before="0" w:after="60" w:line="240" w:lineRule="auto"/>
            </w:pPr>
            <w:r>
              <w:rPr>
                <w:rFonts w:ascii="Calibri" w:hAnsi="Calibri"/>
                <w:sz w:val="17"/>
              </w:rPr>
              <w:t>Persist the household, consent state, route and version; withdrawal enters privacy mode.</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7"/>
              </w:rPr>
              <w:t>4</w:t>
            </w:r>
          </w:p>
        </w:tc>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7"/>
              </w:rPr>
              <w:t>S01</w:t>
            </w:r>
          </w:p>
        </w:tc>
        <w:tc>
          <w:tcPr>
            <w:tcW w:type="dxa" w:w="7260"/>
            <w:tcMar>
              <w:top w:w="80" w:type="dxa"/>
              <w:start w:w="120" w:type="dxa"/>
              <w:bottom w:w="80" w:type="dxa"/>
              <w:end w:w="120" w:type="dxa"/>
            </w:tcMar>
            <w:vAlign w:val="center"/>
          </w:tcPr>
          <w:p>
            <w:pPr>
              <w:keepNext/>
              <w:spacing w:before="0" w:after="60" w:line="240" w:lineRule="auto"/>
            </w:pPr>
            <w:r>
              <w:rPr>
                <w:rFonts w:ascii="Calibri" w:hAnsi="Calibri"/>
                <w:sz w:val="17"/>
              </w:rPr>
              <w:t>Carry canonical identifiers/versions across API and device configuration contracts.</w:t>
            </w:r>
          </w:p>
        </w:tc>
      </w:tr>
      <w:tr>
        <w:trPr>
          <w:cantSplit/>
        </w:trPr>
        <w:tc>
          <w:tcPr>
            <w:tcW w:type="dxa" w:w="800"/>
            <w:tcMar>
              <w:top w:w="80" w:type="dxa"/>
              <w:start w:w="120" w:type="dxa"/>
              <w:bottom w:w="80" w:type="dxa"/>
              <w:end w:w="120" w:type="dxa"/>
            </w:tcMar>
            <w:vAlign w:val="center"/>
          </w:tcPr>
          <w:p>
            <w:pPr>
              <w:spacing w:before="0" w:after="60" w:line="240" w:lineRule="auto"/>
            </w:pPr>
            <w:r>
              <w:rPr>
                <w:rFonts w:ascii="Calibri" w:hAnsi="Calibri"/>
                <w:sz w:val="17"/>
              </w:rPr>
              <w:t>5</w:t>
            </w:r>
          </w:p>
        </w:tc>
        <w:tc>
          <w:tcPr>
            <w:tcW w:type="dxa" w:w="1300"/>
            <w:tcMar>
              <w:top w:w="80" w:type="dxa"/>
              <w:start w:w="120" w:type="dxa"/>
              <w:bottom w:w="80" w:type="dxa"/>
              <w:end w:w="120" w:type="dxa"/>
            </w:tcMar>
            <w:vAlign w:val="center"/>
          </w:tcPr>
          <w:p>
            <w:pPr>
              <w:spacing w:before="0" w:after="60" w:line="240" w:lineRule="auto"/>
            </w:pPr>
            <w:r>
              <w:rPr>
                <w:rFonts w:ascii="Calibri" w:hAnsi="Calibri"/>
                <w:sz w:val="17"/>
              </w:rPr>
              <w:t>Verification</w:t>
            </w:r>
          </w:p>
        </w:tc>
        <w:tc>
          <w:tcPr>
            <w:tcW w:type="dxa" w:w="7260"/>
            <w:tcMar>
              <w:top w:w="80" w:type="dxa"/>
              <w:start w:w="120" w:type="dxa"/>
              <w:bottom w:w="80" w:type="dxa"/>
              <w:end w:w="120" w:type="dxa"/>
            </w:tcMar>
            <w:vAlign w:val="center"/>
          </w:tcPr>
          <w:p>
            <w:pPr>
              <w:spacing w:before="0" w:after="60" w:line="240" w:lineRule="auto"/>
            </w:pPr>
            <w:r>
              <w:rPr>
                <w:rFonts w:ascii="Calibri" w:hAnsi="Calibri"/>
                <w:sz w:val="17"/>
              </w:rPr>
              <w:t>Cross-home access fails; passive motion remains household/location evidence and never names a resident.</w:t>
            </w:r>
          </w:p>
        </w:tc>
      </w:tr>
    </w:tbl>
    <w:p>
      <w:pPr>
        <w:pStyle w:val="Heading3"/>
      </w:pPr>
      <w:r>
        <w:t>Proposed hub FreeRTOS binding</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800"/>
        <w:gridCol w:w="1400"/>
        <w:gridCol w:w="6160"/>
      </w:tblGrid>
      <w:tr>
        <w:trPr>
          <w:cantSplit/>
          <w:tblHeader w:val="true"/>
        </w:trPr>
        <w:tc>
          <w:tcPr>
            <w:tcW w:type="dxa" w:w="18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Execution context</w:t>
            </w:r>
          </w:p>
        </w:tc>
        <w:tc>
          <w:tcPr>
            <w:tcW w:type="dxa" w:w="14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w:t>
            </w:r>
          </w:p>
        </w:tc>
        <w:tc>
          <w:tcPr>
            <w:tcW w:type="dxa" w:w="61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Required behavior</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ESP-NOW callback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H01</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Authenticate/copy fixed data to static queue; never block, write flash or run a rule.</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hub_event_task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H01–H07</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Only rule/config/coverage state writer: privacy gate → durable journal → coverage → S02 reducer → ACK.</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cloud_sync_task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H08</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Manage Wi-Fi/MQTT and committed outbox; application DB-commit ACK retires records.</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ui_task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H06</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Debounce buttons/privacy, enqueue action, render immutable state snapshot and fixed feedback.</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maintenance_task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H07/S03</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Bounded service window, diagnostics and signed update orchestration.</w:t>
            </w:r>
          </w:p>
        </w:tc>
      </w:tr>
      <w:tr>
        <w:trPr>
          <w:cantSplit/>
        </w:trPr>
        <w:tc>
          <w:tcPr>
            <w:tcW w:type="dxa" w:w="1800"/>
            <w:tcMar>
              <w:top w:w="80" w:type="dxa"/>
              <w:start w:w="120" w:type="dxa"/>
              <w:bottom w:w="80" w:type="dxa"/>
              <w:end w:w="120" w:type="dxa"/>
            </w:tcMar>
            <w:vAlign w:val="center"/>
          </w:tcPr>
          <w:p>
            <w:pPr>
              <w:spacing w:before="0" w:after="60" w:line="240" w:lineRule="auto"/>
            </w:pPr>
            <w:r>
              <w:rPr>
                <w:rFonts w:ascii="Calibri" w:hAnsi="Calibri"/>
                <w:sz w:val="16"/>
              </w:rPr>
              <w:t>FreeRTOS timers</w:t>
            </w:r>
          </w:p>
        </w:tc>
        <w:tc>
          <w:tcPr>
            <w:tcW w:type="dxa" w:w="1400"/>
            <w:tcMar>
              <w:top w:w="80" w:type="dxa"/>
              <w:start w:w="120" w:type="dxa"/>
              <w:bottom w:w="80" w:type="dxa"/>
              <w:end w:w="120" w:type="dxa"/>
            </w:tcMar>
            <w:vAlign w:val="center"/>
          </w:tcPr>
          <w:p>
            <w:pPr>
              <w:spacing w:before="0" w:after="60" w:line="240" w:lineRule="auto"/>
            </w:pPr>
            <w:r>
              <w:rPr>
                <w:rFonts w:ascii="Calibri" w:hAnsi="Calibri"/>
                <w:sz w:val="16"/>
              </w:rPr>
              <w:t>H03/H04</w:t>
            </w:r>
          </w:p>
        </w:tc>
        <w:tc>
          <w:tcPr>
            <w:tcW w:type="dxa" w:w="6160"/>
            <w:tcMar>
              <w:top w:w="80" w:type="dxa"/>
              <w:start w:w="120" w:type="dxa"/>
              <w:bottom w:w="80" w:type="dxa"/>
              <w:end w:w="120" w:type="dxa"/>
            </w:tcMar>
            <w:vAlign w:val="center"/>
          </w:tcPr>
          <w:p>
            <w:pPr>
              <w:spacing w:before="0" w:after="60" w:line="240" w:lineRule="auto"/>
            </w:pPr>
            <w:r>
              <w:rPr>
                <w:rFonts w:ascii="Calibri" w:hAnsi="Calibri"/>
                <w:sz w:val="16"/>
              </w:rPr>
              <w:t>Enqueue deadline/lease/grace events; callbacks never mutate authoritative state.</w:t>
            </w:r>
          </w:p>
        </w:tc>
      </w:tr>
    </w:tbl>
    <w:p>
      <w:pPr>
        <w:pStyle w:val="SpecBody"/>
      </w:pPr>
      <w:r>
        <w:t>ESP-IDF already includes FreeRTOS. Do not install a second RTOS. Proposed task priority/stack values are starting points only and require high-water, queue-occupancy and starvation measurements on the exact hub board and pinned ESP-IDF build.</w:t>
      </w:r>
    </w:p>
    <w:p>
      <w:bookmarkStart w:id="4" w:name="hardware"/>
      <w:pPr>
        <w:pStyle w:val="Heading1"/>
        <w:pageBreakBefore/>
      </w:pPr>
      <w:r>
        <w:t>4. Hardware and power specification</w:t>
      </w:r>
      <w:bookmarkEnd w:id="4"/>
    </w:p>
    <w:tbl>
      <w:tblPr>
        <w:tblW w:type="dxa" w:w="9360"/>
        <w:tblLayout w:type="fixed"/>
        <w:tblLook w:firstColumn="1" w:firstRow="1" w:lastColumn="0" w:lastRow="0" w:noHBand="0" w:noVBand="1" w:val="04A0"/>
        <w:jc w:val="left"/>
        <w:tblInd w:type="dxa" w:w="120"/>
        <w:tblBorders>
          <w:top w:val="single" w:sz="4" w:color="B8C5D1" w:space="0"/>
          <w:left w:val="single" w:sz="4" w:color="B8C5D1" w:space="0"/>
          <w:bottom w:val="single" w:sz="4" w:color="B8C5D1" w:space="0"/>
          <w:right w:val="single" w:sz="4" w:color="B8C5D1" w:space="0"/>
          <w:insideH w:val="single" w:sz="4" w:color="B8C5D1" w:space="0"/>
          <w:insideV w:val="single" w:sz="4" w:color="B8C5D1" w:space="0"/>
        </w:tblBorders>
      </w:tblPr>
      <w:tblGrid>
        <w:gridCol w:w="1500"/>
        <w:gridCol w:w="2650"/>
        <w:gridCol w:w="5210"/>
      </w:tblGrid>
      <w:tr>
        <w:trPr>
          <w:cantSplit/>
          <w:tblHeader/>
          <w:cantSplit/>
          <w:tblHeader w:val="true"/>
        </w:trPr>
        <w:tc>
          <w:tcPr>
            <w:tcW w:type="dxa" w:w="1500"/>
            <w:tcMar>
              <w:top w:w="80" w:type="dxa"/>
              <w:bottom w:w="80" w:type="dxa"/>
              <w:start w:w="120" w:type="dxa"/>
              <w:end w:w="120" w:type="dxa"/>
            </w:tcMar>
            <w:shd w:fill="E8EEF5"/>
            <w:vAlign w:val="center"/>
          </w:tcPr>
          <w:p>
            <w:pPr>
              <w:spacing w:before="0" w:after="60" w:line="240" w:lineRule="auto"/>
            </w:pPr>
            <w:r>
              <w:rPr>
                <w:rFonts w:ascii="Calibri" w:hAnsi="Calibri"/>
                <w:b/>
                <w:color w:val="1F4D78"/>
                <w:sz w:val="18"/>
              </w:rPr>
              <w:t>Item</w:t>
            </w:r>
          </w:p>
        </w:tc>
        <w:tc>
          <w:tcPr>
            <w:tcW w:type="dxa" w:w="2650"/>
            <w:tcMar>
              <w:top w:w="80" w:type="dxa"/>
              <w:bottom w:w="80" w:type="dxa"/>
              <w:start w:w="120" w:type="dxa"/>
              <w:end w:w="120" w:type="dxa"/>
            </w:tcMar>
            <w:shd w:fill="E8EEF5"/>
            <w:vAlign w:val="center"/>
          </w:tcPr>
          <w:p>
            <w:pPr>
              <w:spacing w:before="0" w:after="60" w:line="240" w:lineRule="auto"/>
            </w:pPr>
            <w:r>
              <w:rPr>
                <w:rFonts w:ascii="Calibri" w:hAnsi="Calibri"/>
                <w:b/>
                <w:color w:val="1F4D78"/>
                <w:sz w:val="18"/>
              </w:rPr>
              <w:t>P0 quantity / interface</w:t>
            </w:r>
          </w:p>
        </w:tc>
        <w:tc>
          <w:tcPr>
            <w:tcW w:type="dxa" w:w="5210"/>
            <w:tcMar>
              <w:top w:w="80" w:type="dxa"/>
              <w:bottom w:w="80" w:type="dxa"/>
              <w:start w:w="120" w:type="dxa"/>
              <w:end w:w="120" w:type="dxa"/>
            </w:tcMar>
            <w:shd w:fill="E8EEF5"/>
            <w:vAlign w:val="center"/>
          </w:tcPr>
          <w:p>
            <w:pPr>
              <w:spacing w:before="0" w:after="60" w:line="240" w:lineRule="auto"/>
            </w:pPr>
            <w:r>
              <w:rPr>
                <w:rFonts w:ascii="Calibri" w:hAnsi="Calibri"/>
                <w:b/>
                <w:color w:val="1F4D78"/>
                <w:sz w:val="18"/>
              </w:rPr>
              <w:t>Design and verification requirements</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HW-HUB</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1 × ESP32 DevKit V1 candidate</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Verify exact 30/38-pin supplier variant, ESP32 module, flash, regulator, USB power path, radio behavior and usable pins. No camera or microphone in P0.</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HW-NODES</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4 × ESP32-C3 nodes</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Each node has a unique identity and declared PIR/reed capability profile. Exact SuperMini supplier variant, flash, LEDs and sleep leakage require measurement.</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HW-PIR</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Up to 4 × low-power PIR</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One per selected node; minimum two independently placed and tested zones for unattended routine monitoring. Validate 3.3-V output, warm-up, hold time and field of view.</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HW-DOOR</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1 × reed/magnet on a selected node</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Debounced GPIO input, initial-state sample, mounting-gap and cable-strain test. A combined PIR+reed node is allowed only after placement and power validation.</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HW-UI</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2 buttons + latching privacy switch</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I’m OK; Call family; Privacy. Large tactile labels, distinct placement, no color-only meaning.</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HW-FEEDBACK</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OLED + status LED; optional speaker</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I²C display. Existing 8-ohm speaker requires a suitable amplifier and supply validation. Fixed prompts only; no microphone.</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HW-POWER</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4 rechargeable node supplies; hub 5 V USB + backup candidate</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Protected cells/packs, matched charger/power path, regulator, battery measurement and safe enclosure. Two-cell shield may support the bench prototype; commercial power hardware needs supply-transition, thermal, abuse and lifecycle qualification.</w:t>
            </w:r>
          </w:p>
        </w:tc>
      </w:tr>
      <w:tr>
        <w:trPr>
          <w:cantSplit/>
        </w:trPr>
        <w:tc>
          <w:tcPr>
            <w:tcW w:type="dxa" w:w="1500"/>
            <w:vAlign w:val="center"/>
          </w:tcPr>
          <w:p>
            <w:pPr>
              <w:spacing w:before="0" w:after="60" w:line="240" w:lineRule="auto"/>
            </w:pPr>
            <w:r>
              <w:rPr>
                <w:rFonts w:ascii="Calibri" w:hAnsi="Calibri"/>
                <w:sz w:val="18"/>
              </w:rPr>
              <w:t>HW-SERVICE</w:t>
            </w:r>
          </w:p>
        </w:tc>
        <w:tc>
          <w:tcPr>
            <w:tcW w:type="dxa" w:w="2650"/>
            <w:vAlign w:val="center"/>
          </w:tcPr>
          <w:p>
            <w:pPr>
              <w:spacing w:before="0" w:after="60" w:line="240" w:lineRule="auto"/>
            </w:pPr>
            <w:r>
              <w:rPr>
                <w:rFonts w:ascii="Calibri" w:hAnsi="Calibri"/>
                <w:sz w:val="18"/>
              </w:rPr>
              <w:t>USB access + kit labels</w:t>
            </w:r>
          </w:p>
        </w:tc>
        <w:tc>
          <w:tcPr>
            <w:tcW w:type="dxa" w:w="5210"/>
            <w:vAlign w:val="center"/>
          </w:tcPr>
          <w:p>
            <w:pPr>
              <w:spacing w:before="0" w:after="60" w:line="240" w:lineRule="auto"/>
            </w:pPr>
            <w:r>
              <w:rPr>
                <w:rFonts w:ascii="Calibri" w:hAnsi="Calibri"/>
                <w:sz w:val="18"/>
              </w:rPr>
              <w:t>Provisioning/update jig, test pads and serial/QR traceability; no exposed unsafe battery terminals. OTA does not remove the need for recoverable local service access.</w:t>
            </w:r>
          </w:p>
        </w:tc>
      </w:tr>
    </w:tbl>
    <w:p>
      <w:pPr>
        <w:pStyle w:val="TableSpacer"/>
      </w:pPr>
    </w:p>
    <w:p>
      <w:pPr>
        <w:pStyle w:val="Heading2"/>
      </w:pPr>
      <w:r>
        <w:t>Logical I/O contract — physical pin numbers intentionally open</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260"/>
        <w:gridCol w:w="3300"/>
        <w:gridCol w:w="3800"/>
      </w:tblGrid>
      <w:tr>
        <w:trPr>
          <w:cantSplit/>
          <w:tblHeader/>
        </w:trPr>
        <w:tc>
          <w:tcPr>
            <w:tcW w:type="dxa" w:w="2260"/>
            <w:tcMar>
              <w:top w:w="80" w:type="dxa"/>
              <w:bottom w:w="80" w:type="dxa"/>
              <w:start w:w="120" w:type="dxa"/>
              <w:end w:w="120" w:type="dxa"/>
            </w:tcMar>
            <w:shd w:fill="E8EEF5"/>
          </w:tcPr>
          <w:p>
            <w:pPr>
              <w:pStyle w:val="TableText"/>
            </w:pPr>
            <w:r>
              <w:rPr>
                <w:b/>
              </w:rPr>
              <w:t>Signal</w:t>
            </w:r>
          </w:p>
        </w:tc>
        <w:tc>
          <w:tcPr>
            <w:tcW w:type="dxa" w:w="3300"/>
            <w:tcMar>
              <w:top w:w="80" w:type="dxa"/>
              <w:bottom w:w="80" w:type="dxa"/>
              <w:start w:w="120" w:type="dxa"/>
              <w:end w:w="120" w:type="dxa"/>
            </w:tcMar>
            <w:shd w:fill="E8EEF5"/>
          </w:tcPr>
          <w:p>
            <w:pPr>
              <w:pStyle w:val="TableText"/>
            </w:pPr>
            <w:r>
              <w:rPr>
                <w:b/>
              </w:rPr>
              <w:t>Required behavior</w:t>
            </w:r>
          </w:p>
        </w:tc>
        <w:tc>
          <w:tcPr>
            <w:tcW w:type="dxa" w:w="3800"/>
            <w:tcMar>
              <w:top w:w="80" w:type="dxa"/>
              <w:bottom w:w="80" w:type="dxa"/>
              <w:start w:w="120" w:type="dxa"/>
              <w:end w:w="120" w:type="dxa"/>
            </w:tcMar>
            <w:shd w:fill="E8EEF5"/>
          </w:tcPr>
          <w:p>
            <w:pPr>
              <w:pStyle w:val="TableText"/>
            </w:pPr>
            <w:r>
              <w:rPr>
                <w:b/>
              </w:rPr>
              <w:t>Pin/board constraint</w:t>
            </w:r>
          </w:p>
        </w:tc>
      </w:tr>
      <w:tr>
        <w:trPr>
          <w:cantSplit/>
        </w:trPr>
        <w:tc>
          <w:tcPr>
            <w:tcW w:type="dxa" w:w="2260"/>
            <w:tcMar>
              <w:top w:w="80" w:type="dxa"/>
              <w:bottom w:w="80" w:type="dxa"/>
              <w:start w:w="120" w:type="dxa"/>
              <w:end w:w="120" w:type="dxa"/>
            </w:tcMar>
          </w:tcPr>
          <w:p>
            <w:pPr>
              <w:pStyle w:val="TableText"/>
            </w:pPr>
            <w:r>
              <w:t>PIR_IN / REED_IN</w:t>
            </w:r>
          </w:p>
        </w:tc>
        <w:tc>
          <w:tcPr>
            <w:tcW w:type="dxa" w:w="3300"/>
            <w:tcMar>
              <w:top w:w="80" w:type="dxa"/>
              <w:bottom w:w="80" w:type="dxa"/>
              <w:start w:w="120" w:type="dxa"/>
              <w:end w:w="120" w:type="dxa"/>
            </w:tcMar>
          </w:tcPr>
          <w:p>
            <w:pPr>
              <w:pStyle w:val="TableText"/>
            </w:pPr>
            <w:r>
              <w:t>Digital input + debounced wake event</w:t>
            </w:r>
          </w:p>
        </w:tc>
        <w:tc>
          <w:tcPr>
            <w:tcW w:type="dxa" w:w="3800"/>
            <w:tcMar>
              <w:top w:w="80" w:type="dxa"/>
              <w:bottom w:w="80" w:type="dxa"/>
              <w:start w:w="120" w:type="dxa"/>
              <w:end w:w="120" w:type="dxa"/>
            </w:tcMar>
          </w:tcPr>
          <w:p>
            <w:pPr>
              <w:pStyle w:val="TableText"/>
            </w:pPr>
            <w:r>
              <w:t>Verify C3 wake-capable GPIO and boot/USB conflicts; test level-held wake loops.</w:t>
            </w:r>
          </w:p>
        </w:tc>
      </w:tr>
      <w:tr>
        <w:trPr>
          <w:cantSplit/>
        </w:trPr>
        <w:tc>
          <w:tcPr>
            <w:tcW w:type="dxa" w:w="2260"/>
            <w:tcMar>
              <w:top w:w="80" w:type="dxa"/>
              <w:bottom w:w="80" w:type="dxa"/>
              <w:start w:w="120" w:type="dxa"/>
              <w:end w:w="120" w:type="dxa"/>
            </w:tcMar>
          </w:tcPr>
          <w:p>
            <w:pPr>
              <w:pStyle w:val="TableText"/>
            </w:pPr>
            <w:r>
              <w:t>OK_BTN / CALL_BTN</w:t>
            </w:r>
          </w:p>
        </w:tc>
        <w:tc>
          <w:tcPr>
            <w:tcW w:type="dxa" w:w="3300"/>
            <w:tcMar>
              <w:top w:w="80" w:type="dxa"/>
              <w:bottom w:w="80" w:type="dxa"/>
              <w:start w:w="120" w:type="dxa"/>
              <w:end w:w="120" w:type="dxa"/>
            </w:tcMar>
          </w:tcPr>
          <w:p>
            <w:pPr>
              <w:pStyle w:val="TableText"/>
            </w:pPr>
            <w:r>
              <w:t>Separate debounced active input</w:t>
            </w:r>
          </w:p>
        </w:tc>
        <w:tc>
          <w:tcPr>
            <w:tcW w:type="dxa" w:w="3800"/>
            <w:tcMar>
              <w:top w:w="80" w:type="dxa"/>
              <w:bottom w:w="80" w:type="dxa"/>
              <w:start w:w="120" w:type="dxa"/>
              <w:end w:w="120" w:type="dxa"/>
            </w:tcMar>
          </w:tcPr>
          <w:p>
            <w:pPr>
              <w:pStyle w:val="TableText"/>
            </w:pPr>
            <w:r>
              <w:t>Avoid boot-strap side effects; stuck-at-boot behavior is explicit.</w:t>
            </w:r>
          </w:p>
        </w:tc>
      </w:tr>
      <w:tr>
        <w:trPr>
          <w:cantSplit/>
        </w:trPr>
        <w:tc>
          <w:tcPr>
            <w:tcW w:type="dxa" w:w="2260"/>
            <w:tcMar>
              <w:top w:w="80" w:type="dxa"/>
              <w:bottom w:w="80" w:type="dxa"/>
              <w:start w:w="120" w:type="dxa"/>
              <w:end w:w="120" w:type="dxa"/>
            </w:tcMar>
          </w:tcPr>
          <w:p>
            <w:pPr>
              <w:pStyle w:val="TableText"/>
            </w:pPr>
            <w:r>
              <w:t>PRIVACY_SW</w:t>
            </w:r>
          </w:p>
        </w:tc>
        <w:tc>
          <w:tcPr>
            <w:tcW w:type="dxa" w:w="3300"/>
            <w:tcMar>
              <w:top w:w="80" w:type="dxa"/>
              <w:bottom w:w="80" w:type="dxa"/>
              <w:start w:w="120" w:type="dxa"/>
              <w:end w:w="120" w:type="dxa"/>
            </w:tcMar>
          </w:tcPr>
          <w:p>
            <w:pPr>
              <w:pStyle w:val="TableText"/>
            </w:pPr>
            <w:r>
              <w:t>Sample before enabling observation</w:t>
            </w:r>
          </w:p>
        </w:tc>
        <w:tc>
          <w:tcPr>
            <w:tcW w:type="dxa" w:w="3800"/>
            <w:tcMar>
              <w:top w:w="80" w:type="dxa"/>
              <w:bottom w:w="80" w:type="dxa"/>
              <w:start w:w="120" w:type="dxa"/>
              <w:end w:w="120" w:type="dxa"/>
            </w:tcMar>
          </w:tcPr>
          <w:p>
            <w:pPr>
              <w:pStyle w:val="TableText"/>
            </w:pPr>
            <w:r>
              <w:t>Stable latching input; local mode has highest priority.</w:t>
            </w:r>
          </w:p>
        </w:tc>
      </w:tr>
      <w:tr>
        <w:trPr>
          <w:cantSplit/>
        </w:trPr>
        <w:tc>
          <w:tcPr>
            <w:tcW w:type="dxa" w:w="2260"/>
            <w:tcMar>
              <w:top w:w="80" w:type="dxa"/>
              <w:bottom w:w="80" w:type="dxa"/>
              <w:start w:w="120" w:type="dxa"/>
              <w:end w:w="120" w:type="dxa"/>
            </w:tcMar>
          </w:tcPr>
          <w:p>
            <w:pPr>
              <w:pStyle w:val="TableText"/>
            </w:pPr>
            <w:r>
              <w:t>BAT_SENSE</w:t>
            </w:r>
          </w:p>
        </w:tc>
        <w:tc>
          <w:tcPr>
            <w:tcW w:type="dxa" w:w="3300"/>
            <w:tcMar>
              <w:top w:w="80" w:type="dxa"/>
              <w:bottom w:w="80" w:type="dxa"/>
              <w:start w:w="120" w:type="dxa"/>
              <w:end w:w="120" w:type="dxa"/>
            </w:tcMar>
          </w:tcPr>
          <w:p>
            <w:pPr>
              <w:pStyle w:val="TableText"/>
            </w:pPr>
            <w:r>
              <w:t>Calibrated millivolts with bounded input</w:t>
            </w:r>
          </w:p>
        </w:tc>
        <w:tc>
          <w:tcPr>
            <w:tcW w:type="dxa" w:w="3800"/>
            <w:tcMar>
              <w:top w:w="80" w:type="dxa"/>
              <w:bottom w:w="80" w:type="dxa"/>
              <w:start w:w="120" w:type="dxa"/>
              <w:end w:w="120" w:type="dxa"/>
            </w:tcMar>
          </w:tcPr>
          <w:p>
            <w:pPr>
              <w:pStyle w:val="TableText"/>
            </w:pPr>
            <w:r>
              <w:t>Divider within ADC rating at full charge; leakage measured at battery.</w:t>
            </w:r>
          </w:p>
        </w:tc>
      </w:tr>
      <w:tr>
        <w:trPr>
          <w:cantSplit/>
        </w:trPr>
        <w:tc>
          <w:tcPr>
            <w:tcW w:type="dxa" w:w="2260"/>
            <w:tcMar>
              <w:top w:w="80" w:type="dxa"/>
              <w:bottom w:w="80" w:type="dxa"/>
              <w:start w:w="120" w:type="dxa"/>
              <w:end w:w="120" w:type="dxa"/>
            </w:tcMar>
          </w:tcPr>
          <w:p>
            <w:pPr>
              <w:pStyle w:val="TableText"/>
            </w:pPr>
            <w:r>
              <w:t>USB_PRESENT / CHG_STATUS</w:t>
            </w:r>
          </w:p>
        </w:tc>
        <w:tc>
          <w:tcPr>
            <w:tcW w:type="dxa" w:w="3300"/>
            <w:tcMar>
              <w:top w:w="80" w:type="dxa"/>
              <w:bottom w:w="80" w:type="dxa"/>
              <w:start w:w="120" w:type="dxa"/>
              <w:end w:w="120" w:type="dxa"/>
            </w:tcMar>
          </w:tcPr>
          <w:p>
            <w:pPr>
              <w:pStyle w:val="TableText"/>
            </w:pPr>
            <w:r>
              <w:t>Optional verified status inputs</w:t>
            </w:r>
          </w:p>
        </w:tc>
        <w:tc>
          <w:tcPr>
            <w:tcW w:type="dxa" w:w="3800"/>
            <w:tcMar>
              <w:top w:w="80" w:type="dxa"/>
              <w:bottom w:w="80" w:type="dxa"/>
              <w:start w:w="120" w:type="dxa"/>
              <w:end w:w="120" w:type="dxa"/>
            </w:tcMar>
          </w:tcPr>
          <w:p>
            <w:pPr>
              <w:pStyle w:val="TableText"/>
            </w:pPr>
            <w:r>
              <w:t>Do not infer status from an unverified charger module or directly expose 5 V to GPIO.</w:t>
            </w:r>
          </w:p>
        </w:tc>
      </w:tr>
      <w:tr>
        <w:trPr>
          <w:cantSplit/>
        </w:trPr>
        <w:tc>
          <w:tcPr>
            <w:tcW w:type="dxa" w:w="2260"/>
            <w:tcMar>
              <w:top w:w="80" w:type="dxa"/>
              <w:bottom w:w="80" w:type="dxa"/>
              <w:start w:w="120" w:type="dxa"/>
              <w:end w:w="120" w:type="dxa"/>
            </w:tcMar>
          </w:tcPr>
          <w:p>
            <w:pPr>
              <w:pStyle w:val="TableText"/>
            </w:pPr>
            <w:r>
              <w:t>I²C / I²S / AMP_EN</w:t>
            </w:r>
          </w:p>
        </w:tc>
        <w:tc>
          <w:tcPr>
            <w:tcW w:type="dxa" w:w="3300"/>
            <w:tcMar>
              <w:top w:w="80" w:type="dxa"/>
              <w:bottom w:w="80" w:type="dxa"/>
              <w:start w:w="120" w:type="dxa"/>
              <w:end w:w="120" w:type="dxa"/>
            </w:tcMar>
          </w:tcPr>
          <w:p>
            <w:pPr>
              <w:pStyle w:val="TableText"/>
            </w:pPr>
            <w:r>
              <w:t>Display and optional fixed prompts</w:t>
            </w:r>
          </w:p>
        </w:tc>
        <w:tc>
          <w:tcPr>
            <w:tcW w:type="dxa" w:w="3800"/>
            <w:tcMar>
              <w:top w:w="80" w:type="dxa"/>
              <w:bottom w:w="80" w:type="dxa"/>
              <w:start w:w="120" w:type="dxa"/>
              <w:end w:w="120" w:type="dxa"/>
            </w:tcMar>
          </w:tcPr>
          <w:p>
            <w:pPr>
              <w:pStyle w:val="TableText"/>
            </w:pPr>
            <w:r>
              <w:t>Check voltage, pin allocation and audio-load peak current; power down amp when idle.</w:t>
            </w:r>
          </w:p>
        </w:tc>
      </w:tr>
    </w:tbl>
    <w:p>
      <w:pPr>
        <w:pStyle w:val="TableSpacer"/>
      </w:pPr>
    </w:p>
    <w:p>
      <w:pPr>
        <w:pStyle w:val="SpecBody"/>
      </w:pPr>
      <w:r>
        <w:t>HW01/HW04: perform placement, retention, cable strain and enclosure access tests with consenting adults. Keep nodes out of bathrooms/private rooms for the first pilot. An ordinary PIR is not a human-presence guarantee; a motionless person can remain undetected.</w:t>
      </w:r>
    </w:p>
    <w:p>
      <w:pPr>
        <w:pStyle w:val="Heading2"/>
        <w:pageBreakBefore/>
      </w:pPr>
      <w:r>
        <w:t>Rechargeable batteries: allowed in principle, not yet a wiring approval</w:t>
      </w:r>
    </w:p>
    <w:p>
      <w:pPr>
        <w:pStyle w:val="SpecBody"/>
      </w:pPr>
      <w:r>
        <w:t>“BLC” is not an identified electrical specification. If BL-5C was intended, treat it as an unapproved candidate until the exact pack is documented. Do not infer the third terminal’s purpose or charge parameters from the shape/name. Existing DMEGC 18650 2900 mAh cells may support bench energy tests, but holders/cells alone do not establish a safe in-device charging system.</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830"/>
        <w:gridCol w:w="7530"/>
      </w:tblGrid>
      <w:tr>
        <w:trPr>
          <w:cantSplit/>
          <w:tblHeader/>
        </w:trPr>
        <w:tc>
          <w:tcPr>
            <w:tcW w:type="dxa" w:w="1830"/>
            <w:tcMar>
              <w:top w:w="80" w:type="dxa"/>
              <w:bottom w:w="80" w:type="dxa"/>
              <w:start w:w="120" w:type="dxa"/>
              <w:end w:w="120" w:type="dxa"/>
            </w:tcMar>
            <w:shd w:fill="E8EEF5"/>
          </w:tcPr>
          <w:p>
            <w:pPr>
              <w:pStyle w:val="TableText"/>
            </w:pPr>
            <w:r>
              <w:rPr>
                <w:b/>
              </w:rPr>
              <w:t>Function</w:t>
            </w:r>
          </w:p>
        </w:tc>
        <w:tc>
          <w:tcPr>
            <w:tcW w:type="dxa" w:w="7530"/>
            <w:tcMar>
              <w:top w:w="80" w:type="dxa"/>
              <w:bottom w:w="80" w:type="dxa"/>
              <w:start w:w="120" w:type="dxa"/>
              <w:end w:w="120" w:type="dxa"/>
            </w:tcMar>
            <w:shd w:fill="E8EEF5"/>
          </w:tcPr>
          <w:p>
            <w:pPr>
              <w:pStyle w:val="TableText"/>
            </w:pPr>
            <w:r>
              <w:rPr>
                <w:b/>
              </w:rPr>
              <w:t>Required design decision</w:t>
            </w:r>
          </w:p>
        </w:tc>
      </w:tr>
      <w:tr>
        <w:trPr>
          <w:cantSplit/>
        </w:trPr>
        <w:tc>
          <w:tcPr>
            <w:tcW w:type="dxa" w:w="1830"/>
            <w:tcMar>
              <w:top w:w="80" w:type="dxa"/>
              <w:bottom w:w="80" w:type="dxa"/>
              <w:start w:w="120" w:type="dxa"/>
              <w:end w:w="120" w:type="dxa"/>
            </w:tcMar>
          </w:tcPr>
          <w:p>
            <w:pPr>
              <w:pStyle w:val="TableText"/>
            </w:pPr>
            <w:r>
              <w:t>Cell/pack</w:t>
            </w:r>
          </w:p>
        </w:tc>
        <w:tc>
          <w:tcPr>
            <w:tcW w:type="dxa" w:w="7530"/>
            <w:tcMar>
              <w:top w:w="80" w:type="dxa"/>
              <w:bottom w:w="80" w:type="dxa"/>
              <w:start w:w="120" w:type="dxa"/>
              <w:end w:w="120" w:type="dxa"/>
            </w:tcMar>
          </w:tcPr>
          <w:p>
            <w:pPr>
              <w:pStyle w:val="TableText"/>
            </w:pPr>
            <w:r>
              <w:t>Known chemistry, voltage, continuous/pulse load capability, capacity provenance, protection and temperature limits. Never use swollen/damaged/unknown cells.</w:t>
            </w:r>
          </w:p>
        </w:tc>
      </w:tr>
      <w:tr>
        <w:trPr>
          <w:cantSplit/>
        </w:trPr>
        <w:tc>
          <w:tcPr>
            <w:tcW w:type="dxa" w:w="1830"/>
            <w:tcMar>
              <w:top w:w="80" w:type="dxa"/>
              <w:bottom w:w="80" w:type="dxa"/>
              <w:start w:w="120" w:type="dxa"/>
              <w:end w:w="120" w:type="dxa"/>
            </w:tcMar>
          </w:tcPr>
          <w:p>
            <w:pPr>
              <w:pStyle w:val="TableText"/>
            </w:pPr>
            <w:r>
              <w:t>Charging</w:t>
            </w:r>
          </w:p>
        </w:tc>
        <w:tc>
          <w:tcPr>
            <w:tcW w:type="dxa" w:w="7530"/>
            <w:tcMar>
              <w:top w:w="80" w:type="dxa"/>
              <w:bottom w:w="80" w:type="dxa"/>
              <w:start w:w="120" w:type="dxa"/>
              <w:end w:w="120" w:type="dxa"/>
            </w:tcMar>
          </w:tcPr>
          <w:p>
            <w:pPr>
              <w:pStyle w:val="TableText"/>
            </w:pPr>
            <w:r>
              <w:t>A matching single-cell charge controller with charge current set to the pack’s approved limit and temperature supervision where required. An unspecified TP4056 module is not automatically approved.</w:t>
            </w:r>
          </w:p>
        </w:tc>
      </w:tr>
      <w:tr>
        <w:trPr>
          <w:cantSplit/>
        </w:trPr>
        <w:tc>
          <w:tcPr>
            <w:tcW w:type="dxa" w:w="1830"/>
            <w:tcMar>
              <w:top w:w="80" w:type="dxa"/>
              <w:bottom w:w="80" w:type="dxa"/>
              <w:start w:w="120" w:type="dxa"/>
              <w:end w:w="120" w:type="dxa"/>
            </w:tcMar>
          </w:tcPr>
          <w:p>
            <w:pPr>
              <w:pStyle w:val="TableText"/>
            </w:pPr>
            <w:r>
              <w:t>Power sharing</w:t>
            </w:r>
          </w:p>
        </w:tc>
        <w:tc>
          <w:tcPr>
            <w:tcW w:type="dxa" w:w="7530"/>
            <w:tcMar>
              <w:top w:w="80" w:type="dxa"/>
              <w:bottom w:w="80" w:type="dxa"/>
              <w:start w:w="120" w:type="dxa"/>
              <w:end w:w="120" w:type="dxa"/>
            </w:tcMar>
          </w:tcPr>
          <w:p>
            <w:pPr>
              <w:pStyle w:val="TableText"/>
            </w:pPr>
            <w:r>
              <w:t>For operation while charging, choose a validated charger/power-path circuit. BQ24074 is one candidate class with power-path management [S9], not an approved finished module.</w:t>
            </w:r>
          </w:p>
        </w:tc>
      </w:tr>
      <w:tr>
        <w:trPr>
          <w:cantSplit/>
        </w:trPr>
        <w:tc>
          <w:tcPr>
            <w:tcW w:type="dxa" w:w="1830"/>
            <w:tcMar>
              <w:top w:w="80" w:type="dxa"/>
              <w:bottom w:w="80" w:type="dxa"/>
              <w:start w:w="120" w:type="dxa"/>
              <w:end w:w="120" w:type="dxa"/>
            </w:tcMar>
          </w:tcPr>
          <w:p>
            <w:pPr>
              <w:pStyle w:val="TableText"/>
            </w:pPr>
            <w:r>
              <w:t>Regulation</w:t>
            </w:r>
          </w:p>
        </w:tc>
        <w:tc>
          <w:tcPr>
            <w:tcW w:type="dxa" w:w="7530"/>
            <w:tcMar>
              <w:top w:w="80" w:type="dxa"/>
              <w:bottom w:w="80" w:type="dxa"/>
              <w:start w:w="120" w:type="dxa"/>
              <w:end w:w="120" w:type="dxa"/>
            </w:tcMar>
          </w:tcPr>
          <w:p>
            <w:pPr>
              <w:pStyle w:val="TableText"/>
            </w:pPr>
            <w:r>
              <w:t>TPS63020 is a buck-boost regulator, not a charger or complete battery protection system [S8]. Verify the purchased module’s output, efficiency, quiescent draw and transient response.</w:t>
            </w:r>
          </w:p>
        </w:tc>
      </w:tr>
      <w:tr>
        <w:trPr>
          <w:cantSplit/>
        </w:trPr>
        <w:tc>
          <w:tcPr>
            <w:tcW w:type="dxa" w:w="1830"/>
            <w:tcMar>
              <w:top w:w="80" w:type="dxa"/>
              <w:bottom w:w="80" w:type="dxa"/>
              <w:start w:w="120" w:type="dxa"/>
              <w:end w:w="120" w:type="dxa"/>
            </w:tcMar>
          </w:tcPr>
          <w:p>
            <w:pPr>
              <w:pStyle w:val="TableText"/>
            </w:pPr>
            <w:r>
              <w:t>Voltage safety</w:t>
            </w:r>
          </w:p>
        </w:tc>
        <w:tc>
          <w:tcPr>
            <w:tcW w:type="dxa" w:w="7530"/>
            <w:tcMar>
              <w:top w:w="80" w:type="dxa"/>
              <w:bottom w:w="80" w:type="dxa"/>
              <w:start w:w="120" w:type="dxa"/>
              <w:end w:w="120" w:type="dxa"/>
            </w:tcMar>
          </w:tcPr>
          <w:p>
            <w:pPr>
              <w:pStyle w:val="TableText"/>
            </w:pPr>
            <w:r>
              <w:t>A typical 1S Li-ion pack may reach 4.2 V. Do not wire it directly to a 3.3-V rail. Verify the exact board input path and avoid regulator/USB back-feeding.</w:t>
            </w:r>
          </w:p>
        </w:tc>
      </w:tr>
      <w:tr>
        <w:trPr>
          <w:cantSplit/>
        </w:trPr>
        <w:tc>
          <w:tcPr>
            <w:tcW w:type="dxa" w:w="1830"/>
            <w:tcMar>
              <w:top w:w="80" w:type="dxa"/>
              <w:bottom w:w="80" w:type="dxa"/>
              <w:start w:w="120" w:type="dxa"/>
              <w:end w:w="120" w:type="dxa"/>
            </w:tcMar>
          </w:tcPr>
          <w:p>
            <w:pPr>
              <w:pStyle w:val="TableText"/>
            </w:pPr>
            <w:r>
              <w:t>Mechanical safety</w:t>
            </w:r>
          </w:p>
        </w:tc>
        <w:tc>
          <w:tcPr>
            <w:tcW w:type="dxa" w:w="7530"/>
            <w:tcMar>
              <w:top w:w="80" w:type="dxa"/>
              <w:bottom w:w="80" w:type="dxa"/>
              <w:start w:w="120" w:type="dxa"/>
              <w:end w:w="120" w:type="dxa"/>
            </w:tcMar>
          </w:tcPr>
          <w:p>
            <w:pPr>
              <w:pStyle w:val="TableText"/>
            </w:pPr>
            <w:r>
              <w:t>Polarized connector, secure retention, insulation, short-circuit protection and thermal assessment. Do not combine unmatched cells in parallel/series for the prototype.</w:t>
            </w:r>
          </w:p>
        </w:tc>
      </w:tr>
      <w:tr>
        <w:trPr>
          <w:cantSplit/>
        </w:trPr>
        <w:tc>
          <w:tcPr>
            <w:tcW w:type="dxa" w:w="1830"/>
            <w:tcMar>
              <w:top w:w="80" w:type="dxa"/>
              <w:bottom w:w="80" w:type="dxa"/>
              <w:start w:w="120" w:type="dxa"/>
              <w:end w:w="120" w:type="dxa"/>
            </w:tcMar>
          </w:tcPr>
          <w:p>
            <w:pPr>
              <w:pStyle w:val="TableText"/>
            </w:pPr>
            <w:r>
              <w:t>Firmware behavior</w:t>
            </w:r>
          </w:p>
        </w:tc>
        <w:tc>
          <w:tcPr>
            <w:tcW w:type="dxa" w:w="7530"/>
            <w:tcMar>
              <w:top w:w="80" w:type="dxa"/>
              <w:bottom w:w="80" w:type="dxa"/>
              <w:start w:w="120" w:type="dxa"/>
              <w:end w:w="120" w:type="dxa"/>
            </w:tcMar>
          </w:tcPr>
          <w:p>
            <w:pPr>
              <w:pStyle w:val="TableText"/>
            </w:pPr>
            <w:r>
              <w:t>Monitor battery and power-source status where measured, warn with hysteresis, protect flash integrity on low supply and expose loss of coverage. Software does not replace hardware protection.</w:t>
            </w:r>
          </w:p>
        </w:tc>
      </w:tr>
    </w:tbl>
    <w:p>
      <w:pPr>
        <w:pStyle w:val="TableSpacer"/>
      </w:pPr>
    </w:p>
    <w:p>
      <w:pPr>
        <w:pStyle w:val="SpecBody"/>
      </w:pPr>
      <w:r>
        <w:t>Conceptual power path: USB input → validated charger/power-path subsystem ↔ protected pack; system output → suitable regulator → verified board rail. This is a functional architecture, not a construction-ready schematic. Charger, protection, regulator and board constraints must be reviewed together.</w:t>
      </w:r>
    </w:p>
    <w:p>
      <w:pPr>
        <w:pStyle w:val="Heading2"/>
        <w:pageBreakBefore/>
      </w:pPr>
      <w:r>
        <w:t>Runtime model and power exit targets</w:t>
      </w:r>
    </w:p>
    <w:p>
      <w:pPr>
        <w:pStyle w:val="SpecBody"/>
      </w:pPr>
      <w:r>
        <w:t>Use battery-side average current: runtime hours ≈ rated mAh × usable fraction ÷ average mA. The 80% usable fraction below is an illustrative assumption, not a cell guarantee. It includes a reserve but does not validate ageing, temperature, cutoff or conversion losses. Measure those at system level.</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920"/>
        <w:gridCol w:w="3220"/>
        <w:gridCol w:w="3220"/>
      </w:tblGrid>
      <w:tr>
        <w:trPr>
          <w:cantSplit/>
          <w:tblHeader/>
        </w:trPr>
        <w:tc>
          <w:tcPr>
            <w:tcW w:type="dxa" w:w="2920"/>
            <w:tcMar>
              <w:top w:w="80" w:type="dxa"/>
              <w:bottom w:w="80" w:type="dxa"/>
              <w:start w:w="120" w:type="dxa"/>
              <w:end w:w="120" w:type="dxa"/>
            </w:tcMar>
            <w:shd w:fill="E8EEF5"/>
          </w:tcPr>
          <w:p>
            <w:pPr>
              <w:pStyle w:val="TableText"/>
            </w:pPr>
            <w:r>
              <w:rPr>
                <w:b/>
              </w:rPr>
              <w:t>Illustrative pack</w:t>
            </w:r>
          </w:p>
        </w:tc>
        <w:tc>
          <w:tcPr>
            <w:tcW w:type="dxa" w:w="3220"/>
            <w:tcMar>
              <w:top w:w="80" w:type="dxa"/>
              <w:bottom w:w="80" w:type="dxa"/>
              <w:start w:w="120" w:type="dxa"/>
              <w:end w:w="120" w:type="dxa"/>
            </w:tcMar>
            <w:shd w:fill="E8EEF5"/>
          </w:tcPr>
          <w:p>
            <w:pPr>
              <w:pStyle w:val="TableText"/>
            </w:pPr>
            <w:r>
              <w:rPr>
                <w:b/>
              </w:rPr>
              <w:t>Average battery current</w:t>
            </w:r>
          </w:p>
        </w:tc>
        <w:tc>
          <w:tcPr>
            <w:tcW w:type="dxa" w:w="3220"/>
            <w:tcMar>
              <w:top w:w="80" w:type="dxa"/>
              <w:bottom w:w="80" w:type="dxa"/>
              <w:start w:w="120" w:type="dxa"/>
              <w:end w:w="120" w:type="dxa"/>
            </w:tcMar>
            <w:shd w:fill="E8EEF5"/>
          </w:tcPr>
          <w:p>
            <w:pPr>
              <w:pStyle w:val="TableText"/>
            </w:pPr>
            <w:r>
              <w:rPr>
                <w:b/>
              </w:rPr>
              <w:t>Calculated runtime</w:t>
            </w:r>
          </w:p>
        </w:tc>
      </w:tr>
      <w:tr>
        <w:trPr>
          <w:cantSplit/>
        </w:trPr>
        <w:tc>
          <w:tcPr>
            <w:tcW w:type="dxa" w:w="2920"/>
            <w:tcMar>
              <w:top w:w="80" w:type="dxa"/>
              <w:bottom w:w="80" w:type="dxa"/>
              <w:start w:w="120" w:type="dxa"/>
              <w:end w:w="120" w:type="dxa"/>
            </w:tcMar>
          </w:tcPr>
          <w:p>
            <w:pPr>
              <w:pStyle w:val="TableText"/>
            </w:pPr>
            <w:r>
              <w:t>1,000 mAh × 80%</w:t>
            </w:r>
          </w:p>
        </w:tc>
        <w:tc>
          <w:tcPr>
            <w:tcW w:type="dxa" w:w="3220"/>
            <w:tcMar>
              <w:top w:w="80" w:type="dxa"/>
              <w:bottom w:w="80" w:type="dxa"/>
              <w:start w:w="120" w:type="dxa"/>
              <w:end w:w="120" w:type="dxa"/>
            </w:tcMar>
          </w:tcPr>
          <w:p>
            <w:pPr>
              <w:pStyle w:val="TableText"/>
            </w:pPr>
            <w:r>
              <w:t>0.1 mA</w:t>
            </w:r>
          </w:p>
        </w:tc>
        <w:tc>
          <w:tcPr>
            <w:tcW w:type="dxa" w:w="3220"/>
            <w:tcMar>
              <w:top w:w="80" w:type="dxa"/>
              <w:bottom w:w="80" w:type="dxa"/>
              <w:start w:w="120" w:type="dxa"/>
              <w:end w:w="120" w:type="dxa"/>
            </w:tcMar>
          </w:tcPr>
          <w:p>
            <w:pPr>
              <w:pStyle w:val="TableText"/>
            </w:pPr>
            <w:r>
              <w:t>333 days</w:t>
            </w:r>
          </w:p>
        </w:tc>
      </w:tr>
      <w:tr>
        <w:trPr>
          <w:cantSplit/>
        </w:trPr>
        <w:tc>
          <w:tcPr>
            <w:tcW w:type="dxa" w:w="2920"/>
            <w:tcMar>
              <w:top w:w="80" w:type="dxa"/>
              <w:bottom w:w="80" w:type="dxa"/>
              <w:start w:w="120" w:type="dxa"/>
              <w:end w:w="120" w:type="dxa"/>
            </w:tcMar>
          </w:tcPr>
          <w:p>
            <w:pPr>
              <w:pStyle w:val="TableText"/>
            </w:pPr>
            <w:r>
              <w:t>1,000 mAh × 80%</w:t>
            </w:r>
          </w:p>
        </w:tc>
        <w:tc>
          <w:tcPr>
            <w:tcW w:type="dxa" w:w="3220"/>
            <w:tcMar>
              <w:top w:w="80" w:type="dxa"/>
              <w:bottom w:w="80" w:type="dxa"/>
              <w:start w:w="120" w:type="dxa"/>
              <w:end w:w="120" w:type="dxa"/>
            </w:tcMar>
          </w:tcPr>
          <w:p>
            <w:pPr>
              <w:pStyle w:val="TableText"/>
            </w:pPr>
            <w:r>
              <w:t>0.5 mA</w:t>
            </w:r>
          </w:p>
        </w:tc>
        <w:tc>
          <w:tcPr>
            <w:tcW w:type="dxa" w:w="3220"/>
            <w:tcMar>
              <w:top w:w="80" w:type="dxa"/>
              <w:bottom w:w="80" w:type="dxa"/>
              <w:start w:w="120" w:type="dxa"/>
              <w:end w:w="120" w:type="dxa"/>
            </w:tcMar>
          </w:tcPr>
          <w:p>
            <w:pPr>
              <w:pStyle w:val="TableText"/>
            </w:pPr>
            <w:r>
              <w:t>66.7 days</w:t>
            </w:r>
          </w:p>
        </w:tc>
      </w:tr>
      <w:tr>
        <w:trPr>
          <w:cantSplit/>
        </w:trPr>
        <w:tc>
          <w:tcPr>
            <w:tcW w:type="dxa" w:w="2920"/>
            <w:tcMar>
              <w:top w:w="80" w:type="dxa"/>
              <w:bottom w:w="80" w:type="dxa"/>
              <w:start w:w="120" w:type="dxa"/>
              <w:end w:w="120" w:type="dxa"/>
            </w:tcMar>
          </w:tcPr>
          <w:p>
            <w:pPr>
              <w:pStyle w:val="TableText"/>
            </w:pPr>
            <w:r>
              <w:t>1,000 mAh × 80%</w:t>
            </w:r>
          </w:p>
        </w:tc>
        <w:tc>
          <w:tcPr>
            <w:tcW w:type="dxa" w:w="3220"/>
            <w:tcMar>
              <w:top w:w="80" w:type="dxa"/>
              <w:bottom w:w="80" w:type="dxa"/>
              <w:start w:w="120" w:type="dxa"/>
              <w:end w:w="120" w:type="dxa"/>
            </w:tcMar>
          </w:tcPr>
          <w:p>
            <w:pPr>
              <w:pStyle w:val="TableText"/>
            </w:pPr>
            <w:r>
              <w:t>5 mA</w:t>
            </w:r>
          </w:p>
        </w:tc>
        <w:tc>
          <w:tcPr>
            <w:tcW w:type="dxa" w:w="3220"/>
            <w:tcMar>
              <w:top w:w="80" w:type="dxa"/>
              <w:bottom w:w="80" w:type="dxa"/>
              <w:start w:w="120" w:type="dxa"/>
              <w:end w:w="120" w:type="dxa"/>
            </w:tcMar>
          </w:tcPr>
          <w:p>
            <w:pPr>
              <w:pStyle w:val="TableText"/>
            </w:pPr>
            <w:r>
              <w:t>6.7 days</w:t>
            </w:r>
          </w:p>
        </w:tc>
      </w:tr>
      <w:tr>
        <w:trPr>
          <w:cantSplit/>
        </w:trPr>
        <w:tc>
          <w:tcPr>
            <w:tcW w:type="dxa" w:w="2920"/>
            <w:tcMar>
              <w:top w:w="80" w:type="dxa"/>
              <w:bottom w:w="80" w:type="dxa"/>
              <w:start w:w="120" w:type="dxa"/>
              <w:end w:w="120" w:type="dxa"/>
            </w:tcMar>
          </w:tcPr>
          <w:p>
            <w:pPr>
              <w:pStyle w:val="TableText"/>
            </w:pPr>
            <w:r>
              <w:t>1,000 mAh × 80%</w:t>
            </w:r>
          </w:p>
        </w:tc>
        <w:tc>
          <w:tcPr>
            <w:tcW w:type="dxa" w:w="3220"/>
            <w:tcMar>
              <w:top w:w="80" w:type="dxa"/>
              <w:bottom w:w="80" w:type="dxa"/>
              <w:start w:w="120" w:type="dxa"/>
              <w:end w:w="120" w:type="dxa"/>
            </w:tcMar>
          </w:tcPr>
          <w:p>
            <w:pPr>
              <w:pStyle w:val="TableText"/>
            </w:pPr>
            <w:r>
              <w:t>150 mA</w:t>
            </w:r>
          </w:p>
        </w:tc>
        <w:tc>
          <w:tcPr>
            <w:tcW w:type="dxa" w:w="3220"/>
            <w:tcMar>
              <w:top w:w="80" w:type="dxa"/>
              <w:bottom w:w="80" w:type="dxa"/>
              <w:start w:w="120" w:type="dxa"/>
              <w:end w:w="120" w:type="dxa"/>
            </w:tcMar>
          </w:tcPr>
          <w:p>
            <w:pPr>
              <w:pStyle w:val="TableText"/>
            </w:pPr>
            <w:r>
              <w:t>5.3 hours</w:t>
            </w:r>
          </w:p>
        </w:tc>
      </w:tr>
      <w:tr>
        <w:trPr>
          <w:cantSplit/>
        </w:trPr>
        <w:tc>
          <w:tcPr>
            <w:tcW w:type="dxa" w:w="2920"/>
            <w:tcMar>
              <w:top w:w="80" w:type="dxa"/>
              <w:bottom w:w="80" w:type="dxa"/>
              <w:start w:w="120" w:type="dxa"/>
              <w:end w:w="120" w:type="dxa"/>
            </w:tcMar>
          </w:tcPr>
          <w:p>
            <w:pPr>
              <w:pStyle w:val="TableText"/>
            </w:pPr>
            <w:r>
              <w:t>2,900 mAh × 80%</w:t>
            </w:r>
          </w:p>
        </w:tc>
        <w:tc>
          <w:tcPr>
            <w:tcW w:type="dxa" w:w="3220"/>
            <w:tcMar>
              <w:top w:w="80" w:type="dxa"/>
              <w:bottom w:w="80" w:type="dxa"/>
              <w:start w:w="120" w:type="dxa"/>
              <w:end w:w="120" w:type="dxa"/>
            </w:tcMar>
          </w:tcPr>
          <w:p>
            <w:pPr>
              <w:pStyle w:val="TableText"/>
            </w:pPr>
            <w:r>
              <w:t>150 mA</w:t>
            </w:r>
          </w:p>
        </w:tc>
        <w:tc>
          <w:tcPr>
            <w:tcW w:type="dxa" w:w="3220"/>
            <w:tcMar>
              <w:top w:w="80" w:type="dxa"/>
              <w:bottom w:w="80" w:type="dxa"/>
              <w:start w:w="120" w:type="dxa"/>
              <w:end w:w="120" w:type="dxa"/>
            </w:tcMar>
          </w:tcPr>
          <w:p>
            <w:pPr>
              <w:pStyle w:val="TableText"/>
            </w:pPr>
            <w:r>
              <w:t>15.5 hours</w:t>
            </w:r>
          </w:p>
        </w:tc>
      </w:tr>
    </w:tbl>
    <w:p>
      <w:pPr>
        <w:pStyle w:val="TableSpacer"/>
      </w:pPr>
    </w:p>
    <w:p>
      <w:pPr>
        <w:pStyle w:val="SpecBody"/>
      </w:pPr>
      <w:r>
        <w:t>One year from 1,000 mAh at 80% usable requires ≤91 µA average for the entire node; 2,900 mAh requires ≤265 µA. These are energy budgets, not expected lifetimes. PIR, divider, regulator, USB bridge, power LED, radio retries and scan recovery all count. A 60-second heartbeat may materially change the result.</w:t>
      </w:r>
    </w:p>
    <w:p>
      <w:pPr>
        <w:pStyle w:val="SpecBody"/>
      </w:pPr>
      <w:r>
        <w:t>HW02 gates: supervised charging/power-path review; no brownout at worst measured radio/audio burst; measured node runtime ≥7 days for the bench prototype and a provisional ≥30 days for the assisted pilot; hub backup ≥4 hours at the tested workload. Set a sellable runtime only after actual discharge/temperature/ageing tests. Battery-only hub use needs a separate measured requirement and user acceptance of recharge frequency.</w:t>
      </w:r>
    </w:p>
    <w:p>
      <w:bookmarkStart w:id="5" w:name="communications"/>
      <w:pPr>
        <w:pStyle w:val="Heading1"/>
        <w:pageBreakBefore/>
      </w:pPr>
      <w:r>
        <w:t>5. Communication and interface contracts</w:t>
      </w:r>
      <w:bookmarkEnd w:id="5"/>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640"/>
        <w:gridCol w:w="3680"/>
        <w:gridCol w:w="4040"/>
      </w:tblGrid>
      <w:tr>
        <w:trPr>
          <w:cantSplit/>
          <w:tblHeader/>
        </w:trPr>
        <w:tc>
          <w:tcPr>
            <w:tcW w:type="dxa" w:w="1640"/>
            <w:tcMar>
              <w:top w:w="80" w:type="dxa"/>
              <w:bottom w:w="80" w:type="dxa"/>
              <w:start w:w="120" w:type="dxa"/>
              <w:end w:w="120" w:type="dxa"/>
            </w:tcMar>
            <w:shd w:fill="E8EEF5"/>
          </w:tcPr>
          <w:p>
            <w:pPr>
              <w:pStyle w:val="TableText"/>
            </w:pPr>
            <w:r>
              <w:rPr>
                <w:b/>
              </w:rPr>
              <w:t>Link</w:t>
            </w:r>
          </w:p>
        </w:tc>
        <w:tc>
          <w:tcPr>
            <w:tcW w:type="dxa" w:w="3680"/>
            <w:tcMar>
              <w:top w:w="80" w:type="dxa"/>
              <w:bottom w:w="80" w:type="dxa"/>
              <w:start w:w="120" w:type="dxa"/>
              <w:end w:w="120" w:type="dxa"/>
            </w:tcMar>
            <w:shd w:fill="E8EEF5"/>
          </w:tcPr>
          <w:p>
            <w:pPr>
              <w:pStyle w:val="TableText"/>
            </w:pPr>
            <w:r>
              <w:rPr>
                <w:b/>
              </w:rPr>
              <w:t>Mode / payload</w:t>
            </w:r>
          </w:p>
        </w:tc>
        <w:tc>
          <w:tcPr>
            <w:tcW w:type="dxa" w:w="4040"/>
            <w:tcMar>
              <w:top w:w="80" w:type="dxa"/>
              <w:bottom w:w="80" w:type="dxa"/>
              <w:start w:w="120" w:type="dxa"/>
              <w:end w:w="120" w:type="dxa"/>
            </w:tcMar>
            <w:shd w:fill="E8EEF5"/>
          </w:tcPr>
          <w:p>
            <w:pPr>
              <w:pStyle w:val="TableText"/>
            </w:pPr>
            <w:r>
              <w:rPr>
                <w:b/>
              </w:rPr>
              <w:t>Acknowledgement and authority</w:t>
            </w:r>
          </w:p>
        </w:tc>
      </w:tr>
      <w:tr>
        <w:trPr>
          <w:cantSplit/>
        </w:trPr>
        <w:tc>
          <w:tcPr>
            <w:tcW w:type="dxa" w:w="1640"/>
            <w:tcMar>
              <w:top w:w="80" w:type="dxa"/>
              <w:bottom w:w="80" w:type="dxa"/>
              <w:start w:w="120" w:type="dxa"/>
              <w:end w:w="120" w:type="dxa"/>
            </w:tcMar>
          </w:tcPr>
          <w:p>
            <w:pPr>
              <w:pStyle w:val="TableText"/>
            </w:pPr>
            <w:r>
              <w:t>Node ↔ hub</w:t>
            </w:r>
          </w:p>
        </w:tc>
        <w:tc>
          <w:tcPr>
            <w:tcW w:type="dxa" w:w="3680"/>
            <w:tcMar>
              <w:top w:w="80" w:type="dxa"/>
              <w:bottom w:w="80" w:type="dxa"/>
              <w:start w:w="120" w:type="dxa"/>
              <w:end w:w="120" w:type="dxa"/>
            </w:tcMar>
          </w:tcPr>
          <w:p>
            <w:pPr>
              <w:pStyle w:val="TableText"/>
            </w:pPr>
            <w:r>
              <w:t>Encrypted ESP-NOW unicast; compact CBOR ≤200 bytes, schema v1.</w:t>
            </w:r>
          </w:p>
        </w:tc>
        <w:tc>
          <w:tcPr>
            <w:tcW w:type="dxa" w:w="4040"/>
            <w:tcMar>
              <w:top w:w="80" w:type="dxa"/>
              <w:bottom w:w="80" w:type="dxa"/>
              <w:start w:w="120" w:type="dxa"/>
              <w:end w:w="120" w:type="dxa"/>
            </w:tcMar>
          </w:tcPr>
          <w:p>
            <w:pPr>
              <w:pStyle w:val="TableText"/>
            </w:pPr>
            <w:r>
              <w:t>Business event: durable application ACK. Heartbeat: explicitly volatile receipt ACK. MAC success alone is insufficient [S1].</w:t>
            </w:r>
          </w:p>
        </w:tc>
      </w:tr>
      <w:tr>
        <w:trPr>
          <w:cantSplit/>
        </w:trPr>
        <w:tc>
          <w:tcPr>
            <w:tcW w:type="dxa" w:w="1640"/>
            <w:tcMar>
              <w:top w:w="80" w:type="dxa"/>
              <w:bottom w:w="80" w:type="dxa"/>
              <w:start w:w="120" w:type="dxa"/>
              <w:end w:w="120" w:type="dxa"/>
            </w:tcMar>
          </w:tcPr>
          <w:p>
            <w:pPr>
              <w:pStyle w:val="TableText"/>
            </w:pPr>
            <w:r>
              <w:t>Hub ↔ backend</w:t>
            </w:r>
          </w:p>
        </w:tc>
        <w:tc>
          <w:tcPr>
            <w:tcW w:type="dxa" w:w="3680"/>
            <w:tcMar>
              <w:top w:w="80" w:type="dxa"/>
              <w:bottom w:w="80" w:type="dxa"/>
              <w:start w:w="120" w:type="dxa"/>
              <w:end w:w="120" w:type="dxa"/>
            </w:tcMar>
          </w:tcPr>
          <w:p>
            <w:pPr>
              <w:pStyle w:val="TableText"/>
            </w:pPr>
            <w:r>
              <w:t>MQTT 3.1.1 over TLS, QoS 1, authenticated per-hub ACL.</w:t>
            </w:r>
          </w:p>
        </w:tc>
        <w:tc>
          <w:tcPr>
            <w:tcW w:type="dxa" w:w="4040"/>
            <w:tcMar>
              <w:top w:w="80" w:type="dxa"/>
              <w:bottom w:w="80" w:type="dxa"/>
              <w:start w:w="120" w:type="dxa"/>
              <w:end w:w="120" w:type="dxa"/>
            </w:tcMar>
          </w:tcPr>
          <w:p>
            <w:pPr>
              <w:pStyle w:val="TableText"/>
            </w:pPr>
            <w:r>
              <w:t>PUBACK is broker-level. Hub retires business outbox only after backend DB-commit ACK [S5].</w:t>
            </w:r>
          </w:p>
        </w:tc>
      </w:tr>
      <w:tr>
        <w:trPr>
          <w:cantSplit/>
        </w:trPr>
        <w:tc>
          <w:tcPr>
            <w:tcW w:type="dxa" w:w="1640"/>
            <w:tcMar>
              <w:top w:w="80" w:type="dxa"/>
              <w:bottom w:w="80" w:type="dxa"/>
              <w:start w:w="120" w:type="dxa"/>
              <w:end w:w="120" w:type="dxa"/>
            </w:tcMar>
          </w:tcPr>
          <w:p>
            <w:pPr>
              <w:pStyle w:val="TableText"/>
            </w:pPr>
            <w:r>
              <w:t>App ↔ backend</w:t>
            </w:r>
          </w:p>
        </w:tc>
        <w:tc>
          <w:tcPr>
            <w:tcW w:type="dxa" w:w="3680"/>
            <w:tcMar>
              <w:top w:w="80" w:type="dxa"/>
              <w:bottom w:w="80" w:type="dxa"/>
              <w:start w:w="120" w:type="dxa"/>
              <w:end w:w="120" w:type="dxa"/>
            </w:tcMar>
          </w:tcPr>
          <w:p>
            <w:pPr>
              <w:pStyle w:val="TableText"/>
            </w:pPr>
            <w:r>
              <w:t>HTTPS REST/JSON; OIDC token; SSE change hints.</w:t>
            </w:r>
          </w:p>
        </w:tc>
        <w:tc>
          <w:tcPr>
            <w:tcW w:type="dxa" w:w="4040"/>
            <w:tcMar>
              <w:top w:w="80" w:type="dxa"/>
              <w:bottom w:w="80" w:type="dxa"/>
              <w:start w:w="120" w:type="dxa"/>
              <w:end w:w="120" w:type="dxa"/>
            </w:tcMar>
          </w:tcPr>
          <w:p>
            <w:pPr>
              <w:pStyle w:val="TableText"/>
            </w:pPr>
            <w:r>
              <w:t>Mutations have idempotency keys and resource versions; app displays committed/applied state.</w:t>
            </w:r>
          </w:p>
        </w:tc>
      </w:tr>
      <w:tr>
        <w:trPr>
          <w:cantSplit/>
        </w:trPr>
        <w:tc>
          <w:tcPr>
            <w:tcW w:type="dxa" w:w="1640"/>
            <w:tcMar>
              <w:top w:w="80" w:type="dxa"/>
              <w:bottom w:w="80" w:type="dxa"/>
              <w:start w:w="120" w:type="dxa"/>
              <w:end w:w="120" w:type="dxa"/>
            </w:tcMar>
          </w:tcPr>
          <w:p>
            <w:pPr>
              <w:pStyle w:val="TableText"/>
            </w:pPr>
            <w:r>
              <w:t>Backend → caregiver</w:t>
            </w:r>
          </w:p>
        </w:tc>
        <w:tc>
          <w:tcPr>
            <w:tcW w:type="dxa" w:w="3680"/>
            <w:tcMar>
              <w:top w:w="80" w:type="dxa"/>
              <w:bottom w:w="80" w:type="dxa"/>
              <w:start w:w="120" w:type="dxa"/>
              <w:end w:w="120" w:type="dxa"/>
            </w:tcMar>
          </w:tcPr>
          <w:p>
            <w:pPr>
              <w:pStyle w:val="TableText"/>
            </w:pPr>
            <w:r>
              <w:t>Web Push, generic lock-screen text + incident reference.</w:t>
            </w:r>
          </w:p>
        </w:tc>
        <w:tc>
          <w:tcPr>
            <w:tcW w:type="dxa" w:w="4040"/>
            <w:tcMar>
              <w:top w:w="80" w:type="dxa"/>
              <w:bottom w:w="80" w:type="dxa"/>
              <w:start w:w="120" w:type="dxa"/>
              <w:end w:w="120" w:type="dxa"/>
            </w:tcMar>
          </w:tcPr>
          <w:p>
            <w:pPr>
              <w:pStyle w:val="TableText"/>
            </w:pPr>
            <w:r>
              <w:t>Provider acceptance, optional app receipt and human action remain separate. Push is not a guaranteed response channel.</w:t>
            </w:r>
          </w:p>
        </w:tc>
      </w:tr>
      <w:tr>
        <w:trPr>
          <w:cantSplit/>
        </w:trPr>
        <w:tc>
          <w:tcPr>
            <w:tcW w:type="dxa" w:w="1640"/>
            <w:tcMar>
              <w:top w:w="80" w:type="dxa"/>
              <w:bottom w:w="80" w:type="dxa"/>
              <w:start w:w="120" w:type="dxa"/>
              <w:end w:w="120" w:type="dxa"/>
            </w:tcMar>
          </w:tcPr>
          <w:p>
            <w:pPr>
              <w:pStyle w:val="TableText"/>
            </w:pPr>
            <w:r>
              <w:t>Installer ↔ devices</w:t>
            </w:r>
          </w:p>
        </w:tc>
        <w:tc>
          <w:tcPr>
            <w:tcW w:type="dxa" w:w="3680"/>
            <w:tcMar>
              <w:top w:w="80" w:type="dxa"/>
              <w:bottom w:w="80" w:type="dxa"/>
              <w:start w:w="120" w:type="dxa"/>
              <w:end w:w="120" w:type="dxa"/>
            </w:tcMar>
          </w:tcPr>
          <w:p>
            <w:pPr>
              <w:pStyle w:val="TableText"/>
            </w:pPr>
            <w:r>
              <w:t>Local USB jig in physical service mode.</w:t>
            </w:r>
          </w:p>
        </w:tc>
        <w:tc>
          <w:tcPr>
            <w:tcW w:type="dxa" w:w="4040"/>
            <w:tcMar>
              <w:top w:w="80" w:type="dxa"/>
              <w:bottom w:w="80" w:type="dxa"/>
              <w:start w:w="120" w:type="dxa"/>
              <w:end w:w="120" w:type="dxa"/>
            </w:tcMar>
          </w:tcPr>
          <w:p>
            <w:pPr>
              <w:pStyle w:val="TableText"/>
            </w:pPr>
            <w:r>
              <w:t>Provisioning and signed maintenance image checks; no unauthenticated radio enrollment.</w:t>
            </w:r>
          </w:p>
        </w:tc>
      </w:tr>
      <w:tr>
        <w:trPr>
          <w:cantSplit/>
        </w:trPr>
        <w:tc>
          <w:tcPr>
            <w:tcW w:type="dxa" w:w="1640"/>
            <w:tcMar>
              <w:top w:w="80" w:type="dxa"/>
              <w:bottom w:w="80" w:type="dxa"/>
              <w:start w:w="120" w:type="dxa"/>
              <w:end w:w="120" w:type="dxa"/>
            </w:tcMar>
          </w:tcPr>
          <w:p>
            <w:pPr>
              <w:pStyle w:val="TableText"/>
            </w:pPr>
            <w:r>
              <w:t>Hub/node internal</w:t>
            </w:r>
          </w:p>
        </w:tc>
        <w:tc>
          <w:tcPr>
            <w:tcW w:type="dxa" w:w="3680"/>
            <w:tcMar>
              <w:top w:w="80" w:type="dxa"/>
              <w:bottom w:w="80" w:type="dxa"/>
              <w:start w:w="120" w:type="dxa"/>
              <w:end w:w="120" w:type="dxa"/>
            </w:tcMar>
          </w:tcPr>
          <w:p>
            <w:pPr>
              <w:pStyle w:val="TableText"/>
            </w:pPr>
            <w:r>
              <w:t>Bounded in-memory queues; journaled domain events.</w:t>
            </w:r>
          </w:p>
        </w:tc>
        <w:tc>
          <w:tcPr>
            <w:tcW w:type="dxa" w:w="4040"/>
            <w:tcMar>
              <w:top w:w="80" w:type="dxa"/>
              <w:bottom w:w="80" w:type="dxa"/>
              <w:start w:w="120" w:type="dxa"/>
              <w:end w:w="120" w:type="dxa"/>
            </w:tcMar>
          </w:tcPr>
          <w:p>
            <w:pPr>
              <w:pStyle w:val="TableText"/>
            </w:pPr>
            <w:r>
              <w:t>One state-owning reducer; durable commit before business ACK, no blocking driver callbacks.</w:t>
            </w:r>
          </w:p>
        </w:tc>
      </w:tr>
    </w:tbl>
    <w:p>
      <w:pPr>
        <w:pStyle w:val="TableSpacer"/>
      </w:pPr>
    </w:p>
    <w:p>
      <w:pPr>
        <w:pStyle w:val="Heading2"/>
      </w:pPr>
      <w:r>
        <w:t>Radio envelope and identity</w:t>
      </w:r>
    </w:p>
    <w:p>
      <w:pPr>
        <w:pStyle w:val="Code"/>
        <w:keepLines/>
      </w:pPr>
      <w:r>
        <w:t>schema_v: 1</w:t>
        <w:br/>
        <w:t>kind: MOTION | DOOR_STATE | HEARTBEAT | SESSION_START</w:t>
        <w:br/>
        <w:t>node_id: 128-bit registered identifier</w:t>
        <w:br/>
        <w:t>session_id: 64-bit random cold-boot session</w:t>
        <w:br/>
        <w:t>seq: uint64, monotonic within session, retained across deep sleep</w:t>
        <w:br/>
        <w:t>event_ticks_ms: uint64 logical elapsed time within session</w:t>
        <w:br/>
        <w:t>age_uncertainty_ms: uint32</w:t>
        <w:br/>
        <w:t>config_v: uint32</w:t>
        <w:br/>
        <w:t>payload: typed sensor/status fields; battery_mv when sampled</w:t>
      </w:r>
    </w:p>
    <w:p>
      <w:pPr>
        <w:pStyle w:val="SpecBody"/>
      </w:pPr>
      <w:r>
        <w:t>The packet shall be encoded by the generated contract implementation, with compile-time/max-size tests. node_id is checked against the bonded peer; home/location are assigned from the hub registry, not trusted from the packet. Authenticate a new cold-boot session with a hub nonce exchange before admitting events. Ordinary deep-sleep wakes retain session/sequence and calibrated elapsed-time state. On hard power loss create a new session; queued old-session records preserve their original IDs/anchors and cannot masquerade as new observations. Sequence wraps are not supported; start a new authenticated session before wrap.</w:t>
      </w:r>
    </w:p>
    <w:p>
      <w:pPr>
        <w:pStyle w:val="SpecBody"/>
      </w:pPr>
      <w:r>
        <w:t>Per-node business queue: proposed 8 retained RAM slots (budget ≤1 KB serialized) plus a dedicated flash ring sized after actual flash confirmation. Timer heartbeats are coalesced and need no durable queue. PIR input held high must not cause a wake storm: wait/re-arm safely or use a bounded timer strategy, documenting any sampling gap. ESP-NOW channel recovery searches permitted regional channels with bounded dwell and backoff; loss of coverage remains visible until recovery.</w:t>
      </w:r>
    </w:p>
    <w:p>
      <w:pPr>
        <w:pStyle w:val="Heading2"/>
        <w:pageBreakBefore/>
      </w:pPr>
      <w:r>
        <w:t>Cloud topics, commands and replay</w:t>
      </w:r>
    </w:p>
    <w:p>
      <w:pPr>
        <w:pStyle w:val="Code"/>
        <w:keepLines/>
      </w:pPr>
      <w:r>
        <w:t>fc/v1/hubs/{hub_id}/events       hub → ingest</w:t>
        <w:br/>
        <w:t>fc/v1/hubs/{hub_id}/heartbeat    hub → health service</w:t>
        <w:br/>
        <w:t>fc/v1/hubs/{hub_id}/commit       backend → hub: DB-committed IDs</w:t>
        <w:br/>
        <w:t>fc/v1/hubs/{hub_id}/commands     backend → hub: expiring commands</w:t>
        <w:br/>
        <w:t>fc/v1/hubs/{hub_id}/command_ack  hub → backend: applied/rejected</w:t>
        <w:br/>
        <w:t>fc/v1/hubs/{hub_id}/presence     Last Will / connection hint</w:t>
      </w:r>
    </w:p>
    <w:p>
      <w:pPr>
        <w:pStyle w:val="SpecBody"/>
      </w:pPr>
      <w:r>
        <w:t>Broker ACL binds the authenticated hub identity to its own topics; clients cannot choose a home by publishing another ID. Retain presence hints only, never contact requests or executable commands. The hub uses a persistent client ID/session, but correctness relies on its own durable outbox and the backend unique keys. Batch events only within a capped envelope (proposed 16 KB and 50 events). Malformed/oversized batches are rejected with a reason and do not block other homes.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350"/>
        <w:gridCol w:w="7010"/>
      </w:tblGrid>
      <w:tr>
        <w:trPr>
          <w:cantSplit/>
          <w:tblHeader/>
        </w:trPr>
        <w:tc>
          <w:tcPr>
            <w:tcW w:type="dxa" w:w="2350"/>
            <w:tcMar>
              <w:top w:w="80" w:type="dxa"/>
              <w:bottom w:w="80" w:type="dxa"/>
              <w:start w:w="120" w:type="dxa"/>
              <w:end w:w="120" w:type="dxa"/>
            </w:tcMar>
            <w:shd w:fill="E8EEF5"/>
          </w:tcPr>
          <w:p>
            <w:pPr>
              <w:pStyle w:val="TableText"/>
            </w:pPr>
            <w:r>
              <w:rPr>
                <w:b/>
              </w:rPr>
              <w:t>Field / operation</w:t>
            </w:r>
          </w:p>
        </w:tc>
        <w:tc>
          <w:tcPr>
            <w:tcW w:type="dxa" w:w="7010"/>
            <w:tcMar>
              <w:top w:w="80" w:type="dxa"/>
              <w:bottom w:w="80" w:type="dxa"/>
              <w:start w:w="120" w:type="dxa"/>
              <w:end w:w="120" w:type="dxa"/>
            </w:tcMar>
            <w:shd w:fill="E8EEF5"/>
          </w:tcPr>
          <w:p>
            <w:pPr>
              <w:pStyle w:val="TableText"/>
            </w:pPr>
            <w:r>
              <w:rPr>
                <w:b/>
              </w:rPr>
              <w:t>Required semantics</w:t>
            </w:r>
          </w:p>
        </w:tc>
      </w:tr>
      <w:tr>
        <w:trPr>
          <w:cantSplit/>
        </w:trPr>
        <w:tc>
          <w:tcPr>
            <w:tcW w:type="dxa" w:w="2350"/>
            <w:tcMar>
              <w:top w:w="80" w:type="dxa"/>
              <w:bottom w:w="80" w:type="dxa"/>
              <w:start w:w="120" w:type="dxa"/>
              <w:end w:w="120" w:type="dxa"/>
            </w:tcMar>
          </w:tcPr>
          <w:p>
            <w:pPr>
              <w:pStyle w:val="TableText"/>
            </w:pPr>
            <w:r>
              <w:t>event_id</w:t>
            </w:r>
          </w:p>
        </w:tc>
        <w:tc>
          <w:tcPr>
            <w:tcW w:type="dxa" w:w="7010"/>
            <w:tcMar>
              <w:top w:w="80" w:type="dxa"/>
              <w:bottom w:w="80" w:type="dxa"/>
              <w:start w:w="120" w:type="dxa"/>
              <w:end w:w="120" w:type="dxa"/>
            </w:tcMar>
          </w:tcPr>
          <w:p>
            <w:pPr>
              <w:pStyle w:val="TableText"/>
            </w:pPr>
            <w:r>
              <w:t>Deterministic key from source/session/seq or hub journal epoch/seq. Globally unique within the source identity; immutable across retry.</w:t>
            </w:r>
          </w:p>
        </w:tc>
      </w:tr>
      <w:tr>
        <w:trPr>
          <w:cantSplit/>
        </w:trPr>
        <w:tc>
          <w:tcPr>
            <w:tcW w:type="dxa" w:w="2350"/>
            <w:tcMar>
              <w:top w:w="80" w:type="dxa"/>
              <w:bottom w:w="80" w:type="dxa"/>
              <w:start w:w="120" w:type="dxa"/>
              <w:end w:w="120" w:type="dxa"/>
            </w:tcMar>
          </w:tcPr>
          <w:p>
            <w:pPr>
              <w:pStyle w:val="TableText"/>
            </w:pPr>
            <w:r>
              <w:t>incident_id</w:t>
            </w:r>
          </w:p>
        </w:tc>
        <w:tc>
          <w:tcPr>
            <w:tcW w:type="dxa" w:w="7010"/>
            <w:tcMar>
              <w:top w:w="80" w:type="dxa"/>
              <w:bottom w:w="80" w:type="dxa"/>
              <w:start w:w="120" w:type="dxa"/>
              <w:end w:w="120" w:type="dxa"/>
            </w:tcMar>
          </w:tcPr>
          <w:p>
            <w:pPr>
              <w:pStyle w:val="TableText"/>
            </w:pPr>
            <w:r>
              <w:t>Routine: hash(home, hub_authority_epoch, rule, window_id). Contact: hash(home, source_event_id, CONTACT_REQUEST). Service faults use a separate backend namespace.</w:t>
            </w:r>
          </w:p>
        </w:tc>
      </w:tr>
      <w:tr>
        <w:trPr>
          <w:cantSplit/>
        </w:trPr>
        <w:tc>
          <w:tcPr>
            <w:tcW w:type="dxa" w:w="2350"/>
            <w:tcMar>
              <w:top w:w="80" w:type="dxa"/>
              <w:bottom w:w="80" w:type="dxa"/>
              <w:start w:w="120" w:type="dxa"/>
              <w:end w:w="120" w:type="dxa"/>
            </w:tcMar>
          </w:tcPr>
          <w:p>
            <w:pPr>
              <w:pStyle w:val="TableText"/>
            </w:pPr>
            <w:r>
              <w:t>command_id + expires_at</w:t>
            </w:r>
          </w:p>
        </w:tc>
        <w:tc>
          <w:tcPr>
            <w:tcW w:type="dxa" w:w="7010"/>
            <w:tcMar>
              <w:top w:w="80" w:type="dxa"/>
              <w:bottom w:w="80" w:type="dxa"/>
              <w:start w:w="120" w:type="dxa"/>
              <w:end w:w="120" w:type="dxa"/>
            </w:tcMar>
          </w:tcPr>
          <w:p>
            <w:pPr>
              <w:pStyle w:val="TableText"/>
            </w:pPr>
            <w:r>
              <w:t>Same ID across retries; reject after expiry or incompatible config version. Desired state is reconciled after reconnect with a new valid command.</w:t>
            </w:r>
          </w:p>
        </w:tc>
      </w:tr>
      <w:tr>
        <w:trPr>
          <w:cantSplit/>
        </w:trPr>
        <w:tc>
          <w:tcPr>
            <w:tcW w:type="dxa" w:w="2350"/>
            <w:tcMar>
              <w:top w:w="80" w:type="dxa"/>
              <w:bottom w:w="80" w:type="dxa"/>
              <w:start w:w="120" w:type="dxa"/>
              <w:end w:w="120" w:type="dxa"/>
            </w:tcMar>
          </w:tcPr>
          <w:p>
            <w:pPr>
              <w:pStyle w:val="TableText"/>
            </w:pPr>
            <w:r>
              <w:t>commit ACK</w:t>
            </w:r>
          </w:p>
        </w:tc>
        <w:tc>
          <w:tcPr>
            <w:tcW w:type="dxa" w:w="7010"/>
            <w:tcMar>
              <w:top w:w="80" w:type="dxa"/>
              <w:bottom w:w="80" w:type="dxa"/>
              <w:start w:w="120" w:type="dxa"/>
              <w:end w:w="120" w:type="dxa"/>
            </w:tcMar>
          </w:tcPr>
          <w:p>
            <w:pPr>
              <w:pStyle w:val="TableText"/>
            </w:pPr>
            <w:r>
              <w:t>Lists event IDs durably committed or already present. A failed DB transaction returns no commit ACK.</w:t>
            </w:r>
          </w:p>
        </w:tc>
      </w:tr>
      <w:tr>
        <w:trPr>
          <w:cantSplit/>
        </w:trPr>
        <w:tc>
          <w:tcPr>
            <w:tcW w:type="dxa" w:w="2350"/>
            <w:tcMar>
              <w:top w:w="80" w:type="dxa"/>
              <w:bottom w:w="80" w:type="dxa"/>
              <w:start w:w="120" w:type="dxa"/>
              <w:end w:w="120" w:type="dxa"/>
            </w:tcMar>
          </w:tcPr>
          <w:p>
            <w:pPr>
              <w:pStyle w:val="TableText"/>
            </w:pPr>
            <w:r>
              <w:t>node command ACK</w:t>
            </w:r>
          </w:p>
        </w:tc>
        <w:tc>
          <w:tcPr>
            <w:tcW w:type="dxa" w:w="7010"/>
            <w:tcMar>
              <w:top w:w="80" w:type="dxa"/>
              <w:bottom w:w="80" w:type="dxa"/>
              <w:start w:w="120" w:type="dxa"/>
              <w:end w:w="120" w:type="dxa"/>
            </w:tcMar>
          </w:tcPr>
          <w:p>
            <w:pPr>
              <w:pStyle w:val="TableText"/>
            </w:pPr>
            <w:r>
              <w:t>Includes command ID, applied_version/hash, result and reason. Configuration remains pending until this arrives.</w:t>
            </w:r>
          </w:p>
        </w:tc>
      </w:tr>
      <w:tr>
        <w:trPr>
          <w:cantSplit/>
        </w:trPr>
        <w:tc>
          <w:tcPr>
            <w:tcW w:type="dxa" w:w="2350"/>
            <w:tcMar>
              <w:top w:w="80" w:type="dxa"/>
              <w:bottom w:w="80" w:type="dxa"/>
              <w:start w:w="120" w:type="dxa"/>
              <w:end w:w="120" w:type="dxa"/>
            </w:tcMar>
          </w:tcPr>
          <w:p>
            <w:pPr>
              <w:pStyle w:val="TableText"/>
            </w:pPr>
            <w:r>
              <w:t>schema migration</w:t>
            </w:r>
          </w:p>
        </w:tc>
        <w:tc>
          <w:tcPr>
            <w:tcW w:type="dxa" w:w="7010"/>
            <w:tcMar>
              <w:top w:w="80" w:type="dxa"/>
              <w:bottom w:w="80" w:type="dxa"/>
              <w:start w:w="120" w:type="dxa"/>
              <w:end w:w="120" w:type="dxa"/>
            </w:tcMar>
          </w:tcPr>
          <w:p>
            <w:pPr>
              <w:pStyle w:val="TableText"/>
            </w:pPr>
            <w:r>
              <w:t>Readers tolerate additional optional fields within v1; incompatible changes use v2. Preserve v1 read support through the documented rollout/replay interval.</w:t>
            </w:r>
          </w:p>
        </w:tc>
      </w:tr>
    </w:tbl>
    <w:p>
      <w:pPr>
        <w:pStyle w:val="TableSpacer"/>
      </w:pPr>
    </w:p>
    <w:p>
      <w:pPr>
        <w:pStyle w:val="Heading2"/>
      </w:pPr>
      <w:r>
        <w:t>Timing and default retry policy</w:t>
      </w:r>
    </w:p>
    <w:p>
      <w:pPr>
        <w:pStyle w:val="SpecBody"/>
      </w:pPr>
      <w:r>
        <w:t>Radio: 0.2/0.6/1.8-second retry delays with jitter, then defer to scheduled wake; cap time awake and queued records. Hub MQTT reconnect: exponential 1–60 seconds with jitter. Notification transient retries: 10 seconds, 30 seconds, 2 minutes and 5 minutes; stop on permanent errors and expose them. These are test defaults, not performance guarantees. Backlog replay is rate-limited per home so one recovered hub cannot starve live requests.</w:t>
      </w:r>
    </w:p>
    <w:p>
      <w:pPr>
        <w:pStyle w:val="SpecBody"/>
      </w:pPr>
      <w:r>
        <w:t>Single-radio constraint: the S3 station’s home Wi-Fi channel and its ESP-NOW peers must be compatible [S1]. Prefer a fixed, permitted 2.4-GHz router channel during an assisted pilot but still test automatic channel changes. Do not make “router never changes channel” a hidden reliability assumption.</w:t>
      </w:r>
    </w:p>
    <w:p>
      <w:pPr>
        <w:pStyle w:val="SpecBody"/>
      </w:pPr>
      <w:r>
        <w:t>External push is not transactionally atomic with PostgreSQL. If a worker crashes after a provider accepts a push but before recording the result, a retry may duplicate delivery. Persist attempt IDs before sending, use provider idempotency when available, and use a stable incident/stage notification tag in the PWA. Preserve this residual risk; claim only one business/job intent, not exactly-once phone delivery.</w:t>
      </w:r>
    </w:p>
    <w:p>
      <w:pPr>
        <w:pStyle w:val="Heading2"/>
        <w:pageBreakBefore/>
      </w:pPr>
      <w:r>
        <w:t>End-to-end communication scenarios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580"/>
        <w:gridCol w:w="3970"/>
        <w:gridCol w:w="3810"/>
      </w:tblGrid>
      <w:tr>
        <w:trPr>
          <w:cantSplit/>
          <w:tblHeader/>
        </w:trPr>
        <w:tc>
          <w:tcPr>
            <w:tcW w:type="dxa" w:w="1580"/>
            <w:tcMar>
              <w:top w:w="80" w:type="dxa"/>
              <w:bottom w:w="80" w:type="dxa"/>
              <w:start w:w="120" w:type="dxa"/>
              <w:end w:w="120" w:type="dxa"/>
            </w:tcMar>
            <w:shd w:fill="E8EEF5"/>
          </w:tcPr>
          <w:p>
            <w:pPr>
              <w:pStyle w:val="TableText"/>
            </w:pPr>
            <w:r>
              <w:rPr>
                <w:b/>
              </w:rPr>
              <w:t>Scenario</w:t>
            </w:r>
          </w:p>
        </w:tc>
        <w:tc>
          <w:tcPr>
            <w:tcW w:type="dxa" w:w="3970"/>
            <w:tcMar>
              <w:top w:w="80" w:type="dxa"/>
              <w:bottom w:w="80" w:type="dxa"/>
              <w:start w:w="120" w:type="dxa"/>
              <w:end w:w="120" w:type="dxa"/>
            </w:tcMar>
            <w:shd w:fill="E8EEF5"/>
          </w:tcPr>
          <w:p>
            <w:pPr>
              <w:pStyle w:val="TableText"/>
            </w:pPr>
            <w:r>
              <w:rPr>
                <w:b/>
              </w:rPr>
              <w:t>Ordered exchange</w:t>
            </w:r>
          </w:p>
        </w:tc>
        <w:tc>
          <w:tcPr>
            <w:tcW w:type="dxa" w:w="3810"/>
            <w:tcMar>
              <w:top w:w="80" w:type="dxa"/>
              <w:bottom w:w="80" w:type="dxa"/>
              <w:start w:w="120" w:type="dxa"/>
              <w:end w:w="120" w:type="dxa"/>
            </w:tcMar>
            <w:shd w:fill="E8EEF5"/>
          </w:tcPr>
          <w:p>
            <w:pPr>
              <w:pStyle w:val="TableText"/>
            </w:pPr>
            <w:r>
              <w:rPr>
                <w:b/>
              </w:rPr>
              <w:t>Expected result / failure branch</w:t>
            </w:r>
          </w:p>
        </w:tc>
      </w:tr>
      <w:tr>
        <w:trPr>
          <w:cantSplit/>
        </w:trPr>
        <w:tc>
          <w:tcPr>
            <w:tcW w:type="dxa" w:w="1580"/>
            <w:tcMar>
              <w:top w:w="80" w:type="dxa"/>
              <w:bottom w:w="80" w:type="dxa"/>
              <w:start w:w="120" w:type="dxa"/>
              <w:end w:w="120" w:type="dxa"/>
            </w:tcMar>
          </w:tcPr>
          <w:p>
            <w:pPr>
              <w:pStyle w:val="TableText"/>
            </w:pPr>
            <w:r>
              <w:t>C01 Normal morning</w:t>
            </w:r>
          </w:p>
        </w:tc>
        <w:tc>
          <w:tcPr>
            <w:tcW w:type="dxa" w:w="3970"/>
            <w:tcMar>
              <w:top w:w="80" w:type="dxa"/>
              <w:bottom w:w="80" w:type="dxa"/>
              <w:start w:w="120" w:type="dxa"/>
              <w:end w:w="120" w:type="dxa"/>
            </w:tcMar>
          </w:tcPr>
          <w:p>
            <w:pPr>
              <w:pStyle w:val="TableText"/>
            </w:pPr>
            <w:r>
              <w:t>PIR → node journal → ESP-NOW → hub commit/ACK → reducer → MQTT → backend commit/ACK → app snapshot.</w:t>
            </w:r>
          </w:p>
        </w:tc>
        <w:tc>
          <w:tcPr>
            <w:tcW w:type="dxa" w:w="3810"/>
            <w:tcMar>
              <w:top w:w="80" w:type="dxa"/>
              <w:bottom w:w="80" w:type="dxa"/>
              <w:start w:w="120" w:type="dxa"/>
              <w:end w:w="120" w:type="dxa"/>
            </w:tcMar>
          </w:tcPr>
          <w:p>
            <w:pPr>
              <w:pStyle w:val="TableText"/>
            </w:pPr>
            <w:r>
              <w:t>Activity evidence appears once. No routine alert. Sensor health and self-check-in remain separate.</w:t>
            </w:r>
          </w:p>
        </w:tc>
      </w:tr>
      <w:tr>
        <w:trPr>
          <w:cantSplit/>
        </w:trPr>
        <w:tc>
          <w:tcPr>
            <w:tcW w:type="dxa" w:w="1580"/>
            <w:tcMar>
              <w:top w:w="80" w:type="dxa"/>
              <w:bottom w:w="80" w:type="dxa"/>
              <w:start w:w="120" w:type="dxa"/>
              <w:end w:w="120" w:type="dxa"/>
            </w:tcMar>
          </w:tcPr>
          <w:p>
            <w:pPr>
              <w:pStyle w:val="TableText"/>
            </w:pPr>
            <w:r>
              <w:t>C02 No movement</w:t>
            </w:r>
          </w:p>
        </w:tc>
        <w:tc>
          <w:tcPr>
            <w:tcW w:type="dxa" w:w="3970"/>
            <w:tcMar>
              <w:top w:w="80" w:type="dxa"/>
              <w:bottom w:w="80" w:type="dxa"/>
              <w:start w:w="120" w:type="dxa"/>
              <w:end w:w="120" w:type="dxa"/>
            </w:tcMar>
          </w:tcPr>
          <w:p>
            <w:pPr>
              <w:pStyle w:val="TableText"/>
            </w:pPr>
            <w:r>
              <w:t>Deadline → eligibility check → optional local reminder → grace timer → recheck → hub incident → backend route → phone.</w:t>
            </w:r>
          </w:p>
        </w:tc>
        <w:tc>
          <w:tcPr>
            <w:tcW w:type="dxa" w:w="3810"/>
            <w:tcMar>
              <w:top w:w="80" w:type="dxa"/>
              <w:bottom w:w="80" w:type="dxa"/>
              <w:start w:w="120" w:type="dxa"/>
              <w:end w:w="120" w:type="dxa"/>
            </w:tcMar>
          </w:tcPr>
          <w:p>
            <w:pPr>
              <w:pStyle w:val="TableText"/>
            </w:pPr>
            <w:r>
              <w:t>One explainable prompt only if coverage is eligible. A gap produces observation-incomplete/service status instead.</w:t>
            </w:r>
          </w:p>
        </w:tc>
      </w:tr>
      <w:tr>
        <w:trPr>
          <w:cantSplit/>
        </w:trPr>
        <w:tc>
          <w:tcPr>
            <w:tcW w:type="dxa" w:w="1580"/>
            <w:tcMar>
              <w:top w:w="80" w:type="dxa"/>
              <w:bottom w:w="80" w:type="dxa"/>
              <w:start w:w="120" w:type="dxa"/>
              <w:end w:w="120" w:type="dxa"/>
            </w:tcMar>
          </w:tcPr>
          <w:p>
            <w:pPr>
              <w:pStyle w:val="TableText"/>
            </w:pPr>
            <w:r>
              <w:t>C03 Manual contact</w:t>
            </w:r>
          </w:p>
        </w:tc>
        <w:tc>
          <w:tcPr>
            <w:tcW w:type="dxa" w:w="3970"/>
            <w:tcMar>
              <w:top w:w="80" w:type="dxa"/>
              <w:bottom w:w="80" w:type="dxa"/>
              <w:start w:w="120" w:type="dxa"/>
              <w:end w:w="120" w:type="dxa"/>
            </w:tcMar>
          </w:tcPr>
          <w:p>
            <w:pPr>
              <w:pStyle w:val="TableText"/>
            </w:pPr>
            <w:r>
              <w:t>Call button → local durable event → incident → primary push → human claim → human outcome → hub/app status.</w:t>
            </w:r>
          </w:p>
        </w:tc>
        <w:tc>
          <w:tcPr>
            <w:tcW w:type="dxa" w:w="3810"/>
            <w:tcMar>
              <w:top w:w="80" w:type="dxa"/>
              <w:bottom w:w="80" w:type="dxa"/>
              <w:start w:w="120" w:type="dxa"/>
              <w:end w:w="120" w:type="dxa"/>
            </w:tcMar>
          </w:tcPr>
          <w:p>
            <w:pPr>
              <w:pStyle w:val="TableText"/>
            </w:pPr>
            <w:r>
              <w:t>No-ack routes to backup. Claim without resolution has a 10-minute lease. Later PIR never resolves it.</w:t>
            </w:r>
          </w:p>
        </w:tc>
      </w:tr>
      <w:tr>
        <w:trPr>
          <w:cantSplit/>
        </w:trPr>
        <w:tc>
          <w:tcPr>
            <w:tcW w:type="dxa" w:w="1580"/>
            <w:tcMar>
              <w:top w:w="80" w:type="dxa"/>
              <w:bottom w:w="80" w:type="dxa"/>
              <w:start w:w="120" w:type="dxa"/>
              <w:end w:w="120" w:type="dxa"/>
            </w:tcMar>
          </w:tcPr>
          <w:p>
            <w:pPr>
              <w:pStyle w:val="TableText"/>
            </w:pPr>
            <w:r>
              <w:t>C04 WAN outage</w:t>
            </w:r>
          </w:p>
        </w:tc>
        <w:tc>
          <w:tcPr>
            <w:tcW w:type="dxa" w:w="3970"/>
            <w:tcMar>
              <w:top w:w="80" w:type="dxa"/>
              <w:bottom w:w="80" w:type="dxa"/>
              <w:start w:w="120" w:type="dxa"/>
              <w:end w:w="120" w:type="dxa"/>
            </w:tcMar>
          </w:tcPr>
          <w:p>
            <w:pPr>
              <w:pStyle w:val="TableText"/>
            </w:pPr>
            <w:r>
              <w:t>Hub cloud lease expires → backend service notice; nodes still send locally → hub queues → reconnect → prioritized replay.</w:t>
            </w:r>
          </w:p>
        </w:tc>
        <w:tc>
          <w:tcPr>
            <w:tcW w:type="dxa" w:w="3810"/>
            <w:tcMar>
              <w:top w:w="80" w:type="dxa"/>
              <w:bottom w:w="80" w:type="dxa"/>
              <w:start w:w="120" w:type="dxa"/>
              <w:end w:w="120" w:type="dxa"/>
            </w:tcMar>
          </w:tcPr>
          <w:p>
            <w:pPr>
              <w:pStyle w:val="TableText"/>
            </w:pPr>
            <w:r>
              <w:t>Remote service unavailable is visible. Late contact requests retain age; no fabricated real-time notification.</w:t>
            </w:r>
          </w:p>
        </w:tc>
      </w:tr>
      <w:tr>
        <w:trPr>
          <w:cantSplit/>
        </w:trPr>
        <w:tc>
          <w:tcPr>
            <w:tcW w:type="dxa" w:w="1580"/>
            <w:tcMar>
              <w:top w:w="80" w:type="dxa"/>
              <w:bottom w:w="80" w:type="dxa"/>
              <w:start w:w="120" w:type="dxa"/>
              <w:end w:w="120" w:type="dxa"/>
            </w:tcMar>
          </w:tcPr>
          <w:p>
            <w:pPr>
              <w:pStyle w:val="TableText"/>
            </w:pPr>
            <w:r>
              <w:t>C05 Node outage / channel change</w:t>
            </w:r>
          </w:p>
        </w:tc>
        <w:tc>
          <w:tcPr>
            <w:tcW w:type="dxa" w:w="3970"/>
            <w:tcMar>
              <w:top w:w="80" w:type="dxa"/>
              <w:bottom w:w="80" w:type="dxa"/>
              <w:start w:w="120" w:type="dxa"/>
              <w:end w:w="120" w:type="dxa"/>
            </w:tcMar>
          </w:tcPr>
          <w:p>
            <w:pPr>
              <w:pStyle w:val="TableText"/>
            </w:pPr>
            <w:r>
              <w:t>Missed leases or radio retry failure → coverage interval closes → node bounded reacquisition → new authenticated traffic.</w:t>
            </w:r>
          </w:p>
        </w:tc>
        <w:tc>
          <w:tcPr>
            <w:tcW w:type="dxa" w:w="3810"/>
            <w:tcMar>
              <w:top w:w="80" w:type="dxa"/>
              <w:bottom w:w="80" w:type="dxa"/>
              <w:start w:w="120" w:type="dxa"/>
              <w:end w:w="120" w:type="dxa"/>
            </w:tcMar>
          </w:tcPr>
          <w:p>
            <w:pPr>
              <w:pStyle w:val="TableText"/>
            </w:pPr>
            <w:r>
              <w:t>Current health recovers; historical observation gap remains. No retrospective “normal morning”.</w:t>
            </w:r>
          </w:p>
        </w:tc>
      </w:tr>
      <w:tr>
        <w:trPr>
          <w:cantSplit/>
        </w:trPr>
        <w:tc>
          <w:tcPr>
            <w:tcW w:type="dxa" w:w="1580"/>
            <w:tcMar>
              <w:top w:w="80" w:type="dxa"/>
              <w:bottom w:w="80" w:type="dxa"/>
              <w:start w:w="120" w:type="dxa"/>
              <w:end w:w="120" w:type="dxa"/>
            </w:tcMar>
          </w:tcPr>
          <w:p>
            <w:pPr>
              <w:pStyle w:val="TableText"/>
            </w:pPr>
            <w:r>
              <w:t>C06 Config while asleep</w:t>
            </w:r>
          </w:p>
        </w:tc>
        <w:tc>
          <w:tcPr>
            <w:tcW w:type="dxa" w:w="3970"/>
            <w:tcMar>
              <w:top w:w="80" w:type="dxa"/>
              <w:bottom w:w="80" w:type="dxa"/>
              <w:start w:w="120" w:type="dxa"/>
              <w:end w:w="120" w:type="dxa"/>
            </w:tcMar>
          </w:tcPr>
          <w:p>
            <w:pPr>
              <w:pStyle w:val="TableText"/>
            </w:pPr>
            <w:r>
              <w:t>App desired version → backend command → hub staging/apply → node next wake receives command → node apply ACK.</w:t>
            </w:r>
          </w:p>
        </w:tc>
        <w:tc>
          <w:tcPr>
            <w:tcW w:type="dxa" w:w="3810"/>
            <w:tcMar>
              <w:top w:w="80" w:type="dxa"/>
              <w:bottom w:w="80" w:type="dxa"/>
              <w:start w:w="120" w:type="dxa"/>
              <w:end w:w="120" w:type="dxa"/>
            </w:tcMar>
          </w:tcPr>
          <w:p>
            <w:pPr>
              <w:pStyle w:val="TableText"/>
            </w:pPr>
            <w:r>
              <w:t>App shows hub/node applied versions independently; stale heartbeat settings are not assumed applied.</w:t>
            </w:r>
          </w:p>
        </w:tc>
      </w:tr>
      <w:tr>
        <w:trPr>
          <w:cantSplit/>
        </w:trPr>
        <w:tc>
          <w:tcPr>
            <w:tcW w:type="dxa" w:w="1580"/>
            <w:tcMar>
              <w:top w:w="80" w:type="dxa"/>
              <w:bottom w:w="80" w:type="dxa"/>
              <w:start w:w="120" w:type="dxa"/>
              <w:end w:w="120" w:type="dxa"/>
            </w:tcMar>
          </w:tcPr>
          <w:p>
            <w:pPr>
              <w:pStyle w:val="TableText"/>
            </w:pPr>
            <w:r>
              <w:t>C07 Privacy / withdrawal</w:t>
            </w:r>
          </w:p>
        </w:tc>
        <w:tc>
          <w:tcPr>
            <w:tcW w:type="dxa" w:w="3970"/>
            <w:tcMar>
              <w:top w:w="80" w:type="dxa"/>
              <w:bottom w:w="80" w:type="dxa"/>
              <w:start w:w="120" w:type="dxa"/>
              <w:end w:w="120" w:type="dxa"/>
            </w:tcMar>
          </w:tcPr>
          <w:p>
            <w:pPr>
              <w:pStyle w:val="TableText"/>
            </w:pPr>
            <w:r>
              <w:t>Physical switch → immediate local gating → mode journal → backend on reconnect; withdrawal → cancel future sharing.</w:t>
            </w:r>
          </w:p>
        </w:tc>
        <w:tc>
          <w:tcPr>
            <w:tcW w:type="dxa" w:w="3810"/>
            <w:tcMar>
              <w:top w:w="80" w:type="dxa"/>
              <w:bottom w:w="80" w:type="dxa"/>
              <w:start w:w="120" w:type="dxa"/>
              <w:end w:w="120" w:type="dxa"/>
            </w:tcMar>
          </w:tcPr>
          <w:p>
            <w:pPr>
              <w:pStyle w:val="TableText"/>
            </w:pPr>
            <w:r>
              <w:t>Remote resume cannot override privacy. Old in-flight notifications cannot necessarily be recalled.</w:t>
            </w:r>
          </w:p>
        </w:tc>
      </w:tr>
      <w:tr>
        <w:trPr>
          <w:cantSplit/>
        </w:trPr>
        <w:tc>
          <w:tcPr>
            <w:tcW w:type="dxa" w:w="1580"/>
            <w:tcMar>
              <w:top w:w="80" w:type="dxa"/>
              <w:bottom w:w="80" w:type="dxa"/>
              <w:start w:w="120" w:type="dxa"/>
              <w:end w:w="120" w:type="dxa"/>
            </w:tcMar>
          </w:tcPr>
          <w:p>
            <w:pPr>
              <w:pStyle w:val="TableText"/>
            </w:pPr>
            <w:r>
              <w:t>C08 Reboot at deadline</w:t>
            </w:r>
          </w:p>
        </w:tc>
        <w:tc>
          <w:tcPr>
            <w:tcW w:type="dxa" w:w="3970"/>
            <w:tcMar>
              <w:top w:w="80" w:type="dxa"/>
              <w:bottom w:w="80" w:type="dxa"/>
              <w:start w:w="120" w:type="dxa"/>
              <w:end w:w="120" w:type="dxa"/>
            </w:tcMar>
          </w:tcPr>
          <w:p>
            <w:pPr>
              <w:pStyle w:val="TableText"/>
            </w:pPr>
            <w:r>
              <w:t>Boot → switch/credentials/config check → journal replay → time trust check → rebuild timers → reducer.</w:t>
            </w:r>
          </w:p>
        </w:tc>
        <w:tc>
          <w:tcPr>
            <w:tcW w:type="dxa" w:w="3810"/>
            <w:tcMar>
              <w:top w:w="80" w:type="dxa"/>
              <w:bottom w:w="80" w:type="dxa"/>
              <w:start w:w="120" w:type="dxa"/>
              <w:end w:w="120" w:type="dxa"/>
            </w:tcMar>
          </w:tcPr>
          <w:p>
            <w:pPr>
              <w:pStyle w:val="TableText"/>
            </w:pPr>
            <w:r>
              <w:t>Same stable window/incident ID. If time or coverage cannot be recovered, result is incomplete, not absent.</w:t>
            </w:r>
          </w:p>
        </w:tc>
      </w:tr>
      <w:tr>
        <w:trPr>
          <w:cantSplit/>
        </w:trPr>
        <w:tc>
          <w:tcPr>
            <w:tcW w:type="dxa" w:w="1580"/>
            <w:tcMar>
              <w:top w:w="80" w:type="dxa"/>
              <w:bottom w:w="80" w:type="dxa"/>
              <w:start w:w="120" w:type="dxa"/>
              <w:end w:w="120" w:type="dxa"/>
            </w:tcMar>
          </w:tcPr>
          <w:p>
            <w:pPr>
              <w:pStyle w:val="TableText"/>
            </w:pPr>
            <w:r>
              <w:t>C09 Caregiver unavailable</w:t>
            </w:r>
          </w:p>
        </w:tc>
        <w:tc>
          <w:tcPr>
            <w:tcW w:type="dxa" w:w="3970"/>
            <w:tcMar>
              <w:top w:w="80" w:type="dxa"/>
              <w:bottom w:w="80" w:type="dxa"/>
              <w:start w:w="120" w:type="dxa"/>
              <w:end w:w="120" w:type="dxa"/>
            </w:tcMar>
          </w:tcPr>
          <w:p>
            <w:pPr>
              <w:pStyle w:val="TableText"/>
            </w:pPr>
            <w:r>
              <w:t>Primary timeout/failure → backup stage → no action or expired claim → route exhausted.</w:t>
            </w:r>
          </w:p>
        </w:tc>
        <w:tc>
          <w:tcPr>
            <w:tcW w:type="dxa" w:w="3810"/>
            <w:tcMar>
              <w:top w:w="80" w:type="dxa"/>
              <w:bottom w:w="80" w:type="dxa"/>
              <w:start w:w="120" w:type="dxa"/>
              <w:end w:w="120" w:type="dxa"/>
            </w:tcMar>
          </w:tcPr>
          <w:p>
            <w:pPr>
              <w:pStyle w:val="TableText"/>
            </w:pPr>
            <w:r>
              <w:t>Incident remains unresolved with failure reason. No infinite loop and no implied staffed monitoring.</w:t>
            </w:r>
          </w:p>
        </w:tc>
      </w:tr>
      <w:tr>
        <w:trPr>
          <w:cantSplit/>
        </w:trPr>
        <w:tc>
          <w:tcPr>
            <w:tcW w:type="dxa" w:w="1580"/>
            <w:tcMar>
              <w:top w:w="80" w:type="dxa"/>
              <w:bottom w:w="80" w:type="dxa"/>
              <w:start w:w="120" w:type="dxa"/>
              <w:end w:w="120" w:type="dxa"/>
            </w:tcMar>
          </w:tcPr>
          <w:p>
            <w:pPr>
              <w:pStyle w:val="TableText"/>
            </w:pPr>
            <w:r>
              <w:t>C10 Device replacement</w:t>
            </w:r>
          </w:p>
        </w:tc>
        <w:tc>
          <w:tcPr>
            <w:tcW w:type="dxa" w:w="3970"/>
            <w:tcMar>
              <w:top w:w="80" w:type="dxa"/>
              <w:bottom w:w="80" w:type="dxa"/>
              <w:start w:w="120" w:type="dxa"/>
              <w:end w:w="120" w:type="dxa"/>
            </w:tcMar>
          </w:tcPr>
          <w:p>
            <w:pPr>
              <w:pStyle w:val="TableText"/>
            </w:pPr>
            <w:r>
              <w:t>Owner + physical service authorization → revoke old peer/hub epoch → provision replacement → repeat tests → activate.</w:t>
            </w:r>
          </w:p>
        </w:tc>
        <w:tc>
          <w:tcPr>
            <w:tcW w:type="dxa" w:w="3810"/>
            <w:tcMar>
              <w:top w:w="80" w:type="dxa"/>
              <w:bottom w:w="80" w:type="dxa"/>
              <w:start w:w="120" w:type="dxa"/>
              <w:end w:w="120" w:type="dxa"/>
            </w:tcMar>
          </w:tcPr>
          <w:p>
            <w:pPr>
              <w:pStyle w:val="TableText"/>
            </w:pPr>
            <w:r>
              <w:t>History remains attributable. New hub cannot reuse authority before old hub is fenced/revoked.</w:t>
            </w:r>
          </w:p>
        </w:tc>
      </w:tr>
    </w:tbl>
    <w:p>
      <w:pPr>
        <w:pStyle w:val="TableSpacer"/>
      </w:pPr>
    </w:p>
    <w:p>
      <w:bookmarkStart w:id="6" w:name="state"/>
      <w:pPr>
        <w:pStyle w:val="Heading1"/>
        <w:pageBreakBefore/>
      </w:pPr>
      <w:r>
        <w:t>6. State, time and persistence model</w:t>
      </w:r>
      <w:bookmarkEnd w:id="6"/>
    </w:p>
    <w:p>
      <w:pPr>
        <w:pStyle w:val="SpecBody"/>
      </w:pPr>
      <w:r>
        <w:t>Do not compress the home into one traffic-light enum. Separate dimensions are required because a check-in can coexist with a sensor outage, a contact request and visitor mode. The stored reason is part of the state, not just a UI tooltip.</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690"/>
        <w:gridCol w:w="3910"/>
        <w:gridCol w:w="3760"/>
      </w:tblGrid>
      <w:tr>
        <w:trPr>
          <w:cantSplit/>
          <w:tblHeader/>
        </w:trPr>
        <w:tc>
          <w:tcPr>
            <w:tcW w:type="dxa" w:w="1690"/>
            <w:tcMar>
              <w:top w:w="80" w:type="dxa"/>
              <w:bottom w:w="80" w:type="dxa"/>
              <w:start w:w="120" w:type="dxa"/>
              <w:end w:w="120" w:type="dxa"/>
            </w:tcMar>
            <w:shd w:fill="E8EEF5"/>
          </w:tcPr>
          <w:p>
            <w:pPr>
              <w:pStyle w:val="TableText"/>
            </w:pPr>
            <w:r>
              <w:rPr>
                <w:b/>
              </w:rPr>
              <w:t>Dimension</w:t>
            </w:r>
          </w:p>
        </w:tc>
        <w:tc>
          <w:tcPr>
            <w:tcW w:type="dxa" w:w="3910"/>
            <w:tcMar>
              <w:top w:w="80" w:type="dxa"/>
              <w:bottom w:w="80" w:type="dxa"/>
              <w:start w:w="120" w:type="dxa"/>
              <w:end w:w="120" w:type="dxa"/>
            </w:tcMar>
            <w:shd w:fill="E8EEF5"/>
          </w:tcPr>
          <w:p>
            <w:pPr>
              <w:pStyle w:val="TableText"/>
            </w:pPr>
            <w:r>
              <w:rPr>
                <w:b/>
              </w:rPr>
              <w:t>State / fields</w:t>
            </w:r>
          </w:p>
        </w:tc>
        <w:tc>
          <w:tcPr>
            <w:tcW w:type="dxa" w:w="3760"/>
            <w:tcMar>
              <w:top w:w="80" w:type="dxa"/>
              <w:bottom w:w="80" w:type="dxa"/>
              <w:start w:w="120" w:type="dxa"/>
              <w:end w:w="120" w:type="dxa"/>
            </w:tcMar>
            <w:shd w:fill="E8EEF5"/>
          </w:tcPr>
          <w:p>
            <w:pPr>
              <w:pStyle w:val="TableText"/>
            </w:pPr>
            <w:r>
              <w:rPr>
                <w:b/>
              </w:rPr>
              <w:t>Rules</w:t>
            </w:r>
          </w:p>
        </w:tc>
      </w:tr>
      <w:tr>
        <w:trPr>
          <w:cantSplit/>
        </w:trPr>
        <w:tc>
          <w:tcPr>
            <w:tcW w:type="dxa" w:w="1690"/>
            <w:tcMar>
              <w:top w:w="80" w:type="dxa"/>
              <w:bottom w:w="80" w:type="dxa"/>
              <w:start w:w="120" w:type="dxa"/>
              <w:end w:w="120" w:type="dxa"/>
            </w:tcMar>
          </w:tcPr>
          <w:p>
            <w:pPr>
              <w:pStyle w:val="TableText"/>
            </w:pPr>
            <w:r>
              <w:t>Consent/privacy</w:t>
            </w:r>
          </w:p>
        </w:tc>
        <w:tc>
          <w:tcPr>
            <w:tcW w:type="dxa" w:w="3910"/>
            <w:tcMar>
              <w:top w:w="80" w:type="dxa"/>
              <w:bottom w:w="80" w:type="dxa"/>
              <w:start w:w="120" w:type="dxa"/>
              <w:end w:w="120" w:type="dxa"/>
            </w:tcMar>
          </w:tcPr>
          <w:p>
            <w:pPr>
              <w:pStyle w:val="TableText"/>
            </w:pPr>
            <w:r>
              <w:t>consent_valid; privacy_switch; sharing_enabled</w:t>
            </w:r>
          </w:p>
        </w:tc>
        <w:tc>
          <w:tcPr>
            <w:tcW w:type="dxa" w:w="3760"/>
            <w:tcMar>
              <w:top w:w="80" w:type="dxa"/>
              <w:bottom w:w="80" w:type="dxa"/>
              <w:start w:w="120" w:type="dxa"/>
              <w:end w:w="120" w:type="dxa"/>
            </w:tcMar>
          </w:tcPr>
          <w:p>
            <w:pPr>
              <w:pStyle w:val="TableText"/>
            </w:pPr>
            <w:r>
              <w:t>Highest precedence; no hub/cloud passive persistence during privacy. Node-buffer handling: F02. Withdrawal blocks sharing.</w:t>
            </w:r>
          </w:p>
        </w:tc>
      </w:tr>
      <w:tr>
        <w:trPr>
          <w:cantSplit/>
        </w:trPr>
        <w:tc>
          <w:tcPr>
            <w:tcW w:type="dxa" w:w="1690"/>
            <w:tcMar>
              <w:top w:w="80" w:type="dxa"/>
              <w:bottom w:w="80" w:type="dxa"/>
              <w:start w:w="120" w:type="dxa"/>
              <w:end w:w="120" w:type="dxa"/>
            </w:tcMar>
          </w:tcPr>
          <w:p>
            <w:pPr>
              <w:pStyle w:val="TableText"/>
            </w:pPr>
            <w:r>
              <w:t>Monitoring mode</w:t>
            </w:r>
          </w:p>
        </w:tc>
        <w:tc>
          <w:tcPr>
            <w:tcW w:type="dxa" w:w="3910"/>
            <w:tcMar>
              <w:top w:w="80" w:type="dxa"/>
              <w:bottom w:w="80" w:type="dxa"/>
              <w:start w:w="120" w:type="dxa"/>
              <w:end w:w="120" w:type="dxa"/>
            </w:tcMar>
          </w:tcPr>
          <w:p>
            <w:pPr>
              <w:pStyle w:val="TableText"/>
            </w:pPr>
            <w:r>
              <w:t>ACTIVE / AWAY / PAUSED / VISITOR + intervals</w:t>
            </w:r>
          </w:p>
        </w:tc>
        <w:tc>
          <w:tcPr>
            <w:tcW w:type="dxa" w:w="3760"/>
            <w:tcMar>
              <w:top w:w="80" w:type="dxa"/>
              <w:bottom w:w="80" w:type="dxa"/>
              <w:start w:w="120" w:type="dxa"/>
              <w:end w:w="120" w:type="dxa"/>
            </w:tcMar>
          </w:tcPr>
          <w:p>
            <w:pPr>
              <w:pStyle w:val="TableText"/>
            </w:pPr>
            <w:r>
              <w:t>Explicit exceptions; preserve effective times. Visitors invalidate resident-specific interpretation.</w:t>
            </w:r>
          </w:p>
        </w:tc>
      </w:tr>
      <w:tr>
        <w:trPr>
          <w:cantSplit/>
        </w:trPr>
        <w:tc>
          <w:tcPr>
            <w:tcW w:type="dxa" w:w="1690"/>
            <w:tcMar>
              <w:top w:w="80" w:type="dxa"/>
              <w:bottom w:w="80" w:type="dxa"/>
              <w:start w:w="120" w:type="dxa"/>
              <w:end w:w="120" w:type="dxa"/>
            </w:tcMar>
          </w:tcPr>
          <w:p>
            <w:pPr>
              <w:pStyle w:val="TableText"/>
            </w:pPr>
            <w:r>
              <w:t>Coverage</w:t>
            </w:r>
          </w:p>
        </w:tc>
        <w:tc>
          <w:tcPr>
            <w:tcW w:type="dxa" w:w="3910"/>
            <w:tcMar>
              <w:top w:w="80" w:type="dxa"/>
              <w:bottom w:w="80" w:type="dxa"/>
              <w:start w:w="120" w:type="dxa"/>
              <w:end w:w="120" w:type="dxa"/>
            </w:tcMar>
          </w:tcPr>
          <w:p>
            <w:pPr>
              <w:pStyle w:val="TableText"/>
            </w:pPr>
            <w:r>
              <w:t>AVAILABLE / DEGRADED / UNAVAILABLE + intervals/reasons</w:t>
            </w:r>
          </w:p>
        </w:tc>
        <w:tc>
          <w:tcPr>
            <w:tcW w:type="dxa" w:w="3760"/>
            <w:tcMar>
              <w:top w:w="80" w:type="dxa"/>
              <w:bottom w:w="80" w:type="dxa"/>
              <w:start w:w="120" w:type="dxa"/>
              <w:end w:w="120" w:type="dxa"/>
            </w:tcMar>
          </w:tcPr>
          <w:p>
            <w:pPr>
              <w:pStyle w:val="TableText"/>
            </w:pPr>
            <w:r>
              <w:t>Current coverage and window coverage are different. Heartbeats cannot prove a sensor is physically functioning.</w:t>
            </w:r>
          </w:p>
        </w:tc>
      </w:tr>
      <w:tr>
        <w:trPr>
          <w:cantSplit/>
        </w:trPr>
        <w:tc>
          <w:tcPr>
            <w:tcW w:type="dxa" w:w="1690"/>
            <w:tcMar>
              <w:top w:w="80" w:type="dxa"/>
              <w:bottom w:w="80" w:type="dxa"/>
              <w:start w:w="120" w:type="dxa"/>
              <w:end w:w="120" w:type="dxa"/>
            </w:tcMar>
          </w:tcPr>
          <w:p>
            <w:pPr>
              <w:pStyle w:val="TableText"/>
            </w:pPr>
            <w:r>
              <w:t>Time</w:t>
            </w:r>
          </w:p>
        </w:tc>
        <w:tc>
          <w:tcPr>
            <w:tcW w:type="dxa" w:w="3910"/>
            <w:tcMar>
              <w:top w:w="80" w:type="dxa"/>
              <w:bottom w:w="80" w:type="dxa"/>
              <w:start w:w="120" w:type="dxa"/>
              <w:end w:w="120" w:type="dxa"/>
            </w:tcMar>
          </w:tcPr>
          <w:p>
            <w:pPr>
              <w:pStyle w:val="TableText"/>
            </w:pPr>
            <w:r>
              <w:t>TRUSTED / UNCERTAIN / UNTRUSTED + uncertainty</w:t>
            </w:r>
          </w:p>
        </w:tc>
        <w:tc>
          <w:tcPr>
            <w:tcW w:type="dxa" w:w="3760"/>
            <w:tcMar>
              <w:top w:w="80" w:type="dxa"/>
              <w:bottom w:w="80" w:type="dxa"/>
              <w:start w:w="120" w:type="dxa"/>
              <w:end w:w="120" w:type="dxa"/>
            </w:tcMar>
          </w:tcPr>
          <w:p>
            <w:pPr>
              <w:pStyle w:val="TableText"/>
            </w:pPr>
            <w:r>
              <w:t>Absence evaluation requires trusted boundaries/clock. Manual requests remain available.</w:t>
            </w:r>
          </w:p>
        </w:tc>
      </w:tr>
      <w:tr>
        <w:trPr>
          <w:cantSplit/>
        </w:trPr>
        <w:tc>
          <w:tcPr>
            <w:tcW w:type="dxa" w:w="1690"/>
            <w:tcMar>
              <w:top w:w="80" w:type="dxa"/>
              <w:bottom w:w="80" w:type="dxa"/>
              <w:start w:w="120" w:type="dxa"/>
              <w:end w:w="120" w:type="dxa"/>
            </w:tcMar>
          </w:tcPr>
          <w:p>
            <w:pPr>
              <w:pStyle w:val="TableText"/>
            </w:pPr>
            <w:r>
              <w:t>Routine lifecycle</w:t>
            </w:r>
          </w:p>
        </w:tc>
        <w:tc>
          <w:tcPr>
            <w:tcW w:type="dxa" w:w="3910"/>
            <w:tcMar>
              <w:top w:w="80" w:type="dxa"/>
              <w:bottom w:w="80" w:type="dxa"/>
              <w:start w:w="120" w:type="dxa"/>
              <w:end w:w="120" w:type="dxa"/>
            </w:tcMar>
          </w:tcPr>
          <w:p>
            <w:pPr>
              <w:pStyle w:val="TableText"/>
            </w:pPr>
            <w:r>
              <w:t>WAITING / OBSERVING / GRACE / FINALIZED / ABORTED</w:t>
            </w:r>
          </w:p>
        </w:tc>
        <w:tc>
          <w:tcPr>
            <w:tcW w:type="dxa" w:w="3760"/>
            <w:tcMar>
              <w:top w:w="80" w:type="dxa"/>
              <w:bottom w:w="80" w:type="dxa"/>
              <w:start w:w="120" w:type="dxa"/>
              <w:end w:w="120" w:type="dxa"/>
            </w:tcMar>
          </w:tcPr>
          <w:p>
            <w:pPr>
              <w:pStyle w:val="TableText"/>
            </w:pPr>
            <w:r>
              <w:t>Window completion does not close independent incidents.</w:t>
            </w:r>
          </w:p>
        </w:tc>
      </w:tr>
      <w:tr>
        <w:trPr>
          <w:cantSplit/>
        </w:trPr>
        <w:tc>
          <w:tcPr>
            <w:tcW w:type="dxa" w:w="1690"/>
            <w:tcMar>
              <w:top w:w="80" w:type="dxa"/>
              <w:bottom w:w="80" w:type="dxa"/>
              <w:start w:w="120" w:type="dxa"/>
              <w:end w:w="120" w:type="dxa"/>
            </w:tcMar>
          </w:tcPr>
          <w:p>
            <w:pPr>
              <w:pStyle w:val="TableText"/>
            </w:pPr>
            <w:r>
              <w:t>Evidence</w:t>
            </w:r>
          </w:p>
        </w:tc>
        <w:tc>
          <w:tcPr>
            <w:tcW w:type="dxa" w:w="3910"/>
            <w:tcMar>
              <w:top w:w="80" w:type="dxa"/>
              <w:bottom w:w="80" w:type="dxa"/>
              <w:start w:w="120" w:type="dxa"/>
              <w:end w:w="120" w:type="dxa"/>
            </w:tcMar>
          </w:tcPr>
          <w:p>
            <w:pPr>
              <w:pStyle w:val="TableText"/>
            </w:pPr>
            <w:r>
              <w:t>activity_first_at; activity_last_at; self_checkin_at</w:t>
            </w:r>
          </w:p>
        </w:tc>
        <w:tc>
          <w:tcPr>
            <w:tcW w:type="dxa" w:w="3760"/>
            <w:tcMar>
              <w:top w:w="80" w:type="dxa"/>
              <w:bottom w:w="80" w:type="dxa"/>
              <w:start w:w="120" w:type="dxa"/>
              <w:end w:w="120" w:type="dxa"/>
            </w:tcMar>
          </w:tcPr>
          <w:p>
            <w:pPr>
              <w:pStyle w:val="TableText"/>
            </w:pPr>
            <w:r>
              <w:t>Independent nullable fields; both can be present. Do not overwrite one with the other.</w:t>
            </w:r>
          </w:p>
        </w:tc>
      </w:tr>
      <w:tr>
        <w:trPr>
          <w:cantSplit/>
        </w:trPr>
        <w:tc>
          <w:tcPr>
            <w:tcW w:type="dxa" w:w="1690"/>
            <w:tcMar>
              <w:top w:w="80" w:type="dxa"/>
              <w:bottom w:w="80" w:type="dxa"/>
              <w:start w:w="120" w:type="dxa"/>
              <w:end w:w="120" w:type="dxa"/>
            </w:tcMar>
          </w:tcPr>
          <w:p>
            <w:pPr>
              <w:pStyle w:val="TableText"/>
            </w:pPr>
            <w:r>
              <w:t>Window outcome</w:t>
            </w:r>
          </w:p>
        </w:tc>
        <w:tc>
          <w:tcPr>
            <w:tcW w:type="dxa" w:w="3910"/>
            <w:tcMar>
              <w:top w:w="80" w:type="dxa"/>
              <w:bottom w:w="80" w:type="dxa"/>
              <w:start w:w="120" w:type="dxa"/>
              <w:end w:w="120" w:type="dxa"/>
            </w:tcMar>
          </w:tcPr>
          <w:p>
            <w:pPr>
              <w:pStyle w:val="TableText"/>
            </w:pPr>
            <w:r>
              <w:t>SELF_CHECKIN / ACTIVITY_OBSERVED / NO_EVIDENCE / OBSERVATION_INCOMPLETE / SUPPRESSED</w:t>
            </w:r>
          </w:p>
        </w:tc>
        <w:tc>
          <w:tcPr>
            <w:tcW w:type="dxa" w:w="3760"/>
            <w:tcMar>
              <w:top w:w="80" w:type="dxa"/>
              <w:bottom w:w="80" w:type="dxa"/>
              <w:start w:w="120" w:type="dxa"/>
              <w:end w:w="120" w:type="dxa"/>
            </w:tcMar>
          </w:tcPr>
          <w:p>
            <w:pPr>
              <w:pStyle w:val="TableText"/>
            </w:pPr>
            <w:r>
              <w:t>A display summary with evidence retained; SELF_CHECKIN does not clear health warnings.</w:t>
            </w:r>
          </w:p>
        </w:tc>
      </w:tr>
      <w:tr>
        <w:trPr>
          <w:cantSplit/>
        </w:trPr>
        <w:tc>
          <w:tcPr>
            <w:tcW w:type="dxa" w:w="1690"/>
            <w:tcMar>
              <w:top w:w="80" w:type="dxa"/>
              <w:bottom w:w="80" w:type="dxa"/>
              <w:start w:w="120" w:type="dxa"/>
              <w:end w:w="120" w:type="dxa"/>
            </w:tcMar>
          </w:tcPr>
          <w:p>
            <w:pPr>
              <w:pStyle w:val="TableText"/>
            </w:pPr>
            <w:r>
              <w:t>Incident workflow</w:t>
            </w:r>
          </w:p>
        </w:tc>
        <w:tc>
          <w:tcPr>
            <w:tcW w:type="dxa" w:w="3910"/>
            <w:tcMar>
              <w:top w:w="80" w:type="dxa"/>
              <w:bottom w:w="80" w:type="dxa"/>
              <w:start w:w="120" w:type="dxa"/>
              <w:end w:w="120" w:type="dxa"/>
            </w:tcMar>
          </w:tcPr>
          <w:p>
            <w:pPr>
              <w:pStyle w:val="TableText"/>
            </w:pPr>
            <w:r>
              <w:t>OPEN / CLAIMED / RESOLVED / CLOSED_UNRESOLVED</w:t>
            </w:r>
          </w:p>
        </w:tc>
        <w:tc>
          <w:tcPr>
            <w:tcW w:type="dxa" w:w="3760"/>
            <w:tcMar>
              <w:top w:w="80" w:type="dxa"/>
              <w:bottom w:w="80" w:type="dxa"/>
              <w:start w:w="120" w:type="dxa"/>
              <w:end w:w="120" w:type="dxa"/>
            </w:tcMar>
          </w:tcPr>
          <w:p>
            <w:pPr>
              <w:pStyle w:val="TableText"/>
            </w:pPr>
            <w:r>
              <w:t>Human claim is leased; explicit outcome closes. Do not auto-close on activity.</w:t>
            </w:r>
          </w:p>
        </w:tc>
      </w:tr>
      <w:tr>
        <w:trPr>
          <w:cantSplit/>
        </w:trPr>
        <w:tc>
          <w:tcPr>
            <w:tcW w:type="dxa" w:w="1690"/>
            <w:tcMar>
              <w:top w:w="80" w:type="dxa"/>
              <w:bottom w:w="80" w:type="dxa"/>
              <w:start w:w="120" w:type="dxa"/>
              <w:end w:w="120" w:type="dxa"/>
            </w:tcMar>
          </w:tcPr>
          <w:p>
            <w:pPr>
              <w:pStyle w:val="TableText"/>
            </w:pPr>
            <w:r>
              <w:t>Delivery attempt</w:t>
            </w:r>
          </w:p>
        </w:tc>
        <w:tc>
          <w:tcPr>
            <w:tcW w:type="dxa" w:w="3910"/>
            <w:tcMar>
              <w:top w:w="80" w:type="dxa"/>
              <w:bottom w:w="80" w:type="dxa"/>
              <w:start w:w="120" w:type="dxa"/>
              <w:end w:w="120" w:type="dxa"/>
            </w:tcMar>
          </w:tcPr>
          <w:p>
            <w:pPr>
              <w:pStyle w:val="TableText"/>
            </w:pPr>
            <w:r>
              <w:t>QUEUED / SUBMITTED / PROVIDER_ACCEPTED / RETRYABLE_FAILED / PERMANENT_FAILED</w:t>
            </w:r>
          </w:p>
        </w:tc>
        <w:tc>
          <w:tcPr>
            <w:tcW w:type="dxa" w:w="3760"/>
            <w:tcMar>
              <w:top w:w="80" w:type="dxa"/>
              <w:bottom w:w="80" w:type="dxa"/>
              <w:start w:w="120" w:type="dxa"/>
              <w:end w:w="120" w:type="dxa"/>
            </w:tcMar>
          </w:tcPr>
          <w:p>
            <w:pPr>
              <w:pStyle w:val="TableText"/>
            </w:pPr>
            <w:r>
              <w:t>Optional app receipt stored separately; only authenticated human action is acknowledgement.</w:t>
            </w:r>
          </w:p>
        </w:tc>
      </w:tr>
    </w:tbl>
    <w:p>
      <w:pPr>
        <w:pStyle w:val="TableSpacer"/>
      </w:pPr>
    </w:p>
    <w:p>
      <w:pPr>
        <w:pStyle w:val="Heading2"/>
        <w:pageBreakBefore/>
      </w:pPr>
      <w:r>
        <w:t>Deterministic morning decision</w:t>
      </w:r>
    </w:p>
    <w:p>
      <w:pPr>
        <w:pStyle w:val="Code"/>
        <w:keepLines/>
      </w:pPr>
      <w:r>
        <w:t>on deadline/grace tick or qualifying event:</w:t>
        <w:br/>
        <w:t xml:space="preserve">  replay/validate window and frozen config</w:t>
        <w:br/>
        <w:t xml:space="preserve">  update activity and self-check-in independently</w:t>
        <w:br/>
        <w:t xml:space="preserve">  if privacy/no consent: suppress passive routine</w:t>
        <w:br/>
        <w:t xml:space="preserve">  elif window contains away/pause/visitor: outcome = SUPPRESSED</w:t>
        <w:br/>
        <w:t xml:space="preserve">  elif self-checkin exists: outcome = SELF_CHECKIN</w:t>
        <w:br/>
        <w:t xml:space="preserve">  elif trusted in-window activity exists: outcome = ACTIVITY_OBSERVED</w:t>
        <w:br/>
        <w:t xml:space="preserve">  elif timing/coverage/data integrity is insufficient:</w:t>
        <w:br/>
        <w:t xml:space="preserve">       outcome = OBSERVATION_INCOMPLETE</w:t>
        <w:br/>
        <w:t xml:space="preserve">  elif deadline reached and grace not started: persist GRACE timer</w:t>
        <w:br/>
        <w:t xml:space="preserve">  elif grace expired: persist NO_EVIDENCE + one incident/outbox intent</w:t>
      </w:r>
    </w:p>
    <w:p>
      <w:pPr>
        <w:pStyle w:val="SpecBody"/>
      </w:pPr>
      <w:r>
        <w:t>Self-check-in/activity outcomes can be displayed while coverage is degraded; the orthogonal health dimension remains visible. A contact request is processed by a separate reducer and cannot be cleared by the morning outcome.</w:t>
      </w:r>
    </w:p>
    <w:p>
      <w:pPr>
        <w:pStyle w:val="Heading2"/>
      </w:pPr>
      <w:r>
        <w:t>Coverage eligibility and clock recovery</w:t>
      </w:r>
    </w:p>
    <w:p>
      <w:pPr>
        <w:pStyle w:val="SpecBody"/>
      </w:pPr>
      <w:r>
        <w:t>Proposed P0 eligibility is conservative: every configured motion sensor has valid installation and lease coverage for the whole active window plus grace, no known dropped-event interval, no relevant mode gap, and trusted time. Once a lease expires, conservatively mark the unknown interval from its last confirmed contact to recovery. “Eligible” means no known gap under this model, not proof that every movement was detectable. Undetected failures within a lease and PIR limitations remain residual risks.</w:t>
      </w:r>
    </w:p>
    <w:p>
      <w:pPr>
        <w:pStyle w:val="SpecBody"/>
      </w:pPr>
      <w:r>
        <w:t>A motion event from one configured node can establish activity even when another node is down. The converse is not true: no events from a partially covered home cannot establish an inactivity condition. Late evidence with trustworthy occurrence time may revise the window result and append a correction to an incident, but shall not erase the original notification/audit history.</w:t>
      </w:r>
    </w:p>
    <w:p>
      <w:pPr>
        <w:pStyle w:val="SpecBody"/>
      </w:pPr>
      <w:r>
        <w:t>Window identity = schedule UUID + local date + frozen config version, scoped to home and hub-authority epoch. A backend-generated 90-day horizon contains UTC start/deadline/grace boundaries and timezone database version. Hub rules use those boundaries offline. Expired horizons cannot continue trusted routine evaluation. India uses Asia/Kolkata; future DST zones use tested, explicit overlap/gap policy described in E06.</w:t>
      </w:r>
    </w:p>
    <w:p>
      <w:pPr>
        <w:pStyle w:val="Heading2"/>
        <w:pageBreakBefore/>
      </w:pPr>
      <w:r>
        <w:t>Proposed storage sizing and overflow behavior</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700"/>
        <w:gridCol w:w="3420"/>
        <w:gridCol w:w="4240"/>
      </w:tblGrid>
      <w:tr>
        <w:trPr>
          <w:cantSplit/>
          <w:tblHeader/>
        </w:trPr>
        <w:tc>
          <w:tcPr>
            <w:tcW w:type="dxa" w:w="1700"/>
            <w:tcMar>
              <w:top w:w="80" w:type="dxa"/>
              <w:bottom w:w="80" w:type="dxa"/>
              <w:start w:w="120" w:type="dxa"/>
              <w:end w:w="120" w:type="dxa"/>
            </w:tcMar>
            <w:shd w:fill="E8EEF5"/>
          </w:tcPr>
          <w:p>
            <w:pPr>
              <w:pStyle w:val="TableText"/>
            </w:pPr>
            <w:r>
              <w:rPr>
                <w:b/>
              </w:rPr>
              <w:t>Store</w:t>
            </w:r>
          </w:p>
        </w:tc>
        <w:tc>
          <w:tcPr>
            <w:tcW w:type="dxa" w:w="3420"/>
            <w:tcMar>
              <w:top w:w="80" w:type="dxa"/>
              <w:bottom w:w="80" w:type="dxa"/>
              <w:start w:w="120" w:type="dxa"/>
              <w:end w:w="120" w:type="dxa"/>
            </w:tcMar>
            <w:shd w:fill="E8EEF5"/>
          </w:tcPr>
          <w:p>
            <w:pPr>
              <w:pStyle w:val="TableText"/>
            </w:pPr>
            <w:r>
              <w:rPr>
                <w:b/>
              </w:rPr>
              <w:t>Initial engineering budget</w:t>
            </w:r>
          </w:p>
        </w:tc>
        <w:tc>
          <w:tcPr>
            <w:tcW w:type="dxa" w:w="4240"/>
            <w:tcMar>
              <w:top w:w="80" w:type="dxa"/>
              <w:bottom w:w="80" w:type="dxa"/>
              <w:start w:w="120" w:type="dxa"/>
              <w:end w:w="120" w:type="dxa"/>
            </w:tcMar>
            <w:shd w:fill="E8EEF5"/>
          </w:tcPr>
          <w:p>
            <w:pPr>
              <w:pStyle w:val="TableText"/>
            </w:pPr>
            <w:r>
              <w:rPr>
                <w:b/>
              </w:rPr>
              <w:t>Policy / validation</w:t>
            </w:r>
          </w:p>
        </w:tc>
      </w:tr>
      <w:tr>
        <w:trPr>
          <w:cantSplit/>
        </w:trPr>
        <w:tc>
          <w:tcPr>
            <w:tcW w:type="dxa" w:w="1700"/>
            <w:tcMar>
              <w:top w:w="80" w:type="dxa"/>
              <w:bottom w:w="80" w:type="dxa"/>
              <w:start w:w="120" w:type="dxa"/>
              <w:end w:w="120" w:type="dxa"/>
            </w:tcMar>
          </w:tcPr>
          <w:p>
            <w:pPr>
              <w:pStyle w:val="TableText"/>
            </w:pPr>
            <w:r>
              <w:t>Node retained state</w:t>
            </w:r>
          </w:p>
        </w:tc>
        <w:tc>
          <w:tcPr>
            <w:tcW w:type="dxa" w:w="3420"/>
            <w:tcMar>
              <w:top w:w="80" w:type="dxa"/>
              <w:bottom w:w="80" w:type="dxa"/>
              <w:start w:w="120" w:type="dxa"/>
              <w:end w:w="120" w:type="dxa"/>
            </w:tcMar>
          </w:tcPr>
          <w:p>
            <w:pPr>
              <w:pStyle w:val="TableText"/>
            </w:pPr>
            <w:r>
              <w:t>8 serialized event slots ≤1 KB + bounded metadata</w:t>
            </w:r>
          </w:p>
        </w:tc>
        <w:tc>
          <w:tcPr>
            <w:tcW w:type="dxa" w:w="4240"/>
            <w:tcMar>
              <w:top w:w="80" w:type="dxa"/>
              <w:bottom w:w="80" w:type="dxa"/>
              <w:start w:w="120" w:type="dxa"/>
              <w:end w:w="120" w:type="dxa"/>
            </w:tcMar>
          </w:tcPr>
          <w:p>
            <w:pPr>
              <w:pStyle w:val="TableText"/>
            </w:pPr>
            <w:r>
              <w:t>Retain session/sequence across deep sleep. Measure actual RTC memory usage; no dynamic unbounded queue.</w:t>
            </w:r>
          </w:p>
        </w:tc>
      </w:tr>
      <w:tr>
        <w:trPr>
          <w:cantSplit/>
        </w:trPr>
        <w:tc>
          <w:tcPr>
            <w:tcW w:type="dxa" w:w="1700"/>
            <w:tcMar>
              <w:top w:w="80" w:type="dxa"/>
              <w:bottom w:w="80" w:type="dxa"/>
              <w:start w:w="120" w:type="dxa"/>
              <w:end w:w="120" w:type="dxa"/>
            </w:tcMar>
          </w:tcPr>
          <w:p>
            <w:pPr>
              <w:pStyle w:val="TableText"/>
            </w:pPr>
            <w:r>
              <w:t>Node flash ring</w:t>
            </w:r>
          </w:p>
        </w:tc>
        <w:tc>
          <w:tcPr>
            <w:tcW w:type="dxa" w:w="3420"/>
            <w:tcMar>
              <w:top w:w="80" w:type="dxa"/>
              <w:bottom w:w="80" w:type="dxa"/>
              <w:start w:w="120" w:type="dxa"/>
              <w:end w:w="120" w:type="dxa"/>
            </w:tcMar>
          </w:tcPr>
          <w:p>
            <w:pPr>
              <w:pStyle w:val="TableText"/>
            </w:pPr>
            <w:r>
              <w:t>Candidate 64 KB, subject to actual board capacity</w:t>
            </w:r>
          </w:p>
        </w:tc>
        <w:tc>
          <w:tcPr>
            <w:tcW w:type="dxa" w:w="4240"/>
            <w:tcMar>
              <w:top w:w="80" w:type="dxa"/>
              <w:bottom w:w="80" w:type="dxa"/>
              <w:start w:w="120" w:type="dxa"/>
              <w:end w:w="120" w:type="dxa"/>
            </w:tcMar>
          </w:tcPr>
          <w:p>
            <w:pPr>
              <w:pStyle w:val="TableText"/>
            </w:pPr>
            <w:r>
              <w:t>Business events only, with CRC/commit. Coalesce heartbeats; test wear and interrupted writes.</w:t>
            </w:r>
          </w:p>
        </w:tc>
      </w:tr>
      <w:tr>
        <w:trPr>
          <w:cantSplit/>
        </w:trPr>
        <w:tc>
          <w:tcPr>
            <w:tcW w:type="dxa" w:w="1700"/>
            <w:tcMar>
              <w:top w:w="80" w:type="dxa"/>
              <w:bottom w:w="80" w:type="dxa"/>
              <w:start w:w="120" w:type="dxa"/>
              <w:end w:w="120" w:type="dxa"/>
            </w:tcMar>
          </w:tcPr>
          <w:p>
            <w:pPr>
              <w:pStyle w:val="TableText"/>
            </w:pPr>
            <w:r>
              <w:t>Hub callback queues</w:t>
            </w:r>
          </w:p>
        </w:tc>
        <w:tc>
          <w:tcPr>
            <w:tcW w:type="dxa" w:w="3420"/>
            <w:tcMar>
              <w:top w:w="80" w:type="dxa"/>
              <w:bottom w:w="80" w:type="dxa"/>
              <w:start w:w="120" w:type="dxa"/>
              <w:end w:w="120" w:type="dxa"/>
            </w:tcMar>
          </w:tcPr>
          <w:p>
            <w:pPr>
              <w:pStyle w:val="TableText"/>
            </w:pPr>
            <w:r>
              <w:t>128 × 192-byte copied event slots ≈24 KB</w:t>
            </w:r>
          </w:p>
        </w:tc>
        <w:tc>
          <w:tcPr>
            <w:tcW w:type="dxa" w:w="4240"/>
            <w:tcMar>
              <w:top w:w="80" w:type="dxa"/>
              <w:bottom w:w="80" w:type="dxa"/>
              <w:start w:w="120" w:type="dxa"/>
              <w:end w:w="120" w:type="dxa"/>
            </w:tcMar>
          </w:tcPr>
          <w:p>
            <w:pPr>
              <w:pStyle w:val="TableText"/>
            </w:pPr>
            <w:r>
              <w:t>Admission control; reserve UI/incident capacity. Cap incoming wire packet and verify serialization overhead.</w:t>
            </w:r>
          </w:p>
        </w:tc>
      </w:tr>
      <w:tr>
        <w:trPr>
          <w:cantSplit/>
        </w:trPr>
        <w:tc>
          <w:tcPr>
            <w:tcW w:type="dxa" w:w="1700"/>
            <w:tcMar>
              <w:top w:w="80" w:type="dxa"/>
              <w:bottom w:w="80" w:type="dxa"/>
              <w:start w:w="120" w:type="dxa"/>
              <w:end w:w="120" w:type="dxa"/>
            </w:tcMar>
          </w:tcPr>
          <w:p>
            <w:pPr>
              <w:pStyle w:val="TableText"/>
            </w:pPr>
            <w:r>
              <w:t>Hub data ring</w:t>
            </w:r>
          </w:p>
        </w:tc>
        <w:tc>
          <w:tcPr>
            <w:tcW w:type="dxa" w:w="3420"/>
            <w:tcMar>
              <w:top w:w="80" w:type="dxa"/>
              <w:bottom w:w="80" w:type="dxa"/>
              <w:start w:w="120" w:type="dxa"/>
              <w:end w:w="120" w:type="dxa"/>
            </w:tcMar>
          </w:tcPr>
          <w:p>
            <w:pPr>
              <w:pStyle w:val="TableText"/>
            </w:pPr>
            <w:r>
              <w:t>Candidate 2 MB, with 25% operating reserve</w:t>
            </w:r>
          </w:p>
        </w:tc>
        <w:tc>
          <w:tcPr>
            <w:tcW w:type="dxa" w:w="4240"/>
            <w:tcMar>
              <w:top w:w="80" w:type="dxa"/>
              <w:bottom w:w="80" w:type="dxa"/>
              <w:start w:w="120" w:type="dxa"/>
              <w:end w:w="120" w:type="dxa"/>
            </w:tcMar>
          </w:tcPr>
          <w:p>
            <w:pPr>
              <w:pStyle w:val="TableText"/>
            </w:pPr>
            <w:r>
              <w:t>At 256 bytes/record, 75% holds 6,144 records. At 500 business events/day, raw event budget ≈12 days before extra metadata; prove ≥72 hours with actual records.</w:t>
            </w:r>
          </w:p>
        </w:tc>
      </w:tr>
      <w:tr>
        <w:trPr>
          <w:cantSplit/>
        </w:trPr>
        <w:tc>
          <w:tcPr>
            <w:tcW w:type="dxa" w:w="1700"/>
            <w:tcMar>
              <w:top w:w="80" w:type="dxa"/>
              <w:bottom w:w="80" w:type="dxa"/>
              <w:start w:w="120" w:type="dxa"/>
              <w:end w:w="120" w:type="dxa"/>
            </w:tcMar>
          </w:tcPr>
          <w:p>
            <w:pPr>
              <w:pStyle w:val="TableText"/>
            </w:pPr>
            <w:r>
              <w:t>Hub partitions</w:t>
            </w:r>
          </w:p>
        </w:tc>
        <w:tc>
          <w:tcPr>
            <w:tcW w:type="dxa" w:w="3420"/>
            <w:tcMar>
              <w:top w:w="80" w:type="dxa"/>
              <w:bottom w:w="80" w:type="dxa"/>
              <w:start w:w="120" w:type="dxa"/>
              <w:end w:w="120" w:type="dxa"/>
            </w:tcMar>
          </w:tcPr>
          <w:p>
            <w:pPr>
              <w:pStyle w:val="TableText"/>
            </w:pPr>
            <w:r>
              <w:t>Two OTA app slots + NVS + credentials + journal</w:t>
            </w:r>
          </w:p>
        </w:tc>
        <w:tc>
          <w:tcPr>
            <w:tcW w:type="dxa" w:w="4240"/>
            <w:tcMar>
              <w:top w:w="80" w:type="dxa"/>
              <w:bottom w:w="80" w:type="dxa"/>
              <w:start w:w="120" w:type="dxa"/>
              <w:end w:w="120" w:type="dxa"/>
            </w:tcMar>
          </w:tcPr>
          <w:p>
            <w:pPr>
              <w:pStyle w:val="TableText"/>
            </w:pPr>
            <w:r>
              <w:t>Compile/link map decides exact partition sizes. Do not allocate based only on the board’s printed N16R8 label.</w:t>
            </w:r>
          </w:p>
        </w:tc>
      </w:tr>
      <w:tr>
        <w:trPr>
          <w:cantSplit/>
        </w:trPr>
        <w:tc>
          <w:tcPr>
            <w:tcW w:type="dxa" w:w="1700"/>
            <w:tcMar>
              <w:top w:w="80" w:type="dxa"/>
              <w:bottom w:w="80" w:type="dxa"/>
              <w:start w:w="120" w:type="dxa"/>
              <w:end w:w="120" w:type="dxa"/>
            </w:tcMar>
          </w:tcPr>
          <w:p>
            <w:pPr>
              <w:pStyle w:val="TableText"/>
            </w:pPr>
            <w:r>
              <w:t>Backend events</w:t>
            </w:r>
          </w:p>
        </w:tc>
        <w:tc>
          <w:tcPr>
            <w:tcW w:type="dxa" w:w="3420"/>
            <w:tcMar>
              <w:top w:w="80" w:type="dxa"/>
              <w:bottom w:w="80" w:type="dxa"/>
              <w:start w:w="120" w:type="dxa"/>
              <w:end w:w="120" w:type="dxa"/>
            </w:tcMar>
          </w:tcPr>
          <w:p>
            <w:pPr>
              <w:pStyle w:val="TableText"/>
            </w:pPr>
            <w:r>
              <w:t>30-day raw activity default; window summaries 90 days</w:t>
            </w:r>
          </w:p>
        </w:tc>
        <w:tc>
          <w:tcPr>
            <w:tcW w:type="dxa" w:w="4240"/>
            <w:tcMar>
              <w:top w:w="80" w:type="dxa"/>
              <w:bottom w:w="80" w:type="dxa"/>
              <w:start w:w="120" w:type="dxa"/>
              <w:end w:w="120" w:type="dxa"/>
            </w:tcMar>
          </w:tcPr>
          <w:p>
            <w:pPr>
              <w:pStyle w:val="TableText"/>
            </w:pPr>
            <w:r>
              <w:t>Partition by month only when justified; minimize personal detail; see deletion policy.</w:t>
            </w:r>
          </w:p>
        </w:tc>
      </w:tr>
      <w:tr>
        <w:trPr>
          <w:cantSplit/>
        </w:trPr>
        <w:tc>
          <w:tcPr>
            <w:tcW w:type="dxa" w:w="1700"/>
            <w:tcMar>
              <w:top w:w="80" w:type="dxa"/>
              <w:bottom w:w="80" w:type="dxa"/>
              <w:start w:w="120" w:type="dxa"/>
              <w:end w:w="120" w:type="dxa"/>
            </w:tcMar>
          </w:tcPr>
          <w:p>
            <w:pPr>
              <w:pStyle w:val="TableText"/>
            </w:pPr>
            <w:r>
              <w:t>Incident/audit data</w:t>
            </w:r>
          </w:p>
        </w:tc>
        <w:tc>
          <w:tcPr>
            <w:tcW w:type="dxa" w:w="3420"/>
            <w:tcMar>
              <w:top w:w="80" w:type="dxa"/>
              <w:bottom w:w="80" w:type="dxa"/>
              <w:start w:w="120" w:type="dxa"/>
              <w:end w:w="120" w:type="dxa"/>
            </w:tcMar>
          </w:tcPr>
          <w:p>
            <w:pPr>
              <w:pStyle w:val="TableText"/>
            </w:pPr>
            <w:r>
              <w:t>90-day product history default; security metadata 180 days</w:t>
            </w:r>
          </w:p>
        </w:tc>
        <w:tc>
          <w:tcPr>
            <w:tcW w:type="dxa" w:w="4240"/>
            <w:tcMar>
              <w:top w:w="80" w:type="dxa"/>
              <w:bottom w:w="80" w:type="dxa"/>
              <w:start w:w="120" w:type="dxa"/>
              <w:end w:w="120" w:type="dxa"/>
            </w:tcMar>
          </w:tcPr>
          <w:p>
            <w:pPr>
              <w:pStyle w:val="TableText"/>
            </w:pPr>
            <w:r>
              <w:t>No permanent personal archive. Exact retention/obligations reviewed before launch.</w:t>
            </w:r>
          </w:p>
        </w:tc>
      </w:tr>
    </w:tbl>
    <w:p>
      <w:pPr>
        <w:pStyle w:val="TableSpacer"/>
      </w:pPr>
    </w:p>
    <w:p>
      <w:pPr>
        <w:pStyle w:val="SpecBody"/>
      </w:pPr>
      <w:r>
        <w:t>The hub’s 192-byte internal slot is a normalized record, not a promise that every possible 200-byte wire packet fits after copying. Validate/decode into the bounded internal type; reject unsupported payloads before enqueue or use a separately bounded raw buffer pool. Never memcpy an unchecked length. Under pressure, coalesce health samples and remove acknowledged/expired records first. If business records are lost, persist a gap marker where possible and invalidate absence eligibility.</w:t>
      </w:r>
    </w:p>
    <w:p>
      <w:pPr>
        <w:pStyle w:val="SpecBody"/>
      </w:pPr>
      <w:r>
        <w:t>Retain cloud-committed business records locally for at least 72 hours at the design workload even after retiring their outbox entries. After a backend restore, publish a new reconciliation epoch and request a bounded hub replay to recover available records. Missing older data is marked unknown; the 24-hour cloud backup RPO is not silently converted into complete history. Deduplication retention covers the maximum permitted replay period; reject ancient replays explicitly rather than creating new incidents.</w:t>
      </w:r>
    </w:p>
    <w:p>
      <w:bookmarkStart w:id="7" w:name="data"/>
      <w:pPr>
        <w:pStyle w:val="Heading1"/>
        <w:pageBreakBefore/>
      </w:pPr>
      <w:r>
        <w:t>7. Data model, APIs and security design</w:t>
      </w:r>
      <w:bookmarkEnd w:id="7"/>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490"/>
        <w:gridCol w:w="3650"/>
        <w:gridCol w:w="3220"/>
      </w:tblGrid>
      <w:tr>
        <w:trPr>
          <w:cantSplit/>
          <w:tblHeader/>
        </w:trPr>
        <w:tc>
          <w:tcPr>
            <w:tcW w:type="dxa" w:w="2490"/>
            <w:tcMar>
              <w:top w:w="80" w:type="dxa"/>
              <w:bottom w:w="80" w:type="dxa"/>
              <w:start w:w="120" w:type="dxa"/>
              <w:end w:w="120" w:type="dxa"/>
            </w:tcMar>
            <w:shd w:fill="E8EEF5"/>
          </w:tcPr>
          <w:p>
            <w:pPr>
              <w:pStyle w:val="TableText"/>
            </w:pPr>
            <w:r>
              <w:rPr>
                <w:b/>
              </w:rPr>
              <w:t>Entity / key</w:t>
            </w:r>
          </w:p>
        </w:tc>
        <w:tc>
          <w:tcPr>
            <w:tcW w:type="dxa" w:w="3650"/>
            <w:tcMar>
              <w:top w:w="80" w:type="dxa"/>
              <w:bottom w:w="80" w:type="dxa"/>
              <w:start w:w="120" w:type="dxa"/>
              <w:end w:w="120" w:type="dxa"/>
            </w:tcMar>
            <w:shd w:fill="E8EEF5"/>
          </w:tcPr>
          <w:p>
            <w:pPr>
              <w:pStyle w:val="TableText"/>
            </w:pPr>
            <w:r>
              <w:rPr>
                <w:b/>
              </w:rPr>
              <w:t>Important fields</w:t>
            </w:r>
          </w:p>
        </w:tc>
        <w:tc>
          <w:tcPr>
            <w:tcW w:type="dxa" w:w="3220"/>
            <w:tcMar>
              <w:top w:w="80" w:type="dxa"/>
              <w:bottom w:w="80" w:type="dxa"/>
              <w:start w:w="120" w:type="dxa"/>
              <w:end w:w="120" w:type="dxa"/>
            </w:tcMar>
            <w:shd w:fill="E8EEF5"/>
          </w:tcPr>
          <w:p>
            <w:pPr>
              <w:pStyle w:val="TableText"/>
            </w:pPr>
            <w:r>
              <w:rPr>
                <w:b/>
              </w:rPr>
              <w:t>Invariant</w:t>
            </w:r>
          </w:p>
        </w:tc>
      </w:tr>
      <w:tr>
        <w:trPr>
          <w:cantSplit/>
        </w:trPr>
        <w:tc>
          <w:tcPr>
            <w:tcW w:type="dxa" w:w="2490"/>
            <w:tcMar>
              <w:top w:w="80" w:type="dxa"/>
              <w:bottom w:w="80" w:type="dxa"/>
              <w:start w:w="120" w:type="dxa"/>
              <w:end w:w="120" w:type="dxa"/>
            </w:tcMar>
          </w:tcPr>
          <w:p>
            <w:pPr>
              <w:pStyle w:val="TableText"/>
            </w:pPr>
            <w:r>
              <w:t>homes / home_id</w:t>
            </w:r>
          </w:p>
        </w:tc>
        <w:tc>
          <w:tcPr>
            <w:tcW w:type="dxa" w:w="3650"/>
            <w:tcMar>
              <w:top w:w="80" w:type="dxa"/>
              <w:bottom w:w="80" w:type="dxa"/>
              <w:start w:w="120" w:type="dxa"/>
              <w:end w:w="120" w:type="dxa"/>
            </w:tcMar>
          </w:tcPr>
          <w:p>
            <w:pPr>
              <w:pStyle w:val="TableText"/>
            </w:pPr>
            <w:r>
              <w:t>timezone, locale, owner, status, retention_policy</w:t>
            </w:r>
          </w:p>
        </w:tc>
        <w:tc>
          <w:tcPr>
            <w:tcW w:type="dxa" w:w="3220"/>
            <w:tcMar>
              <w:top w:w="80" w:type="dxa"/>
              <w:bottom w:w="80" w:type="dxa"/>
              <w:start w:w="120" w:type="dxa"/>
              <w:end w:w="120" w:type="dxa"/>
            </w:tcMar>
          </w:tcPr>
          <w:p>
            <w:pPr>
              <w:pStyle w:val="TableText"/>
            </w:pPr>
            <w:r>
              <w:t>All household data references one home.</w:t>
            </w:r>
          </w:p>
        </w:tc>
      </w:tr>
      <w:tr>
        <w:trPr>
          <w:cantSplit/>
        </w:trPr>
        <w:tc>
          <w:tcPr>
            <w:tcW w:type="dxa" w:w="2490"/>
            <w:tcMar>
              <w:top w:w="80" w:type="dxa"/>
              <w:bottom w:w="80" w:type="dxa"/>
              <w:start w:w="120" w:type="dxa"/>
              <w:end w:w="120" w:type="dxa"/>
            </w:tcMar>
          </w:tcPr>
          <w:p>
            <w:pPr>
              <w:pStyle w:val="TableText"/>
            </w:pPr>
            <w:r>
              <w:t>memberships / home_id,user_id</w:t>
            </w:r>
          </w:p>
        </w:tc>
        <w:tc>
          <w:tcPr>
            <w:tcW w:type="dxa" w:w="3650"/>
            <w:tcMar>
              <w:top w:w="80" w:type="dxa"/>
              <w:bottom w:w="80" w:type="dxa"/>
              <w:start w:w="120" w:type="dxa"/>
              <w:end w:w="120" w:type="dxa"/>
            </w:tcMar>
          </w:tcPr>
          <w:p>
            <w:pPr>
              <w:pStyle w:val="TableText"/>
            </w:pPr>
            <w:r>
              <w:t>role, accepted_at, revoked_at, expires_at</w:t>
            </w:r>
          </w:p>
        </w:tc>
        <w:tc>
          <w:tcPr>
            <w:tcW w:type="dxa" w:w="3220"/>
            <w:tcMar>
              <w:top w:w="80" w:type="dxa"/>
              <w:bottom w:w="80" w:type="dxa"/>
              <w:start w:w="120" w:type="dxa"/>
              <w:end w:w="120" w:type="dxa"/>
            </w:tcMar>
          </w:tcPr>
          <w:p>
            <w:pPr>
              <w:pStyle w:val="TableText"/>
            </w:pPr>
            <w:r>
              <w:t>Invitation is not active access; check membership on every request.</w:t>
            </w:r>
          </w:p>
        </w:tc>
      </w:tr>
      <w:tr>
        <w:trPr>
          <w:cantSplit/>
        </w:trPr>
        <w:tc>
          <w:tcPr>
            <w:tcW w:type="dxa" w:w="2490"/>
            <w:tcMar>
              <w:top w:w="80" w:type="dxa"/>
              <w:bottom w:w="80" w:type="dxa"/>
              <w:start w:w="120" w:type="dxa"/>
              <w:end w:w="120" w:type="dxa"/>
            </w:tcMar>
          </w:tcPr>
          <w:p>
            <w:pPr>
              <w:pStyle w:val="TableText"/>
            </w:pPr>
            <w:r>
              <w:t>consent_records / consent_id</w:t>
            </w:r>
          </w:p>
        </w:tc>
        <w:tc>
          <w:tcPr>
            <w:tcW w:type="dxa" w:w="3650"/>
            <w:tcMar>
              <w:top w:w="80" w:type="dxa"/>
              <w:bottom w:w="80" w:type="dxa"/>
              <w:start w:w="120" w:type="dxa"/>
              <w:end w:w="120" w:type="dxa"/>
            </w:tcMar>
          </w:tcPr>
          <w:p>
            <w:pPr>
              <w:pStyle w:val="TableText"/>
            </w:pPr>
            <w:r>
              <w:t>home, version, purpose, method, captured_at, withdrawn_at</w:t>
            </w:r>
          </w:p>
        </w:tc>
        <w:tc>
          <w:tcPr>
            <w:tcW w:type="dxa" w:w="3220"/>
            <w:tcMar>
              <w:top w:w="80" w:type="dxa"/>
              <w:bottom w:w="80" w:type="dxa"/>
              <w:start w:w="120" w:type="dxa"/>
              <w:end w:w="120" w:type="dxa"/>
            </w:tcMar>
          </w:tcPr>
          <w:p>
            <w:pPr>
              <w:pStyle w:val="TableText"/>
            </w:pPr>
            <w:r>
              <w:t>Append consent history; withdrawal takes effect independently of deletion.</w:t>
            </w:r>
          </w:p>
        </w:tc>
      </w:tr>
      <w:tr>
        <w:trPr>
          <w:cantSplit/>
        </w:trPr>
        <w:tc>
          <w:tcPr>
            <w:tcW w:type="dxa" w:w="2490"/>
            <w:tcMar>
              <w:top w:w="80" w:type="dxa"/>
              <w:bottom w:w="80" w:type="dxa"/>
              <w:start w:w="120" w:type="dxa"/>
              <w:end w:w="120" w:type="dxa"/>
            </w:tcMar>
          </w:tcPr>
          <w:p>
            <w:pPr>
              <w:pStyle w:val="TableText"/>
            </w:pPr>
            <w:r>
              <w:t>devices / device_id</w:t>
            </w:r>
          </w:p>
        </w:tc>
        <w:tc>
          <w:tcPr>
            <w:tcW w:type="dxa" w:w="3650"/>
            <w:tcMar>
              <w:top w:w="80" w:type="dxa"/>
              <w:bottom w:w="80" w:type="dxa"/>
              <w:start w:w="120" w:type="dxa"/>
              <w:end w:w="120" w:type="dxa"/>
            </w:tcMar>
          </w:tcPr>
          <w:p>
            <w:pPr>
              <w:pStyle w:val="TableText"/>
            </w:pPr>
            <w:r>
              <w:t>home, type, location, certificate, authority_epoch, firmware</w:t>
            </w:r>
          </w:p>
        </w:tc>
        <w:tc>
          <w:tcPr>
            <w:tcW w:type="dxa" w:w="3220"/>
            <w:tcMar>
              <w:top w:w="80" w:type="dxa"/>
              <w:bottom w:w="80" w:type="dxa"/>
              <w:start w:w="120" w:type="dxa"/>
              <w:end w:w="120" w:type="dxa"/>
            </w:tcMar>
          </w:tcPr>
          <w:p>
            <w:pPr>
              <w:pStyle w:val="TableText"/>
            </w:pPr>
            <w:r>
              <w:t>At most one active authoritative hub/home; replacement is fenced.</w:t>
            </w:r>
          </w:p>
        </w:tc>
      </w:tr>
      <w:tr>
        <w:trPr>
          <w:cantSplit/>
        </w:trPr>
        <w:tc>
          <w:tcPr>
            <w:tcW w:type="dxa" w:w="2490"/>
            <w:tcMar>
              <w:top w:w="80" w:type="dxa"/>
              <w:bottom w:w="80" w:type="dxa"/>
              <w:start w:w="120" w:type="dxa"/>
              <w:end w:w="120" w:type="dxa"/>
            </w:tcMar>
          </w:tcPr>
          <w:p>
            <w:pPr>
              <w:pStyle w:val="TableText"/>
            </w:pPr>
            <w:r>
              <w:t>config_versions / home,version</w:t>
            </w:r>
          </w:p>
        </w:tc>
        <w:tc>
          <w:tcPr>
            <w:tcW w:type="dxa" w:w="3650"/>
            <w:tcMar>
              <w:top w:w="80" w:type="dxa"/>
              <w:bottom w:w="80" w:type="dxa"/>
              <w:start w:w="120" w:type="dxa"/>
              <w:end w:w="120" w:type="dxa"/>
            </w:tcMar>
          </w:tcPr>
          <w:p>
            <w:pPr>
              <w:pStyle w:val="TableText"/>
            </w:pPr>
            <w:r>
              <w:t>schema, body_hash, desired/applied, effective_at</w:t>
            </w:r>
          </w:p>
        </w:tc>
        <w:tc>
          <w:tcPr>
            <w:tcW w:type="dxa" w:w="3220"/>
            <w:tcMar>
              <w:top w:w="80" w:type="dxa"/>
              <w:bottom w:w="80" w:type="dxa"/>
              <w:start w:w="120" w:type="dxa"/>
              <w:end w:w="120" w:type="dxa"/>
            </w:tcMar>
          </w:tcPr>
          <w:p>
            <w:pPr>
              <w:pStyle w:val="TableText"/>
            </w:pPr>
            <w:r>
              <w:t>Immutable versions; node application is tracked separately.</w:t>
            </w:r>
          </w:p>
        </w:tc>
      </w:tr>
      <w:tr>
        <w:trPr>
          <w:cantSplit/>
        </w:trPr>
        <w:tc>
          <w:tcPr>
            <w:tcW w:type="dxa" w:w="2490"/>
            <w:tcMar>
              <w:top w:w="80" w:type="dxa"/>
              <w:bottom w:w="80" w:type="dxa"/>
              <w:start w:w="120" w:type="dxa"/>
              <w:end w:w="120" w:type="dxa"/>
            </w:tcMar>
          </w:tcPr>
          <w:p>
            <w:pPr>
              <w:pStyle w:val="TableText"/>
            </w:pPr>
            <w:r>
              <w:t>events / home,event_id</w:t>
            </w:r>
          </w:p>
        </w:tc>
        <w:tc>
          <w:tcPr>
            <w:tcW w:type="dxa" w:w="3650"/>
            <w:tcMar>
              <w:top w:w="80" w:type="dxa"/>
              <w:bottom w:w="80" w:type="dxa"/>
              <w:start w:w="120" w:type="dxa"/>
              <w:end w:w="120" w:type="dxa"/>
            </w:tcMar>
          </w:tcPr>
          <w:p>
            <w:pPr>
              <w:pStyle w:val="TableText"/>
            </w:pPr>
            <w:r>
              <w:t>source/session/seq, kind, times, time_quality, payload</w:t>
            </w:r>
          </w:p>
        </w:tc>
        <w:tc>
          <w:tcPr>
            <w:tcW w:type="dxa" w:w="3220"/>
            <w:tcMar>
              <w:top w:w="80" w:type="dxa"/>
              <w:bottom w:w="80" w:type="dxa"/>
              <w:start w:w="120" w:type="dxa"/>
              <w:end w:w="120" w:type="dxa"/>
            </w:tcMar>
          </w:tcPr>
          <w:p>
            <w:pPr>
              <w:pStyle w:val="TableText"/>
            </w:pPr>
            <w:r>
              <w:t>Unique idempotency key; store home from verified identity.</w:t>
            </w:r>
          </w:p>
        </w:tc>
      </w:tr>
      <w:tr>
        <w:trPr>
          <w:cantSplit/>
        </w:trPr>
        <w:tc>
          <w:tcPr>
            <w:tcW w:type="dxa" w:w="2490"/>
            <w:tcMar>
              <w:top w:w="80" w:type="dxa"/>
              <w:bottom w:w="80" w:type="dxa"/>
              <w:start w:w="120" w:type="dxa"/>
              <w:end w:w="120" w:type="dxa"/>
            </w:tcMar>
          </w:tcPr>
          <w:p>
            <w:pPr>
              <w:pStyle w:val="TableText"/>
            </w:pPr>
            <w:r>
              <w:t>coverage_intervals / interval_id</w:t>
            </w:r>
          </w:p>
        </w:tc>
        <w:tc>
          <w:tcPr>
            <w:tcW w:type="dxa" w:w="3650"/>
            <w:tcMar>
              <w:top w:w="80" w:type="dxa"/>
              <w:bottom w:w="80" w:type="dxa"/>
              <w:start w:w="120" w:type="dxa"/>
              <w:end w:w="120" w:type="dxa"/>
            </w:tcMar>
          </w:tcPr>
          <w:p>
            <w:pPr>
              <w:pStyle w:val="TableText"/>
            </w:pPr>
            <w:r>
              <w:t>home, node, start, end, cause, config_version</w:t>
            </w:r>
          </w:p>
        </w:tc>
        <w:tc>
          <w:tcPr>
            <w:tcW w:type="dxa" w:w="3220"/>
            <w:tcMar>
              <w:top w:w="80" w:type="dxa"/>
              <w:bottom w:w="80" w:type="dxa"/>
              <w:start w:w="120" w:type="dxa"/>
              <w:end w:w="120" w:type="dxa"/>
            </w:tcMar>
          </w:tcPr>
          <w:p>
            <w:pPr>
              <w:pStyle w:val="TableText"/>
            </w:pPr>
            <w:r>
              <w:t>Historical gaps are not overwritten by current recovery.</w:t>
            </w:r>
          </w:p>
        </w:tc>
      </w:tr>
      <w:tr>
        <w:trPr>
          <w:cantSplit/>
        </w:trPr>
        <w:tc>
          <w:tcPr>
            <w:tcW w:type="dxa" w:w="2490"/>
            <w:tcMar>
              <w:top w:w="80" w:type="dxa"/>
              <w:bottom w:w="80" w:type="dxa"/>
              <w:start w:w="120" w:type="dxa"/>
              <w:end w:w="120" w:type="dxa"/>
            </w:tcMar>
          </w:tcPr>
          <w:p>
            <w:pPr>
              <w:pStyle w:val="TableText"/>
            </w:pPr>
            <w:r>
              <w:t>routine_windows / home,window_id</w:t>
            </w:r>
          </w:p>
        </w:tc>
        <w:tc>
          <w:tcPr>
            <w:tcW w:type="dxa" w:w="3650"/>
            <w:tcMar>
              <w:top w:w="80" w:type="dxa"/>
              <w:bottom w:w="80" w:type="dxa"/>
              <w:start w:w="120" w:type="dxa"/>
              <w:end w:w="120" w:type="dxa"/>
            </w:tcMar>
          </w:tcPr>
          <w:p>
            <w:pPr>
              <w:pStyle w:val="TableText"/>
            </w:pPr>
            <w:r>
              <w:t>boundaries, evidence, outcome, revision, coverage summary</w:t>
            </w:r>
          </w:p>
        </w:tc>
        <w:tc>
          <w:tcPr>
            <w:tcW w:type="dxa" w:w="3220"/>
            <w:tcMar>
              <w:top w:w="80" w:type="dxa"/>
              <w:bottom w:w="80" w:type="dxa"/>
              <w:start w:w="120" w:type="dxa"/>
              <w:end w:w="120" w:type="dxa"/>
            </w:tcMar>
          </w:tcPr>
          <w:p>
            <w:pPr>
              <w:pStyle w:val="TableText"/>
            </w:pPr>
            <w:r>
              <w:t>One frozen configuration per window; retain outcome revisions.</w:t>
            </w:r>
          </w:p>
        </w:tc>
      </w:tr>
      <w:tr>
        <w:trPr>
          <w:cantSplit/>
        </w:trPr>
        <w:tc>
          <w:tcPr>
            <w:tcW w:type="dxa" w:w="2490"/>
            <w:tcMar>
              <w:top w:w="80" w:type="dxa"/>
              <w:bottom w:w="80" w:type="dxa"/>
              <w:start w:w="120" w:type="dxa"/>
              <w:end w:w="120" w:type="dxa"/>
            </w:tcMar>
          </w:tcPr>
          <w:p>
            <w:pPr>
              <w:pStyle w:val="TableText"/>
            </w:pPr>
            <w:r>
              <w:t>incidents / incident_id</w:t>
            </w:r>
          </w:p>
        </w:tc>
        <w:tc>
          <w:tcPr>
            <w:tcW w:type="dxa" w:w="3650"/>
            <w:tcMar>
              <w:top w:w="80" w:type="dxa"/>
              <w:bottom w:w="80" w:type="dxa"/>
              <w:start w:w="120" w:type="dxa"/>
              <w:end w:w="120" w:type="dxa"/>
            </w:tcMar>
          </w:tcPr>
          <w:p>
            <w:pPr>
              <w:pStyle w:val="TableText"/>
            </w:pPr>
            <w:r>
              <w:t>home, type, source/window, state, version, claim_until</w:t>
            </w:r>
          </w:p>
        </w:tc>
        <w:tc>
          <w:tcPr>
            <w:tcW w:type="dxa" w:w="3220"/>
            <w:tcMar>
              <w:top w:w="80" w:type="dxa"/>
              <w:bottom w:w="80" w:type="dxa"/>
              <w:start w:w="120" w:type="dxa"/>
              <w:end w:w="120" w:type="dxa"/>
            </w:tcMar>
          </w:tcPr>
          <w:p>
            <w:pPr>
              <w:pStyle w:val="TableText"/>
            </w:pPr>
            <w:r>
              <w:t>Stable origin ID; optimistic locking for human actions.</w:t>
            </w:r>
          </w:p>
        </w:tc>
      </w:tr>
      <w:tr>
        <w:trPr>
          <w:cantSplit/>
        </w:trPr>
        <w:tc>
          <w:tcPr>
            <w:tcW w:type="dxa" w:w="2490"/>
            <w:tcMar>
              <w:top w:w="80" w:type="dxa"/>
              <w:bottom w:w="80" w:type="dxa"/>
              <w:start w:w="120" w:type="dxa"/>
              <w:end w:w="120" w:type="dxa"/>
            </w:tcMar>
          </w:tcPr>
          <w:p>
            <w:pPr>
              <w:pStyle w:val="TableText"/>
            </w:pPr>
            <w:r>
              <w:t>incident_actions / action_id</w:t>
            </w:r>
          </w:p>
        </w:tc>
        <w:tc>
          <w:tcPr>
            <w:tcW w:type="dxa" w:w="3650"/>
            <w:tcMar>
              <w:top w:w="80" w:type="dxa"/>
              <w:bottom w:w="80" w:type="dxa"/>
              <w:start w:w="120" w:type="dxa"/>
              <w:end w:w="120" w:type="dxa"/>
            </w:tcMar>
          </w:tcPr>
          <w:p>
            <w:pPr>
              <w:pStyle w:val="TableText"/>
            </w:pPr>
            <w:r>
              <w:t>incident, actor, action, idempotency_key, time</w:t>
            </w:r>
          </w:p>
        </w:tc>
        <w:tc>
          <w:tcPr>
            <w:tcW w:type="dxa" w:w="3220"/>
            <w:tcMar>
              <w:top w:w="80" w:type="dxa"/>
              <w:bottom w:w="80" w:type="dxa"/>
              <w:start w:w="120" w:type="dxa"/>
              <w:end w:w="120" w:type="dxa"/>
            </w:tcMar>
          </w:tcPr>
          <w:p>
            <w:pPr>
              <w:pStyle w:val="TableText"/>
            </w:pPr>
            <w:r>
              <w:t>Append human actions; no implicit success from dialer launch.</w:t>
            </w:r>
          </w:p>
        </w:tc>
      </w:tr>
      <w:tr>
        <w:trPr>
          <w:cantSplit/>
        </w:trPr>
        <w:tc>
          <w:tcPr>
            <w:tcW w:type="dxa" w:w="2490"/>
            <w:tcMar>
              <w:top w:w="80" w:type="dxa"/>
              <w:bottom w:w="80" w:type="dxa"/>
              <w:start w:w="120" w:type="dxa"/>
              <w:end w:w="120" w:type="dxa"/>
            </w:tcMar>
          </w:tcPr>
          <w:p>
            <w:pPr>
              <w:pStyle w:val="TableText"/>
            </w:pPr>
            <w:r>
              <w:t>notification_jobs / job_id</w:t>
            </w:r>
          </w:p>
        </w:tc>
        <w:tc>
          <w:tcPr>
            <w:tcW w:type="dxa" w:w="3650"/>
            <w:tcMar>
              <w:top w:w="80" w:type="dxa"/>
              <w:bottom w:w="80" w:type="dxa"/>
              <w:start w:w="120" w:type="dxa"/>
              <w:end w:w="120" w:type="dxa"/>
            </w:tcMar>
          </w:tcPr>
          <w:p>
            <w:pPr>
              <w:pStyle w:val="TableText"/>
            </w:pPr>
            <w:r>
              <w:t>incident, recipient, stage, channel, next_at, lease_until</w:t>
            </w:r>
          </w:p>
        </w:tc>
        <w:tc>
          <w:tcPr>
            <w:tcW w:type="dxa" w:w="3220"/>
            <w:tcMar>
              <w:top w:w="80" w:type="dxa"/>
              <w:bottom w:w="80" w:type="dxa"/>
              <w:start w:w="120" w:type="dxa"/>
              <w:end w:w="120" w:type="dxa"/>
            </w:tcMar>
          </w:tcPr>
          <w:p>
            <w:pPr>
              <w:pStyle w:val="TableText"/>
            </w:pPr>
            <w:r>
              <w:t>Unique incident/recipient/stage/channel intent.</w:t>
            </w:r>
          </w:p>
        </w:tc>
      </w:tr>
      <w:tr>
        <w:trPr>
          <w:cantSplit/>
        </w:trPr>
        <w:tc>
          <w:tcPr>
            <w:tcW w:type="dxa" w:w="2490"/>
            <w:tcMar>
              <w:top w:w="80" w:type="dxa"/>
              <w:bottom w:w="80" w:type="dxa"/>
              <w:start w:w="120" w:type="dxa"/>
              <w:end w:w="120" w:type="dxa"/>
            </w:tcMar>
          </w:tcPr>
          <w:p>
            <w:pPr>
              <w:pStyle w:val="TableText"/>
            </w:pPr>
            <w:r>
              <w:t>delivery_attempts / attempt_id</w:t>
            </w:r>
          </w:p>
        </w:tc>
        <w:tc>
          <w:tcPr>
            <w:tcW w:type="dxa" w:w="3650"/>
            <w:tcMar>
              <w:top w:w="80" w:type="dxa"/>
              <w:bottom w:w="80" w:type="dxa"/>
              <w:start w:w="120" w:type="dxa"/>
              <w:end w:w="120" w:type="dxa"/>
            </w:tcMar>
          </w:tcPr>
          <w:p>
            <w:pPr>
              <w:pStyle w:val="TableText"/>
            </w:pPr>
            <w:r>
              <w:t>job, provider_result, error, submitted_at, receipt_at</w:t>
            </w:r>
          </w:p>
        </w:tc>
        <w:tc>
          <w:tcPr>
            <w:tcW w:type="dxa" w:w="3220"/>
            <w:tcMar>
              <w:top w:w="80" w:type="dxa"/>
              <w:bottom w:w="80" w:type="dxa"/>
              <w:start w:w="120" w:type="dxa"/>
              <w:end w:w="120" w:type="dxa"/>
            </w:tcMar>
          </w:tcPr>
          <w:p>
            <w:pPr>
              <w:pStyle w:val="TableText"/>
            </w:pPr>
            <w:r>
              <w:t>Transport and human acknowledgement remain distinct.</w:t>
            </w:r>
          </w:p>
        </w:tc>
      </w:tr>
      <w:tr>
        <w:trPr>
          <w:cantSplit/>
        </w:trPr>
        <w:tc>
          <w:tcPr>
            <w:tcW w:type="dxa" w:w="2490"/>
            <w:tcMar>
              <w:top w:w="80" w:type="dxa"/>
              <w:bottom w:w="80" w:type="dxa"/>
              <w:start w:w="120" w:type="dxa"/>
              <w:end w:w="120" w:type="dxa"/>
            </w:tcMar>
          </w:tcPr>
          <w:p>
            <w:pPr>
              <w:pStyle w:val="TableText"/>
            </w:pPr>
            <w:r>
              <w:t>outbox / id</w:t>
            </w:r>
          </w:p>
        </w:tc>
        <w:tc>
          <w:tcPr>
            <w:tcW w:type="dxa" w:w="3650"/>
            <w:tcMar>
              <w:top w:w="80" w:type="dxa"/>
              <w:bottom w:w="80" w:type="dxa"/>
              <w:start w:w="120" w:type="dxa"/>
              <w:end w:w="120" w:type="dxa"/>
            </w:tcMar>
          </w:tcPr>
          <w:p>
            <w:pPr>
              <w:pStyle w:val="TableText"/>
            </w:pPr>
            <w:r>
              <w:t>aggregate, payload, publish_state, attempts</w:t>
            </w:r>
          </w:p>
        </w:tc>
        <w:tc>
          <w:tcPr>
            <w:tcW w:type="dxa" w:w="3220"/>
            <w:tcMar>
              <w:top w:w="80" w:type="dxa"/>
              <w:bottom w:w="80" w:type="dxa"/>
              <w:start w:w="120" w:type="dxa"/>
              <w:end w:w="120" w:type="dxa"/>
            </w:tcMar>
          </w:tcPr>
          <w:p>
            <w:pPr>
              <w:pStyle w:val="TableText"/>
            </w:pPr>
            <w:r>
              <w:t>Transactionally created alongside the business change.</w:t>
            </w:r>
          </w:p>
        </w:tc>
      </w:tr>
      <w:tr>
        <w:trPr>
          <w:cantSplit/>
        </w:trPr>
        <w:tc>
          <w:tcPr>
            <w:tcW w:type="dxa" w:w="2490"/>
            <w:tcMar>
              <w:top w:w="80" w:type="dxa"/>
              <w:bottom w:w="80" w:type="dxa"/>
              <w:start w:w="120" w:type="dxa"/>
              <w:end w:w="120" w:type="dxa"/>
            </w:tcMar>
          </w:tcPr>
          <w:p>
            <w:pPr>
              <w:pStyle w:val="TableText"/>
            </w:pPr>
            <w:r>
              <w:t>push_subscriptions / id</w:t>
            </w:r>
          </w:p>
        </w:tc>
        <w:tc>
          <w:tcPr>
            <w:tcW w:type="dxa" w:w="3650"/>
            <w:tcMar>
              <w:top w:w="80" w:type="dxa"/>
              <w:bottom w:w="80" w:type="dxa"/>
              <w:start w:w="120" w:type="dxa"/>
              <w:end w:w="120" w:type="dxa"/>
            </w:tcMar>
          </w:tcPr>
          <w:p>
            <w:pPr>
              <w:pStyle w:val="TableText"/>
            </w:pPr>
            <w:r>
              <w:t>user, endpoint, encrypted credentials, status, tested_at</w:t>
            </w:r>
          </w:p>
        </w:tc>
        <w:tc>
          <w:tcPr>
            <w:tcW w:type="dxa" w:w="3220"/>
            <w:tcMar>
              <w:top w:w="80" w:type="dxa"/>
              <w:bottom w:w="80" w:type="dxa"/>
              <w:start w:w="120" w:type="dxa"/>
              <w:end w:w="120" w:type="dxa"/>
            </w:tcMar>
          </w:tcPr>
          <w:p>
            <w:pPr>
              <w:pStyle w:val="TableText"/>
            </w:pPr>
            <w:r>
              <w:t>Revoke invalid endpoint and removed member routing.</w:t>
            </w:r>
          </w:p>
        </w:tc>
      </w:tr>
      <w:tr>
        <w:trPr>
          <w:cantSplit/>
        </w:trPr>
        <w:tc>
          <w:tcPr>
            <w:tcW w:type="dxa" w:w="2490"/>
            <w:tcMar>
              <w:top w:w="80" w:type="dxa"/>
              <w:bottom w:w="80" w:type="dxa"/>
              <w:start w:w="120" w:type="dxa"/>
              <w:end w:w="120" w:type="dxa"/>
            </w:tcMar>
          </w:tcPr>
          <w:p>
            <w:pPr>
              <w:pStyle w:val="TableText"/>
            </w:pPr>
            <w:r>
              <w:t>audit + deletion_tombstones</w:t>
            </w:r>
          </w:p>
        </w:tc>
        <w:tc>
          <w:tcPr>
            <w:tcW w:type="dxa" w:w="3650"/>
            <w:tcMar>
              <w:top w:w="80" w:type="dxa"/>
              <w:bottom w:w="80" w:type="dxa"/>
              <w:start w:w="120" w:type="dxa"/>
              <w:end w:w="120" w:type="dxa"/>
            </w:tcMar>
          </w:tcPr>
          <w:p>
            <w:pPr>
              <w:pStyle w:val="TableText"/>
            </w:pPr>
            <w:r>
              <w:t>actor, action, target, expiry; deleted home IDs</w:t>
            </w:r>
          </w:p>
        </w:tc>
        <w:tc>
          <w:tcPr>
            <w:tcW w:type="dxa" w:w="3220"/>
            <w:tcMar>
              <w:top w:w="80" w:type="dxa"/>
              <w:bottom w:w="80" w:type="dxa"/>
              <w:start w:w="120" w:type="dxa"/>
              <w:end w:w="120" w:type="dxa"/>
            </w:tcMar>
          </w:tcPr>
          <w:p>
            <w:pPr>
              <w:pStyle w:val="TableText"/>
            </w:pPr>
            <w:r>
              <w:t>No secrets; tombstones prevent resurrection on restore.</w:t>
            </w:r>
          </w:p>
        </w:tc>
      </w:tr>
    </w:tbl>
    <w:p>
      <w:pPr>
        <w:pStyle w:val="TableSpacer"/>
      </w:pPr>
    </w:p>
    <w:p>
      <w:pPr>
        <w:pStyle w:val="SpecBody"/>
      </w:pPr>
      <w:r>
        <w:t>Indexes: events(home_id, occurred_at DESC, event_id); incidents(home_id, state, created_at DESC); jobs(state, next_at); memberships(user_id, home_id). All reads require home filtering; use cursor pagination, not unbounded history responses. Backend jobs acquire row leases with locking; committed unique keys are the final duplicate defense. A message broker alone cannot provide the transactional guarantees above.</w:t>
      </w:r>
    </w:p>
    <w:p>
      <w:pPr>
        <w:pStyle w:val="Heading2"/>
        <w:pageBreakBefore/>
      </w:pPr>
      <w:r>
        <w:t>REST, command and error surface</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3250"/>
        <w:gridCol w:w="2260"/>
        <w:gridCol w:w="3850"/>
      </w:tblGrid>
      <w:tr>
        <w:trPr>
          <w:cantSplit/>
          <w:tblHeader/>
        </w:trPr>
        <w:tc>
          <w:tcPr>
            <w:tcW w:type="dxa" w:w="3250"/>
            <w:tcMar>
              <w:top w:w="80" w:type="dxa"/>
              <w:bottom w:w="80" w:type="dxa"/>
              <w:start w:w="120" w:type="dxa"/>
              <w:end w:w="120" w:type="dxa"/>
            </w:tcMar>
            <w:shd w:fill="E8EEF5"/>
          </w:tcPr>
          <w:p>
            <w:pPr>
              <w:pStyle w:val="TableText"/>
            </w:pPr>
            <w:r>
              <w:rPr>
                <w:b/>
              </w:rPr>
              <w:t>Endpoint / command</w:t>
            </w:r>
          </w:p>
        </w:tc>
        <w:tc>
          <w:tcPr>
            <w:tcW w:type="dxa" w:w="2260"/>
            <w:tcMar>
              <w:top w:w="80" w:type="dxa"/>
              <w:bottom w:w="80" w:type="dxa"/>
              <w:start w:w="120" w:type="dxa"/>
              <w:end w:w="120" w:type="dxa"/>
            </w:tcMar>
            <w:shd w:fill="E8EEF5"/>
          </w:tcPr>
          <w:p>
            <w:pPr>
              <w:pStyle w:val="TableText"/>
            </w:pPr>
            <w:r>
              <w:rPr>
                <w:b/>
              </w:rPr>
              <w:t>Purpose</w:t>
            </w:r>
          </w:p>
        </w:tc>
        <w:tc>
          <w:tcPr>
            <w:tcW w:type="dxa" w:w="3850"/>
            <w:tcMar>
              <w:top w:w="80" w:type="dxa"/>
              <w:bottom w:w="80" w:type="dxa"/>
              <w:start w:w="120" w:type="dxa"/>
              <w:end w:w="120" w:type="dxa"/>
            </w:tcMar>
            <w:shd w:fill="E8EEF5"/>
          </w:tcPr>
          <w:p>
            <w:pPr>
              <w:pStyle w:val="TableText"/>
            </w:pPr>
            <w:r>
              <w:rPr>
                <w:b/>
              </w:rPr>
              <w:t>Access and behavior</w:t>
            </w:r>
          </w:p>
        </w:tc>
      </w:tr>
      <w:tr>
        <w:trPr>
          <w:cantSplit/>
        </w:trPr>
        <w:tc>
          <w:tcPr>
            <w:tcW w:type="dxa" w:w="3250"/>
            <w:tcMar>
              <w:top w:w="80" w:type="dxa"/>
              <w:bottom w:w="80" w:type="dxa"/>
              <w:start w:w="120" w:type="dxa"/>
              <w:end w:w="120" w:type="dxa"/>
            </w:tcMar>
          </w:tcPr>
          <w:p>
            <w:pPr>
              <w:pStyle w:val="TableText"/>
            </w:pPr>
            <w:r>
              <w:t>POST /v1/homes</w:t>
            </w:r>
          </w:p>
        </w:tc>
        <w:tc>
          <w:tcPr>
            <w:tcW w:type="dxa" w:w="2260"/>
            <w:tcMar>
              <w:top w:w="80" w:type="dxa"/>
              <w:bottom w:w="80" w:type="dxa"/>
              <w:start w:w="120" w:type="dxa"/>
              <w:end w:w="120" w:type="dxa"/>
            </w:tcMar>
          </w:tcPr>
          <w:p>
            <w:pPr>
              <w:pStyle w:val="TableText"/>
            </w:pPr>
            <w:r>
              <w:t>Create home</w:t>
            </w:r>
          </w:p>
        </w:tc>
        <w:tc>
          <w:tcPr>
            <w:tcW w:type="dxa" w:w="3850"/>
            <w:tcMar>
              <w:top w:w="80" w:type="dxa"/>
              <w:bottom w:w="80" w:type="dxa"/>
              <w:start w:w="120" w:type="dxa"/>
              <w:end w:w="120" w:type="dxa"/>
            </w:tcMar>
          </w:tcPr>
          <w:p>
            <w:pPr>
              <w:pStyle w:val="TableText"/>
            </w:pPr>
            <w:r>
              <w:t>Authenticated owner; validate timezone and defaults.</w:t>
            </w:r>
          </w:p>
        </w:tc>
      </w:tr>
      <w:tr>
        <w:trPr>
          <w:cantSplit/>
        </w:trPr>
        <w:tc>
          <w:tcPr>
            <w:tcW w:type="dxa" w:w="3250"/>
            <w:tcMar>
              <w:top w:w="80" w:type="dxa"/>
              <w:bottom w:w="80" w:type="dxa"/>
              <w:start w:w="120" w:type="dxa"/>
              <w:end w:w="120" w:type="dxa"/>
            </w:tcMar>
          </w:tcPr>
          <w:p>
            <w:pPr>
              <w:pStyle w:val="TableText"/>
            </w:pPr>
            <w:r>
              <w:t>POST /v1/homes/{id}/invites</w:t>
            </w:r>
          </w:p>
        </w:tc>
        <w:tc>
          <w:tcPr>
            <w:tcW w:type="dxa" w:w="2260"/>
            <w:tcMar>
              <w:top w:w="80" w:type="dxa"/>
              <w:bottom w:w="80" w:type="dxa"/>
              <w:start w:w="120" w:type="dxa"/>
              <w:end w:w="120" w:type="dxa"/>
            </w:tcMar>
          </w:tcPr>
          <w:p>
            <w:pPr>
              <w:pStyle w:val="TableText"/>
            </w:pPr>
            <w:r>
              <w:t>Invite caregiver/installer</w:t>
            </w:r>
          </w:p>
        </w:tc>
        <w:tc>
          <w:tcPr>
            <w:tcW w:type="dxa" w:w="3850"/>
            <w:tcMar>
              <w:top w:w="80" w:type="dxa"/>
              <w:bottom w:w="80" w:type="dxa"/>
              <w:start w:w="120" w:type="dxa"/>
              <w:end w:w="120" w:type="dxa"/>
            </w:tcMar>
          </w:tcPr>
          <w:p>
            <w:pPr>
              <w:pStyle w:val="TableText"/>
            </w:pPr>
            <w:r>
              <w:t>Owner only; single-use and expiring.</w:t>
            </w:r>
          </w:p>
        </w:tc>
      </w:tr>
      <w:tr>
        <w:trPr>
          <w:cantSplit/>
        </w:trPr>
        <w:tc>
          <w:tcPr>
            <w:tcW w:type="dxa" w:w="3250"/>
            <w:tcMar>
              <w:top w:w="80" w:type="dxa"/>
              <w:bottom w:w="80" w:type="dxa"/>
              <w:start w:w="120" w:type="dxa"/>
              <w:end w:w="120" w:type="dxa"/>
            </w:tcMar>
          </w:tcPr>
          <w:p>
            <w:pPr>
              <w:pStyle w:val="TableText"/>
            </w:pPr>
            <w:r>
              <w:t>POST /v1/homes/{id}/consent</w:t>
            </w:r>
          </w:p>
        </w:tc>
        <w:tc>
          <w:tcPr>
            <w:tcW w:type="dxa" w:w="2260"/>
            <w:tcMar>
              <w:top w:w="80" w:type="dxa"/>
              <w:bottom w:w="80" w:type="dxa"/>
              <w:start w:w="120" w:type="dxa"/>
              <w:end w:w="120" w:type="dxa"/>
            </w:tcMar>
          </w:tcPr>
          <w:p>
            <w:pPr>
              <w:pStyle w:val="TableText"/>
            </w:pPr>
            <w:r>
              <w:t>Record/withdraw consent</w:t>
            </w:r>
          </w:p>
        </w:tc>
        <w:tc>
          <w:tcPr>
            <w:tcW w:type="dxa" w:w="3850"/>
            <w:tcMar>
              <w:top w:w="80" w:type="dxa"/>
              <w:bottom w:w="80" w:type="dxa"/>
              <w:start w:w="120" w:type="dxa"/>
              <w:end w:w="120" w:type="dxa"/>
            </w:tcMar>
          </w:tcPr>
          <w:p>
            <w:pPr>
              <w:pStyle w:val="TableText"/>
            </w:pPr>
            <w:r>
              <w:t>Authorized resident-assisted workflow; record provenance.</w:t>
            </w:r>
          </w:p>
        </w:tc>
      </w:tr>
      <w:tr>
        <w:trPr>
          <w:cantSplit/>
        </w:trPr>
        <w:tc>
          <w:tcPr>
            <w:tcW w:type="dxa" w:w="3250"/>
            <w:tcMar>
              <w:top w:w="80" w:type="dxa"/>
              <w:bottom w:w="80" w:type="dxa"/>
              <w:start w:w="120" w:type="dxa"/>
              <w:end w:w="120" w:type="dxa"/>
            </w:tcMar>
          </w:tcPr>
          <w:p>
            <w:pPr>
              <w:pStyle w:val="TableText"/>
            </w:pPr>
            <w:r>
              <w:t>POST /v1/homes/{id}/claim-kit</w:t>
            </w:r>
          </w:p>
        </w:tc>
        <w:tc>
          <w:tcPr>
            <w:tcW w:type="dxa" w:w="2260"/>
            <w:tcMar>
              <w:top w:w="80" w:type="dxa"/>
              <w:bottom w:w="80" w:type="dxa"/>
              <w:start w:w="120" w:type="dxa"/>
              <w:end w:w="120" w:type="dxa"/>
            </w:tcMar>
          </w:tcPr>
          <w:p>
            <w:pPr>
              <w:pStyle w:val="TableText"/>
            </w:pPr>
            <w:r>
              <w:t>Bind kit</w:t>
            </w:r>
          </w:p>
        </w:tc>
        <w:tc>
          <w:tcPr>
            <w:tcW w:type="dxa" w:w="3850"/>
            <w:tcMar>
              <w:top w:w="80" w:type="dxa"/>
              <w:bottom w:w="80" w:type="dxa"/>
              <w:start w:w="120" w:type="dxa"/>
              <w:end w:w="120" w:type="dxa"/>
            </w:tcMar>
          </w:tcPr>
          <w:p>
            <w:pPr>
              <w:pStyle w:val="TableText"/>
            </w:pPr>
            <w:r>
              <w:t>One-use token + device proof + owner; no serial-only takeover.</w:t>
            </w:r>
          </w:p>
        </w:tc>
      </w:tr>
      <w:tr>
        <w:trPr>
          <w:cantSplit/>
        </w:trPr>
        <w:tc>
          <w:tcPr>
            <w:tcW w:type="dxa" w:w="3250"/>
            <w:tcMar>
              <w:top w:w="80" w:type="dxa"/>
              <w:bottom w:w="80" w:type="dxa"/>
              <w:start w:w="120" w:type="dxa"/>
              <w:end w:w="120" w:type="dxa"/>
            </w:tcMar>
          </w:tcPr>
          <w:p>
            <w:pPr>
              <w:pStyle w:val="TableText"/>
            </w:pPr>
            <w:r>
              <w:t>PUT /v1/homes/{id}/config</w:t>
            </w:r>
          </w:p>
        </w:tc>
        <w:tc>
          <w:tcPr>
            <w:tcW w:type="dxa" w:w="2260"/>
            <w:tcMar>
              <w:top w:w="80" w:type="dxa"/>
              <w:bottom w:w="80" w:type="dxa"/>
              <w:start w:w="120" w:type="dxa"/>
              <w:end w:w="120" w:type="dxa"/>
            </w:tcMar>
          </w:tcPr>
          <w:p>
            <w:pPr>
              <w:pStyle w:val="TableText"/>
            </w:pPr>
            <w:r>
              <w:t>Desired routine/device policy</w:t>
            </w:r>
          </w:p>
        </w:tc>
        <w:tc>
          <w:tcPr>
            <w:tcW w:type="dxa" w:w="3850"/>
            <w:tcMar>
              <w:top w:w="80" w:type="dxa"/>
              <w:bottom w:w="80" w:type="dxa"/>
              <w:start w:w="120" w:type="dxa"/>
              <w:end w:w="120" w:type="dxa"/>
            </w:tcMar>
          </w:tcPr>
          <w:p>
            <w:pPr>
              <w:pStyle w:val="TableText"/>
            </w:pPr>
            <w:r>
              <w:t>If-Match + idempotency key; 409 conflict; applied status separate.</w:t>
            </w:r>
          </w:p>
        </w:tc>
      </w:tr>
      <w:tr>
        <w:trPr>
          <w:cantSplit/>
        </w:trPr>
        <w:tc>
          <w:tcPr>
            <w:tcW w:type="dxa" w:w="3250"/>
            <w:tcMar>
              <w:top w:w="80" w:type="dxa"/>
              <w:bottom w:w="80" w:type="dxa"/>
              <w:start w:w="120" w:type="dxa"/>
              <w:end w:w="120" w:type="dxa"/>
            </w:tcMar>
          </w:tcPr>
          <w:p>
            <w:pPr>
              <w:pStyle w:val="TableText"/>
            </w:pPr>
            <w:r>
              <w:t>POST /v1/homes/{id}/mode</w:t>
            </w:r>
          </w:p>
        </w:tc>
        <w:tc>
          <w:tcPr>
            <w:tcW w:type="dxa" w:w="2260"/>
            <w:tcMar>
              <w:top w:w="80" w:type="dxa"/>
              <w:bottom w:w="80" w:type="dxa"/>
              <w:start w:w="120" w:type="dxa"/>
              <w:end w:w="120" w:type="dxa"/>
            </w:tcMar>
          </w:tcPr>
          <w:p>
            <w:pPr>
              <w:pStyle w:val="TableText"/>
            </w:pPr>
            <w:r>
              <w:t>Request away/pause/visitor</w:t>
            </w:r>
          </w:p>
        </w:tc>
        <w:tc>
          <w:tcPr>
            <w:tcW w:type="dxa" w:w="3850"/>
            <w:tcMar>
              <w:top w:w="80" w:type="dxa"/>
              <w:bottom w:w="80" w:type="dxa"/>
              <w:start w:w="120" w:type="dxa"/>
              <w:end w:w="120" w:type="dxa"/>
            </w:tcMar>
          </w:tcPr>
          <w:p>
            <w:pPr>
              <w:pStyle w:val="TableText"/>
            </w:pPr>
            <w:r>
              <w:t>Explicit scope/expiry; hub applied acknowledgement; cannot override physical privacy.</w:t>
            </w:r>
          </w:p>
        </w:tc>
      </w:tr>
      <w:tr>
        <w:trPr>
          <w:cantSplit/>
        </w:trPr>
        <w:tc>
          <w:tcPr>
            <w:tcW w:type="dxa" w:w="3250"/>
            <w:tcMar>
              <w:top w:w="80" w:type="dxa"/>
              <w:bottom w:w="80" w:type="dxa"/>
              <w:start w:w="120" w:type="dxa"/>
              <w:end w:w="120" w:type="dxa"/>
            </w:tcMar>
          </w:tcPr>
          <w:p>
            <w:pPr>
              <w:pStyle w:val="TableText"/>
            </w:pPr>
            <w:r>
              <w:t>GET /v1/homes/{id}/snapshot</w:t>
            </w:r>
          </w:p>
        </w:tc>
        <w:tc>
          <w:tcPr>
            <w:tcW w:type="dxa" w:w="2260"/>
            <w:tcMar>
              <w:top w:w="80" w:type="dxa"/>
              <w:bottom w:w="80" w:type="dxa"/>
              <w:start w:w="120" w:type="dxa"/>
              <w:end w:w="120" w:type="dxa"/>
            </w:tcMar>
          </w:tcPr>
          <w:p>
            <w:pPr>
              <w:pStyle w:val="TableText"/>
            </w:pPr>
            <w:r>
              <w:t>Evidence/coverage/incidents</w:t>
            </w:r>
          </w:p>
        </w:tc>
        <w:tc>
          <w:tcPr>
            <w:tcW w:type="dxa" w:w="3850"/>
            <w:tcMar>
              <w:top w:w="80" w:type="dxa"/>
              <w:bottom w:w="80" w:type="dxa"/>
              <w:start w:w="120" w:type="dxa"/>
              <w:end w:w="120" w:type="dxa"/>
            </w:tcMar>
          </w:tcPr>
          <w:p>
            <w:pPr>
              <w:pStyle w:val="TableText"/>
            </w:pPr>
            <w:r>
              <w:t>Current membership; includes as_of, hub_last_seen and revision.</w:t>
            </w:r>
          </w:p>
        </w:tc>
      </w:tr>
      <w:tr>
        <w:trPr>
          <w:cantSplit/>
        </w:trPr>
        <w:tc>
          <w:tcPr>
            <w:tcW w:type="dxa" w:w="3250"/>
            <w:tcMar>
              <w:top w:w="80" w:type="dxa"/>
              <w:bottom w:w="80" w:type="dxa"/>
              <w:start w:w="120" w:type="dxa"/>
              <w:end w:w="120" w:type="dxa"/>
            </w:tcMar>
          </w:tcPr>
          <w:p>
            <w:pPr>
              <w:pStyle w:val="TableText"/>
            </w:pPr>
            <w:r>
              <w:t>GET /v1/homes/{id}/events</w:t>
            </w:r>
          </w:p>
        </w:tc>
        <w:tc>
          <w:tcPr>
            <w:tcW w:type="dxa" w:w="2260"/>
            <w:tcMar>
              <w:top w:w="80" w:type="dxa"/>
              <w:bottom w:w="80" w:type="dxa"/>
              <w:start w:w="120" w:type="dxa"/>
              <w:end w:w="120" w:type="dxa"/>
            </w:tcMar>
          </w:tcPr>
          <w:p>
            <w:pPr>
              <w:pStyle w:val="TableText"/>
            </w:pPr>
            <w:r>
              <w:t>Cursor-paginated timeline</w:t>
            </w:r>
          </w:p>
        </w:tc>
        <w:tc>
          <w:tcPr>
            <w:tcW w:type="dxa" w:w="3850"/>
            <w:tcMar>
              <w:top w:w="80" w:type="dxa"/>
              <w:bottom w:w="80" w:type="dxa"/>
              <w:start w:w="120" w:type="dxa"/>
              <w:end w:w="120" w:type="dxa"/>
            </w:tcMar>
          </w:tcPr>
          <w:p>
            <w:pPr>
              <w:pStyle w:val="TableText"/>
            </w:pPr>
            <w:r>
              <w:t>Caregiver/owner; installer excluded by default.</w:t>
            </w:r>
          </w:p>
        </w:tc>
      </w:tr>
      <w:tr>
        <w:trPr>
          <w:cantSplit/>
        </w:trPr>
        <w:tc>
          <w:tcPr>
            <w:tcW w:type="dxa" w:w="3250"/>
            <w:tcMar>
              <w:top w:w="80" w:type="dxa"/>
              <w:bottom w:w="80" w:type="dxa"/>
              <w:start w:w="120" w:type="dxa"/>
              <w:end w:w="120" w:type="dxa"/>
            </w:tcMar>
          </w:tcPr>
          <w:p>
            <w:pPr>
              <w:pStyle w:val="TableText"/>
            </w:pPr>
            <w:r>
              <w:t>GET /v1/homes/{id}/stream</w:t>
            </w:r>
          </w:p>
        </w:tc>
        <w:tc>
          <w:tcPr>
            <w:tcW w:type="dxa" w:w="2260"/>
            <w:tcMar>
              <w:top w:w="80" w:type="dxa"/>
              <w:bottom w:w="80" w:type="dxa"/>
              <w:start w:w="120" w:type="dxa"/>
              <w:end w:w="120" w:type="dxa"/>
            </w:tcMar>
          </w:tcPr>
          <w:p>
            <w:pPr>
              <w:pStyle w:val="TableText"/>
            </w:pPr>
            <w:r>
              <w:t>SSE change hints</w:t>
            </w:r>
          </w:p>
        </w:tc>
        <w:tc>
          <w:tcPr>
            <w:tcW w:type="dxa" w:w="3850"/>
            <w:tcMar>
              <w:top w:w="80" w:type="dxa"/>
              <w:bottom w:w="80" w:type="dxa"/>
              <w:start w:w="120" w:type="dxa"/>
              <w:end w:w="120" w:type="dxa"/>
            </w:tcMar>
          </w:tcPr>
          <w:p>
            <w:pPr>
              <w:pStyle w:val="TableText"/>
            </w:pPr>
            <w:r>
              <w:t>Authorized and periodically rechecked; disconnect on revocation.</w:t>
            </w:r>
          </w:p>
        </w:tc>
      </w:tr>
      <w:tr>
        <w:trPr>
          <w:cantSplit/>
        </w:trPr>
        <w:tc>
          <w:tcPr>
            <w:tcW w:type="dxa" w:w="3250"/>
            <w:tcMar>
              <w:top w:w="80" w:type="dxa"/>
              <w:bottom w:w="80" w:type="dxa"/>
              <w:start w:w="120" w:type="dxa"/>
              <w:end w:w="120" w:type="dxa"/>
            </w:tcMar>
          </w:tcPr>
          <w:p>
            <w:pPr>
              <w:pStyle w:val="TableText"/>
            </w:pPr>
            <w:r>
              <w:t>POST /v1/incidents/{id}/actions</w:t>
            </w:r>
          </w:p>
        </w:tc>
        <w:tc>
          <w:tcPr>
            <w:tcW w:type="dxa" w:w="2260"/>
            <w:tcMar>
              <w:top w:w="80" w:type="dxa"/>
              <w:bottom w:w="80" w:type="dxa"/>
              <w:start w:w="120" w:type="dxa"/>
              <w:end w:w="120" w:type="dxa"/>
            </w:tcMar>
          </w:tcPr>
          <w:p>
            <w:pPr>
              <w:pStyle w:val="TableText"/>
            </w:pPr>
            <w:r>
              <w:t>Claim/contacted/unreachable</w:t>
            </w:r>
          </w:p>
        </w:tc>
        <w:tc>
          <w:tcPr>
            <w:tcW w:type="dxa" w:w="3850"/>
            <w:tcMar>
              <w:top w:w="80" w:type="dxa"/>
              <w:bottom w:w="80" w:type="dxa"/>
              <w:start w:w="120" w:type="dxa"/>
              <w:end w:w="120" w:type="dxa"/>
            </w:tcMar>
          </w:tcPr>
          <w:p>
            <w:pPr>
              <w:pStyle w:val="TableText"/>
            </w:pPr>
            <w:r>
              <w:t>Membership + version + idempotency key; audit transaction.</w:t>
            </w:r>
          </w:p>
        </w:tc>
      </w:tr>
      <w:tr>
        <w:trPr>
          <w:cantSplit/>
        </w:trPr>
        <w:tc>
          <w:tcPr>
            <w:tcW w:type="dxa" w:w="3250"/>
            <w:tcMar>
              <w:top w:w="80" w:type="dxa"/>
              <w:bottom w:w="80" w:type="dxa"/>
              <w:start w:w="120" w:type="dxa"/>
              <w:end w:w="120" w:type="dxa"/>
            </w:tcMar>
          </w:tcPr>
          <w:p>
            <w:pPr>
              <w:pStyle w:val="TableText"/>
            </w:pPr>
            <w:r>
              <w:t>POST /v1/push-subscriptions</w:t>
            </w:r>
          </w:p>
        </w:tc>
        <w:tc>
          <w:tcPr>
            <w:tcW w:type="dxa" w:w="2260"/>
            <w:tcMar>
              <w:top w:w="80" w:type="dxa"/>
              <w:bottom w:w="80" w:type="dxa"/>
              <w:start w:w="120" w:type="dxa"/>
              <w:end w:w="120" w:type="dxa"/>
            </w:tcMar>
          </w:tcPr>
          <w:p>
            <w:pPr>
              <w:pStyle w:val="TableText"/>
            </w:pPr>
            <w:r>
              <w:t>Register/test push</w:t>
            </w:r>
          </w:p>
        </w:tc>
        <w:tc>
          <w:tcPr>
            <w:tcW w:type="dxa" w:w="3850"/>
            <w:tcMar>
              <w:top w:w="80" w:type="dxa"/>
              <w:bottom w:w="80" w:type="dxa"/>
              <w:start w:w="120" w:type="dxa"/>
              <w:end w:w="120" w:type="dxa"/>
            </w:tcMar>
          </w:tcPr>
          <w:p>
            <w:pPr>
              <w:pStyle w:val="TableText"/>
            </w:pPr>
            <w:r>
              <w:t>Authenticated own user; permission test and confirmation.</w:t>
            </w:r>
          </w:p>
        </w:tc>
      </w:tr>
      <w:tr>
        <w:trPr>
          <w:cantSplit/>
        </w:trPr>
        <w:tc>
          <w:tcPr>
            <w:tcW w:type="dxa" w:w="3250"/>
            <w:tcMar>
              <w:top w:w="80" w:type="dxa"/>
              <w:bottom w:w="80" w:type="dxa"/>
              <w:start w:w="120" w:type="dxa"/>
              <w:end w:w="120" w:type="dxa"/>
            </w:tcMar>
          </w:tcPr>
          <w:p>
            <w:pPr>
              <w:pStyle w:val="TableText"/>
            </w:pPr>
            <w:r>
              <w:t>POST /v1/homes/{id}/exports</w:t>
            </w:r>
          </w:p>
        </w:tc>
        <w:tc>
          <w:tcPr>
            <w:tcW w:type="dxa" w:w="2260"/>
            <w:tcMar>
              <w:top w:w="80" w:type="dxa"/>
              <w:bottom w:w="80" w:type="dxa"/>
              <w:start w:w="120" w:type="dxa"/>
              <w:end w:w="120" w:type="dxa"/>
            </w:tcMar>
          </w:tcPr>
          <w:p>
            <w:pPr>
              <w:pStyle w:val="TableText"/>
            </w:pPr>
            <w:r>
              <w:t>Time-limited diagnostic/export</w:t>
            </w:r>
          </w:p>
        </w:tc>
        <w:tc>
          <w:tcPr>
            <w:tcW w:type="dxa" w:w="3850"/>
            <w:tcMar>
              <w:top w:w="80" w:type="dxa"/>
              <w:bottom w:w="80" w:type="dxa"/>
              <w:start w:w="120" w:type="dxa"/>
              <w:end w:w="120" w:type="dxa"/>
            </w:tcMar>
          </w:tcPr>
          <w:p>
            <w:pPr>
              <w:pStyle w:val="TableText"/>
            </w:pPr>
            <w:r>
              <w:t>Explicit authorization; redaction and expiry.</w:t>
            </w:r>
          </w:p>
        </w:tc>
      </w:tr>
      <w:tr>
        <w:trPr>
          <w:cantSplit/>
        </w:trPr>
        <w:tc>
          <w:tcPr>
            <w:tcW w:type="dxa" w:w="3250"/>
            <w:tcMar>
              <w:top w:w="80" w:type="dxa"/>
              <w:bottom w:w="80" w:type="dxa"/>
              <w:start w:w="120" w:type="dxa"/>
              <w:end w:w="120" w:type="dxa"/>
            </w:tcMar>
          </w:tcPr>
          <w:p>
            <w:pPr>
              <w:pStyle w:val="TableText"/>
            </w:pPr>
            <w:r>
              <w:t>DELETE /v1/homes/{id}</w:t>
            </w:r>
          </w:p>
        </w:tc>
        <w:tc>
          <w:tcPr>
            <w:tcW w:type="dxa" w:w="2260"/>
            <w:tcMar>
              <w:top w:w="80" w:type="dxa"/>
              <w:bottom w:w="80" w:type="dxa"/>
              <w:start w:w="120" w:type="dxa"/>
              <w:end w:w="120" w:type="dxa"/>
            </w:tcMar>
          </w:tcPr>
          <w:p>
            <w:pPr>
              <w:pStyle w:val="TableText"/>
            </w:pPr>
            <w:r>
              <w:t>Decommission/delete request</w:t>
            </w:r>
          </w:p>
        </w:tc>
        <w:tc>
          <w:tcPr>
            <w:tcW w:type="dxa" w:w="3850"/>
            <w:tcMar>
              <w:top w:w="80" w:type="dxa"/>
              <w:bottom w:w="80" w:type="dxa"/>
              <w:start w:w="120" w:type="dxa"/>
              <w:end w:w="120" w:type="dxa"/>
            </w:tcMar>
          </w:tcPr>
          <w:p>
            <w:pPr>
              <w:pStyle w:val="TableText"/>
            </w:pPr>
            <w:r>
              <w:t>Owner flow with resident rights handling; disable routing and revoke devices.</w:t>
            </w:r>
          </w:p>
        </w:tc>
      </w:tr>
      <w:tr>
        <w:trPr>
          <w:cantSplit/>
        </w:trPr>
        <w:tc>
          <w:tcPr>
            <w:tcW w:type="dxa" w:w="3250"/>
            <w:tcMar>
              <w:top w:w="80" w:type="dxa"/>
              <w:bottom w:w="80" w:type="dxa"/>
              <w:start w:w="120" w:type="dxa"/>
              <w:end w:w="120" w:type="dxa"/>
            </w:tcMar>
          </w:tcPr>
          <w:p>
            <w:pPr>
              <w:pStyle w:val="TableText"/>
            </w:pPr>
            <w:r>
              <w:t>Device CONFIG_APPLY / TIME_ANCHOR / UPDATE_OFFER</w:t>
            </w:r>
          </w:p>
        </w:tc>
        <w:tc>
          <w:tcPr>
            <w:tcW w:type="dxa" w:w="2260"/>
            <w:tcMar>
              <w:top w:w="80" w:type="dxa"/>
              <w:bottom w:w="80" w:type="dxa"/>
              <w:start w:w="120" w:type="dxa"/>
              <w:end w:w="120" w:type="dxa"/>
            </w:tcMar>
          </w:tcPr>
          <w:p>
            <w:pPr>
              <w:pStyle w:val="TableText"/>
            </w:pPr>
            <w:r>
              <w:t>Versioned transport commands</w:t>
            </w:r>
          </w:p>
        </w:tc>
        <w:tc>
          <w:tcPr>
            <w:tcW w:type="dxa" w:w="3850"/>
            <w:tcMar>
              <w:top w:w="80" w:type="dxa"/>
              <w:bottom w:w="80" w:type="dxa"/>
              <w:start w:w="120" w:type="dxa"/>
              <w:end w:w="120" w:type="dxa"/>
            </w:tcMar>
          </w:tcPr>
          <w:p>
            <w:pPr>
              <w:pStyle w:val="TableText"/>
            </w:pPr>
            <w:r>
              <w:t>Target ID, command ID, schema, issue/expiry and result acknowledgement.</w:t>
            </w:r>
          </w:p>
        </w:tc>
      </w:tr>
    </w:tbl>
    <w:p>
      <w:pPr>
        <w:pStyle w:val="TableSpacer"/>
      </w:pPr>
    </w:p>
    <w:p>
      <w:pPr>
        <w:pStyle w:val="SpecBody"/>
      </w:pPr>
      <w:r>
        <w:t>Standard errors: 400 malformed, 401 expired/invalid authentication, 403 forbidden (or 404 when hiding existence), 409 version/state conflict, 422 valid JSON but invalid configuration, 429 rate limited, 503 service unavailable. Return a stable error_code, safe message, request_id and retry_after when relevant; do not leak another home’s identifiers or secrets.</w:t>
      </w:r>
    </w:p>
    <w:p>
      <w:pPr>
        <w:pStyle w:val="Code"/>
        <w:keepLines/>
      </w:pPr>
      <w:r>
        <w:t>POST /v1/incidents/abc/actions</w:t>
        <w:br/>
        <w:t>Idempotency-Key: 8f...   If-Match: "7"</w:t>
        <w:br/>
        <w:t>{"action":"CLAIM","client_action_id":"8f..."}</w:t>
        <w:br/>
        <w:t>→ {"incident_id":"abc","version":8,"state":"CLAIMED",</w:t>
        <w:br/>
        <w:t xml:space="preserve">   "claim_until":"2026-09-03T04:00:00Z","actor_id":"u123"}</w:t>
      </w:r>
    </w:p>
    <w:p>
      <w:pPr>
        <w:pStyle w:val="Heading2"/>
        <w:pageBreakBefore/>
      </w:pPr>
      <w:r>
        <w:t>Security boundaries and privacy lifecycle</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370"/>
        <w:gridCol w:w="3820"/>
        <w:gridCol w:w="3170"/>
      </w:tblGrid>
      <w:tr>
        <w:trPr>
          <w:cantSplit/>
          <w:tblHeader/>
        </w:trPr>
        <w:tc>
          <w:tcPr>
            <w:tcW w:type="dxa" w:w="2370"/>
            <w:tcMar>
              <w:top w:w="80" w:type="dxa"/>
              <w:bottom w:w="80" w:type="dxa"/>
              <w:start w:w="120" w:type="dxa"/>
              <w:end w:w="120" w:type="dxa"/>
            </w:tcMar>
            <w:shd w:fill="E8EEF5"/>
          </w:tcPr>
          <w:p>
            <w:pPr>
              <w:pStyle w:val="TableText"/>
            </w:pPr>
            <w:r>
              <w:rPr>
                <w:b/>
              </w:rPr>
              <w:t>Threat / boundary</w:t>
            </w:r>
          </w:p>
        </w:tc>
        <w:tc>
          <w:tcPr>
            <w:tcW w:type="dxa" w:w="3820"/>
            <w:tcMar>
              <w:top w:w="80" w:type="dxa"/>
              <w:bottom w:w="80" w:type="dxa"/>
              <w:start w:w="120" w:type="dxa"/>
              <w:end w:w="120" w:type="dxa"/>
            </w:tcMar>
            <w:shd w:fill="E8EEF5"/>
          </w:tcPr>
          <w:p>
            <w:pPr>
              <w:pStyle w:val="TableText"/>
            </w:pPr>
            <w:r>
              <w:rPr>
                <w:b/>
              </w:rPr>
              <w:t>P0 control</w:t>
            </w:r>
          </w:p>
        </w:tc>
        <w:tc>
          <w:tcPr>
            <w:tcW w:type="dxa" w:w="3170"/>
            <w:tcMar>
              <w:top w:w="80" w:type="dxa"/>
              <w:bottom w:w="80" w:type="dxa"/>
              <w:start w:w="120" w:type="dxa"/>
              <w:end w:w="120" w:type="dxa"/>
            </w:tcMar>
            <w:shd w:fill="E8EEF5"/>
          </w:tcPr>
          <w:p>
            <w:pPr>
              <w:pStyle w:val="TableText"/>
            </w:pPr>
            <w:r>
              <w:rPr>
                <w:b/>
              </w:rPr>
              <w:t>Proof required</w:t>
            </w:r>
          </w:p>
        </w:tc>
      </w:tr>
      <w:tr>
        <w:trPr>
          <w:cantSplit/>
        </w:trPr>
        <w:tc>
          <w:tcPr>
            <w:tcW w:type="dxa" w:w="2370"/>
            <w:tcMar>
              <w:top w:w="80" w:type="dxa"/>
              <w:bottom w:w="80" w:type="dxa"/>
              <w:start w:w="120" w:type="dxa"/>
              <w:end w:w="120" w:type="dxa"/>
            </w:tcMar>
          </w:tcPr>
          <w:p>
            <w:pPr>
              <w:pStyle w:val="TableText"/>
            </w:pPr>
            <w:r>
              <w:t>Unauthorized local peer</w:t>
            </w:r>
          </w:p>
        </w:tc>
        <w:tc>
          <w:tcPr>
            <w:tcW w:type="dxa" w:w="3820"/>
            <w:tcMar>
              <w:top w:w="80" w:type="dxa"/>
              <w:bottom w:w="80" w:type="dxa"/>
              <w:start w:w="120" w:type="dxa"/>
              <w:end w:w="120" w:type="dxa"/>
            </w:tcMar>
          </w:tcPr>
          <w:p>
            <w:pPr>
              <w:pStyle w:val="TableText"/>
            </w:pPr>
            <w:r>
              <w:t>Per-peer encrypted unicast; authenticated session; physical provisioning.</w:t>
            </w:r>
          </w:p>
        </w:tc>
        <w:tc>
          <w:tcPr>
            <w:tcW w:type="dxa" w:w="3170"/>
            <w:tcMar>
              <w:top w:w="80" w:type="dxa"/>
              <w:bottom w:w="80" w:type="dxa"/>
              <w:start w:w="120" w:type="dxa"/>
              <w:end w:w="120" w:type="dxa"/>
            </w:tcMar>
          </w:tcPr>
          <w:p>
            <w:pPr>
              <w:pStyle w:val="TableText"/>
            </w:pPr>
            <w:r>
              <w:t>Spoof MAC/ID/session; reject without contaminating evidence.</w:t>
            </w:r>
          </w:p>
        </w:tc>
      </w:tr>
      <w:tr>
        <w:trPr>
          <w:cantSplit/>
        </w:trPr>
        <w:tc>
          <w:tcPr>
            <w:tcW w:type="dxa" w:w="2370"/>
            <w:tcMar>
              <w:top w:w="80" w:type="dxa"/>
              <w:bottom w:w="80" w:type="dxa"/>
              <w:start w:w="120" w:type="dxa"/>
              <w:end w:w="120" w:type="dxa"/>
            </w:tcMar>
          </w:tcPr>
          <w:p>
            <w:pPr>
              <w:pStyle w:val="TableText"/>
            </w:pPr>
            <w:r>
              <w:t>Cross-home API or broker access</w:t>
            </w:r>
          </w:p>
        </w:tc>
        <w:tc>
          <w:tcPr>
            <w:tcW w:type="dxa" w:w="3820"/>
            <w:tcMar>
              <w:top w:w="80" w:type="dxa"/>
              <w:bottom w:w="80" w:type="dxa"/>
              <w:start w:w="120" w:type="dxa"/>
              <w:end w:w="120" w:type="dxa"/>
            </w:tcMar>
          </w:tcPr>
          <w:p>
            <w:pPr>
              <w:pStyle w:val="TableText"/>
            </w:pPr>
            <w:r>
              <w:t>Membership check + topic ACL + non-owner RLS role.</w:t>
            </w:r>
          </w:p>
        </w:tc>
        <w:tc>
          <w:tcPr>
            <w:tcW w:type="dxa" w:w="3170"/>
            <w:tcMar>
              <w:top w:w="80" w:type="dxa"/>
              <w:bottom w:w="80" w:type="dxa"/>
              <w:start w:w="120" w:type="dxa"/>
              <w:end w:w="120" w:type="dxa"/>
            </w:tcMar>
          </w:tcPr>
          <w:p>
            <w:pPr>
              <w:pStyle w:val="TableText"/>
            </w:pPr>
            <w:r>
              <w:t>Negative test matrix across API, SSE, exports and MQTT topics [S7].</w:t>
            </w:r>
          </w:p>
        </w:tc>
      </w:tr>
      <w:tr>
        <w:trPr>
          <w:cantSplit/>
        </w:trPr>
        <w:tc>
          <w:tcPr>
            <w:tcW w:type="dxa" w:w="2370"/>
            <w:tcMar>
              <w:top w:w="80" w:type="dxa"/>
              <w:bottom w:w="80" w:type="dxa"/>
              <w:start w:w="120" w:type="dxa"/>
              <w:end w:w="120" w:type="dxa"/>
            </w:tcMar>
          </w:tcPr>
          <w:p>
            <w:pPr>
              <w:pStyle w:val="TableText"/>
            </w:pPr>
            <w:r>
              <w:t>Malicious/stale command</w:t>
            </w:r>
          </w:p>
        </w:tc>
        <w:tc>
          <w:tcPr>
            <w:tcW w:type="dxa" w:w="3820"/>
            <w:tcMar>
              <w:top w:w="80" w:type="dxa"/>
              <w:bottom w:w="80" w:type="dxa"/>
              <w:start w:w="120" w:type="dxa"/>
              <w:end w:w="120" w:type="dxa"/>
            </w:tcMar>
          </w:tcPr>
          <w:p>
            <w:pPr>
              <w:pStyle w:val="TableText"/>
            </w:pPr>
            <w:r>
              <w:t>Certificate/TLS validation; target/version/expiry/idempotency checks.</w:t>
            </w:r>
          </w:p>
        </w:tc>
        <w:tc>
          <w:tcPr>
            <w:tcW w:type="dxa" w:w="3170"/>
            <w:tcMar>
              <w:top w:w="80" w:type="dxa"/>
              <w:bottom w:w="80" w:type="dxa"/>
              <w:start w:w="120" w:type="dxa"/>
              <w:end w:w="120" w:type="dxa"/>
            </w:tcMar>
          </w:tcPr>
          <w:p>
            <w:pPr>
              <w:pStyle w:val="TableText"/>
            </w:pPr>
            <w:r>
              <w:t>Replay, oversized payload and expired command tests.</w:t>
            </w:r>
          </w:p>
        </w:tc>
      </w:tr>
      <w:tr>
        <w:trPr>
          <w:cantSplit/>
        </w:trPr>
        <w:tc>
          <w:tcPr>
            <w:tcW w:type="dxa" w:w="2370"/>
            <w:tcMar>
              <w:top w:w="80" w:type="dxa"/>
              <w:bottom w:w="80" w:type="dxa"/>
              <w:start w:w="120" w:type="dxa"/>
              <w:end w:w="120" w:type="dxa"/>
            </w:tcMar>
          </w:tcPr>
          <w:p>
            <w:pPr>
              <w:pStyle w:val="TableText"/>
            </w:pPr>
            <w:r>
              <w:t>Stolen or repurposed kit</w:t>
            </w:r>
          </w:p>
        </w:tc>
        <w:tc>
          <w:tcPr>
            <w:tcW w:type="dxa" w:w="3820"/>
            <w:tcMar>
              <w:top w:w="80" w:type="dxa"/>
              <w:bottom w:w="80" w:type="dxa"/>
              <w:start w:w="120" w:type="dxa"/>
              <w:end w:w="120" w:type="dxa"/>
            </w:tcMar>
          </w:tcPr>
          <w:p>
            <w:pPr>
              <w:pStyle w:val="TableText"/>
            </w:pPr>
            <w:r>
              <w:t>Credential revocation; physical re-provision; authority epoch fence.</w:t>
            </w:r>
          </w:p>
        </w:tc>
        <w:tc>
          <w:tcPr>
            <w:tcW w:type="dxa" w:w="3170"/>
            <w:tcMar>
              <w:top w:w="80" w:type="dxa"/>
              <w:bottom w:w="80" w:type="dxa"/>
              <w:start w:w="120" w:type="dxa"/>
              <w:end w:w="120" w:type="dxa"/>
            </w:tcMar>
          </w:tcPr>
          <w:p>
            <w:pPr>
              <w:pStyle w:val="TableText"/>
            </w:pPr>
            <w:r>
              <w:t>Old device cannot ingest into the new household.</w:t>
            </w:r>
          </w:p>
        </w:tc>
      </w:tr>
      <w:tr>
        <w:trPr>
          <w:cantSplit/>
        </w:trPr>
        <w:tc>
          <w:tcPr>
            <w:tcW w:type="dxa" w:w="2370"/>
            <w:tcMar>
              <w:top w:w="80" w:type="dxa"/>
              <w:bottom w:w="80" w:type="dxa"/>
              <w:start w:w="120" w:type="dxa"/>
              <w:end w:w="120" w:type="dxa"/>
            </w:tcMar>
          </w:tcPr>
          <w:p>
            <w:pPr>
              <w:pStyle w:val="TableText"/>
            </w:pPr>
            <w:r>
              <w:t>Firmware tampering</w:t>
            </w:r>
          </w:p>
        </w:tc>
        <w:tc>
          <w:tcPr>
            <w:tcW w:type="dxa" w:w="3820"/>
            <w:tcMar>
              <w:top w:w="80" w:type="dxa"/>
              <w:bottom w:w="80" w:type="dxa"/>
              <w:start w:w="120" w:type="dxa"/>
              <w:end w:w="120" w:type="dxa"/>
            </w:tcMar>
          </w:tcPr>
          <w:p>
            <w:pPr>
              <w:pStyle w:val="TableText"/>
            </w:pPr>
            <w:r>
              <w:t>Signed image validation; planned secure boot/flash encryption.</w:t>
            </w:r>
          </w:p>
        </w:tc>
        <w:tc>
          <w:tcPr>
            <w:tcW w:type="dxa" w:w="3170"/>
            <w:tcMar>
              <w:top w:w="80" w:type="dxa"/>
              <w:bottom w:w="80" w:type="dxa"/>
              <w:start w:w="120" w:type="dxa"/>
              <w:end w:w="120" w:type="dxa"/>
            </w:tcMar>
          </w:tcPr>
          <w:p>
            <w:pPr>
              <w:pStyle w:val="TableText"/>
            </w:pPr>
            <w:r>
              <w:t>Tampered image rejected; recovery drill before irreversible settings [S2, S6].</w:t>
            </w:r>
          </w:p>
        </w:tc>
      </w:tr>
      <w:tr>
        <w:trPr>
          <w:cantSplit/>
        </w:trPr>
        <w:tc>
          <w:tcPr>
            <w:tcW w:type="dxa" w:w="2370"/>
            <w:tcMar>
              <w:top w:w="80" w:type="dxa"/>
              <w:bottom w:w="80" w:type="dxa"/>
              <w:start w:w="120" w:type="dxa"/>
              <w:end w:w="120" w:type="dxa"/>
            </w:tcMar>
          </w:tcPr>
          <w:p>
            <w:pPr>
              <w:pStyle w:val="TableText"/>
            </w:pPr>
            <w:r>
              <w:t>Private activity on a lock screen</w:t>
            </w:r>
          </w:p>
        </w:tc>
        <w:tc>
          <w:tcPr>
            <w:tcW w:type="dxa" w:w="3820"/>
            <w:tcMar>
              <w:top w:w="80" w:type="dxa"/>
              <w:bottom w:w="80" w:type="dxa"/>
              <w:start w:w="120" w:type="dxa"/>
              <w:end w:w="120" w:type="dxa"/>
            </w:tcMar>
          </w:tcPr>
          <w:p>
            <w:pPr>
              <w:pStyle w:val="TableText"/>
            </w:pPr>
            <w:r>
              <w:t>Generic notification body; authenticated in-app detail.</w:t>
            </w:r>
          </w:p>
        </w:tc>
        <w:tc>
          <w:tcPr>
            <w:tcW w:type="dxa" w:w="3170"/>
            <w:tcMar>
              <w:top w:w="80" w:type="dxa"/>
              <w:bottom w:w="80" w:type="dxa"/>
              <w:start w:w="120" w:type="dxa"/>
              <w:end w:w="120" w:type="dxa"/>
            </w:tcMar>
          </w:tcPr>
          <w:p>
            <w:pPr>
              <w:pStyle w:val="TableText"/>
            </w:pPr>
            <w:r>
              <w:t>Default push payload contains no movement/health narrative.</w:t>
            </w:r>
          </w:p>
        </w:tc>
      </w:tr>
      <w:tr>
        <w:trPr>
          <w:cantSplit/>
        </w:trPr>
        <w:tc>
          <w:tcPr>
            <w:tcW w:type="dxa" w:w="2370"/>
            <w:tcMar>
              <w:top w:w="80" w:type="dxa"/>
              <w:bottom w:w="80" w:type="dxa"/>
              <w:start w:w="120" w:type="dxa"/>
              <w:end w:w="120" w:type="dxa"/>
            </w:tcMar>
          </w:tcPr>
          <w:p>
            <w:pPr>
              <w:pStyle w:val="TableText"/>
            </w:pPr>
            <w:r>
              <w:t>Support overreach</w:t>
            </w:r>
          </w:p>
        </w:tc>
        <w:tc>
          <w:tcPr>
            <w:tcW w:type="dxa" w:w="3820"/>
            <w:tcMar>
              <w:top w:w="80" w:type="dxa"/>
              <w:bottom w:w="80" w:type="dxa"/>
              <w:start w:w="120" w:type="dxa"/>
              <w:end w:w="120" w:type="dxa"/>
            </w:tcMar>
          </w:tcPr>
          <w:p>
            <w:pPr>
              <w:pStyle w:val="TableText"/>
            </w:pPr>
            <w:r>
              <w:t>Time-limited support access; minimal diagnostics; audit.</w:t>
            </w:r>
          </w:p>
        </w:tc>
        <w:tc>
          <w:tcPr>
            <w:tcW w:type="dxa" w:w="3170"/>
            <w:tcMar>
              <w:top w:w="80" w:type="dxa"/>
              <w:bottom w:w="80" w:type="dxa"/>
              <w:start w:w="120" w:type="dxa"/>
              <w:end w:w="120" w:type="dxa"/>
            </w:tcMar>
          </w:tcPr>
          <w:p>
            <w:pPr>
              <w:pStyle w:val="TableText"/>
            </w:pPr>
            <w:r>
              <w:t>Expired support role and export links are rejected.</w:t>
            </w:r>
          </w:p>
        </w:tc>
      </w:tr>
      <w:tr>
        <w:trPr>
          <w:cantSplit/>
        </w:trPr>
        <w:tc>
          <w:tcPr>
            <w:tcW w:type="dxa" w:w="2370"/>
            <w:tcMar>
              <w:top w:w="80" w:type="dxa"/>
              <w:bottom w:w="80" w:type="dxa"/>
              <w:start w:w="120" w:type="dxa"/>
              <w:end w:w="120" w:type="dxa"/>
            </w:tcMar>
          </w:tcPr>
          <w:p>
            <w:pPr>
              <w:pStyle w:val="TableText"/>
            </w:pPr>
            <w:r>
              <w:t>Data resurrection / retention creep</w:t>
            </w:r>
          </w:p>
        </w:tc>
        <w:tc>
          <w:tcPr>
            <w:tcW w:type="dxa" w:w="3820"/>
            <w:tcMar>
              <w:top w:w="80" w:type="dxa"/>
              <w:bottom w:w="80" w:type="dxa"/>
              <w:start w:w="120" w:type="dxa"/>
              <w:end w:w="120" w:type="dxa"/>
            </w:tcMar>
          </w:tcPr>
          <w:p>
            <w:pPr>
              <w:pStyle w:val="TableText"/>
            </w:pPr>
            <w:r>
              <w:t>Expiry jobs, deletion ledger and restore procedure.</w:t>
            </w:r>
          </w:p>
        </w:tc>
        <w:tc>
          <w:tcPr>
            <w:tcW w:type="dxa" w:w="3170"/>
            <w:tcMar>
              <w:top w:w="80" w:type="dxa"/>
              <w:bottom w:w="80" w:type="dxa"/>
              <w:start w:w="120" w:type="dxa"/>
              <w:end w:w="120" w:type="dxa"/>
            </w:tcMar>
          </w:tcPr>
          <w:p>
            <w:pPr>
              <w:pStyle w:val="TableText"/>
            </w:pPr>
            <w:r>
              <w:t>Restore backup and reapply tombstones before enabling ingestion.</w:t>
            </w:r>
          </w:p>
        </w:tc>
      </w:tr>
    </w:tbl>
    <w:p>
      <w:pPr>
        <w:pStyle w:val="TableSpacer"/>
      </w:pPr>
    </w:p>
    <w:p>
      <w:pPr>
        <w:pStyle w:val="SpecBody"/>
      </w:pPr>
      <w:r>
        <w:t>Retention defaults are product proposals: raw activity 30 days, window/incident history 90 days, minimal security audit 180 days, diagnostic link 24 hours. On deletion, revoke access/ingestion/routing immediately, purge active personal records within 7 days and expire encrypted backups within 30 days. Keep only a minimally identifying deletion tombstone for the backup horizon. Review applicable legal retention/rights requirements for the actual launch; do not treat this table as legal advice.</w:t>
      </w:r>
    </w:p>
    <w:p>
      <w:pPr>
        <w:pStyle w:val="SpecBody"/>
      </w:pPr>
      <w:r>
        <w:t>PWA delivery constraints: WebKit documents Web Push for Home Screen web apps on iOS/iPadOS, with permission requested from a direct user interaction [S4]. Test actual target devices, browser installation, lock-screen/background behavior and disabled permissions. Neither a provider success response nor an OS notification guarantees a caregiver saw it. This is a release gate, not an assumption hidden in implementation.</w:t>
      </w:r>
    </w:p>
    <w:p>
      <w:pPr>
        <w:pStyle w:val="SpecBody"/>
      </w:pPr>
      <w:r>
        <w:t>App authentication design: OIDC authorization-code flow with PKCE; short-lived API access token in memory, not localStorage. A backend-mediated refresh session uses Secure/HttpOnly cookies, CSRF protection and origin checks. SSE uses an authenticated fetch stream, never a token in the URL. Background push can display a generic request without fetching private detail; opening the app reauthenticates as needed. Provider-specific refresh/logout behavior is verified during the identity integration spike.</w:t>
      </w:r>
    </w:p>
    <w:p>
      <w:bookmarkStart w:id="8" w:name="F01"/>
      <w:pPr>
        <w:pStyle w:val="Heading1"/>
        <w:pageBreakBefore/>
      </w:pPr>
      <w:r>
        <w:t>8. F01 — Household profile and caregiver roles</w:t>
      </w:r>
      <w:bookmarkEnd w:id="8"/>
    </w:p>
    <w:p>
      <w:pPr>
        <w:pStyle w:val="Micro"/>
      </w:pPr>
      <w:r>
        <w:t>MODULES  B01, B02, A01, S01  •  File responsibilities: Appendix A</w:t>
      </w:r>
    </w:p>
    <w:p>
      <w:pPr>
        <w:pStyle w:val="SpecBody"/>
      </w:pPr>
      <w:r>
        <w:rPr>
          <w:b/>
        </w:rPr>
        <w:t xml:space="preserve">Meaning and scope  </w:t>
      </w:r>
      <w:r>
        <w:t>Defines whose household is being observed, who has consented and which family members may receive information. The resident and the paying caregiver are different roles; purchase does not establish resident consent.</w:t>
      </w:r>
    </w:p>
    <w:p>
      <w:pPr>
        <w:pStyle w:val="SpecBody"/>
      </w:pPr>
      <w:r>
        <w:rPr>
          <w:rFonts w:ascii="Calibri" w:hAnsi="Calibri"/>
          <w:b/>
          <w:color w:val="1F4D78"/>
          <w:sz w:val="22"/>
        </w:rPr>
        <w:t xml:space="preserve">P0 requirement  </w:t>
      </w:r>
      <w:r>
        <w:rPr>
          <w:rFonts w:ascii="Calibri" w:hAnsi="Calibri"/>
          <w:sz w:val="22"/>
        </w:rPr>
        <w:t>Create one home with an IANA timezone, display name, preferred language, one or two consenting resident profiles and a primary caregiver. A consenting backup is required before unattended pilot use. Bench simulation may use test accounts. Store telephone contact only when necessary and explicitly supplied. Resident profiles configure consent and contact context; they do not authorize motion-based identity claims.</w:t>
      </w:r>
    </w:p>
    <w:p>
      <w:pPr>
        <w:pStyle w:val="SpecBody"/>
      </w:pPr>
      <w:r>
        <w:rPr>
          <w:rFonts w:ascii="Calibri" w:hAnsi="Calibri"/>
          <w:b/>
          <w:color w:val="1F4D78"/>
          <w:sz w:val="22"/>
        </w:rPr>
        <w:t xml:space="preserve">Corresponding hardware  </w:t>
      </w:r>
      <w:r>
        <w:rPr>
          <w:rFonts w:ascii="Calibri" w:hAnsi="Calibri"/>
          <w:sz w:val="22"/>
        </w:rPr>
        <w:t>No extra sensor hardware. The hub serial/QR is bound to exactly one active home; the phone is the caregiver interface. All passive PIR/reed observations are attributed to the household or named location, never to an individual. A user-initiated button event may identify the mapped button/device only when that mapping is explicit.</w:t>
      </w:r>
    </w:p>
    <w:p>
      <w:pPr>
        <w:pStyle w:val="SpecBody"/>
      </w:pPr>
      <w:r>
        <w:rPr>
          <w:b/>
        </w:rPr>
        <w:t xml:space="preserve">Detailed software design  </w:t>
      </w:r>
      <w:r>
        <w:t>B02 service.py validates settings in one transaction; B01 membership.py enforces OWNER, CAREGIVER and INSTALLER roles. Installation access expires after 24 hours by default and excludes historical activity. A01 Onboarding.tsx guides account, home and role setup. Invitations are single-use, expire after 48 hours, and require recipient acceptance. A home cannot be reassigned by merely knowing its serial number.</w:t>
      </w:r>
    </w:p>
    <w:p>
      <w:pPr>
        <w:pStyle w:val="SpecBody"/>
      </w:pPr>
      <w:r>
        <w:rPr>
          <w:b/>
        </w:rPr>
        <w:t xml:space="preserve">Communication flow  </w:t>
      </w:r>
      <w:r>
        <w:t>App → HTTPS POST /v1/homes; invitation → recipient acceptance; backend → versioned home snapshot. Hub receives only the local configuration it needs, not caregiver passwords or contact details.</w:t>
      </w:r>
    </w:p>
    <w:p>
      <w:pPr>
        <w:pStyle w:val="SpecBody"/>
      </w:pPr>
      <w:r>
        <w:rPr>
          <w:b/>
        </w:rPr>
        <w:t xml:space="preserve">Failure and edge handling  </w:t>
      </w:r>
      <w:r>
        <w:t>Reject an unsupported timezone, duplicate active hub binding or removal of the last owner. If a caregiver leaves, stop new routing immediately and warn when no valid response route remains. Do not fall back to a random household member.</w:t>
      </w:r>
    </w:p>
    <w:p>
      <w:pPr>
        <w:pStyle w:val="SpecBody"/>
      </w:pPr>
      <w:r>
        <w:rPr>
          <w:rFonts w:ascii="Calibri" w:hAnsi="Calibri"/>
          <w:b/>
          <w:color w:val="1F4D78"/>
          <w:sz w:val="22"/>
        </w:rPr>
        <w:t xml:space="preserve">Exit criteria / tests  </w:t>
      </w:r>
      <w:r>
        <w:rPr>
          <w:rFonts w:ascii="Calibri" w:hAnsi="Calibri"/>
          <w:sz w:val="22"/>
        </w:rPr>
        <w:t>F01-T1: create a home with two consenting residents and accept primary and backup invitations; only active memberships can read it. F01-T2: another home’s token gets 403/404 for every home resource. F01-T3: removing the primary marks routing incomplete without stopping local observation. F01-T4: motion from any node is rendered as household/location activity and never assigned to a named resident.</w:t>
      </w:r>
    </w:p>
    <w:p>
      <w:pPr>
        <w:pStyle w:val="SpecBody"/>
      </w:pPr>
      <w:r>
        <w:rPr>
          <w:b/>
        </w:rPr>
        <w:t xml:space="preserve">Further enhancement  </w:t>
      </w:r>
      <w:r>
        <w:t>Multiple resident profiles, delegated professional care teams and shared payer accounts; none may imply PIR-based identification.</w:t>
      </w:r>
    </w:p>
    <w:p>
      <w:bookmarkStart w:id="9" w:name="F02"/>
      <w:pPr>
        <w:pStyle w:val="Heading1"/>
        <w:pageBreakBefore/>
      </w:pPr>
      <w:r>
        <w:t>8. F02 — Resident consent and privacy controls</w:t>
      </w:r>
      <w:bookmarkEnd w:id="9"/>
    </w:p>
    <w:p>
      <w:pPr>
        <w:pStyle w:val="Micro"/>
      </w:pPr>
      <w:r>
        <w:t>MODULES  B02, H06, H07, A01, B08  •  File responsibilities: Appendix A</w:t>
      </w:r>
    </w:p>
    <w:p>
      <w:pPr>
        <w:pStyle w:val="SpecBody"/>
      </w:pPr>
      <w:r>
        <w:rPr>
          <w:b/>
        </w:rPr>
        <w:t xml:space="preserve">Meaning and scope  </w:t>
      </w:r>
      <w:r>
        <w:t>The resident can understand and stop observation without needing the buyer’s phone. Consent is an operational control, not only a checkbox in legal text.</w:t>
      </w:r>
    </w:p>
    <w:p>
      <w:pPr>
        <w:pStyle w:val="SpecBody"/>
      </w:pPr>
      <w:r>
        <w:rPr>
          <w:b/>
        </w:rPr>
        <w:t xml:space="preserve">P0 requirement  </w:t>
      </w:r>
      <w:r>
        <w:t>Explain collected signals, recipients, limitations, retention and withdrawal in the resident’s selected language. Record consent version, method, time and installer/witness where used. Provide a labeled physical privacy switch on the hub and a visible privacy indication. Remote users shall not override that switch.</w:t>
      </w:r>
    </w:p>
    <w:p>
      <w:pPr>
        <w:pStyle w:val="SpecBody"/>
      </w:pPr>
      <w:r>
        <w:rPr>
          <w:rFonts w:ascii="Calibri" w:hAnsi="Calibri"/>
          <w:b/>
          <w:color w:val="1F4D78"/>
          <w:sz w:val="22"/>
        </w:rPr>
        <w:t xml:space="preserve">Corresponding hardware  </w:t>
      </w:r>
      <w:r>
        <w:rPr>
          <w:rFonts w:ascii="Calibri" w:hAnsi="Calibri"/>
          <w:sz w:val="22"/>
        </w:rPr>
        <w:t>Add a latching privacy switch to the ESP32 DevKit V1 hub; OLED/LED plus an optional fixed prerecorded prompt confirms its state. No microphone or camera is connected in P0. The board-specific GPIO profile remains open until the exact DevKit supplier variant and schematic are verified.</w:t>
      </w:r>
    </w:p>
    <w:p>
      <w:pPr>
        <w:pStyle w:val="SpecBody"/>
      </w:pPr>
      <w:r>
        <w:rPr>
          <w:b/>
        </w:rPr>
        <w:t xml:space="preserve">Detailed software design  </w:t>
      </w:r>
      <w:r>
        <w:t>H06 privacy_switch.cpp raises a priority local event. H07 stops routine evaluation and discards new sensor activity from the product event path; health-only traffic continues. B02 consent.py maintains a separate consent ledger. Privacy dominates all mode commands. Resume requires switch active plus valid consent. Full withdrawal disables observation and remote sharing; account/data deletion is a separate explicit flow.</w:t>
      </w:r>
    </w:p>
    <w:p>
      <w:pPr>
        <w:pStyle w:val="SpecBody"/>
      </w:pPr>
      <w:r>
        <w:rPr>
          <w:b/>
        </w:rPr>
        <w:t xml:space="preserve">Communication flow  </w:t>
      </w:r>
      <w:r>
        <w:t>Local switch → hub mode journal → cloud mode event → app privacy badge. If offline, privacy applies locally immediately; the app retains a stale warning until reconnection. Pending personal notifications are cancelled on known withdrawal; already delivered notifications cannot be recalled.</w:t>
      </w:r>
    </w:p>
    <w:p>
      <w:pPr>
        <w:pStyle w:val="SpecBody"/>
      </w:pPr>
      <w:r>
        <w:rPr>
          <w:b/>
        </w:rPr>
        <w:t xml:space="preserve">Failure and edge handling  </w:t>
      </w:r>
      <w:r>
        <w:t>Sleeping nodes may temporarily buffer activity before receiving pause; disclose this limitation. The hub/cloud shall not retain it. Pause purges node pending activity. On resume, discard events overlapping privacy and uncertain-age backlog; never replay them into history. Use authenticated DISCARDED_POLICY acknowledgements, not a false durable-storage ACK. Read the physical switch before boot ingestion; unknown consent fails closed.</w:t>
      </w:r>
    </w:p>
    <w:p>
      <w:pPr>
        <w:pStyle w:val="SpecBody"/>
      </w:pPr>
      <w:r>
        <w:rPr>
          <w:b/>
        </w:rPr>
        <w:t xml:space="preserve">Exit criteria / tests  </w:t>
      </w:r>
      <w:r>
        <w:t>F02-T1: switch to privacy offline; within 1 second, stop hub activity storage and confirm locally. F02-T2: remote resume cannot override switch. F02-T3: withdrawal cancels queued sharing and follows the deletion workflow. F02-T4: delayed privacy-period activity never reaches the timeline/cloud after resume.</w:t>
      </w:r>
    </w:p>
    <w:p>
      <w:pPr>
        <w:pStyle w:val="SpecBody"/>
      </w:pPr>
      <w:r>
        <w:rPr>
          <w:b/>
        </w:rPr>
        <w:t xml:space="preserve">Further enhancement  </w:t>
      </w:r>
      <w:r>
        <w:t>Accessible multilingual consent playback and delegated-consent workflows only after appropriate ethical/legal review; covert monitoring remains excluded.</w:t>
      </w:r>
    </w:p>
    <w:p>
      <w:bookmarkStart w:id="10" w:name="F03"/>
      <w:pPr>
        <w:pStyle w:val="Heading1"/>
        <w:pageBreakBefore/>
      </w:pPr>
      <w:r>
        <w:t>8. F03 — Kit provisioning and installation verification</w:t>
      </w:r>
      <w:bookmarkEnd w:id="10"/>
    </w:p>
    <w:p>
      <w:pPr>
        <w:pStyle w:val="Micro"/>
      </w:pPr>
      <w:r>
        <w:t>MODULES  N04, H07, B06, A01, S03, T02  •  File responsibilities: Appendix A</w:t>
      </w:r>
    </w:p>
    <w:p>
      <w:pPr>
        <w:pStyle w:val="SpecBody"/>
      </w:pPr>
      <w:r>
        <w:rPr>
          <w:b/>
        </w:rPr>
        <w:t xml:space="preserve">Meaning and scope  </w:t>
      </w:r>
      <w:r>
        <w:t>A kit is useful only if its identities, placement, radio path and caregiver notifications work in the actual home. P0 uses assisted installation, not a promise of fully self-service pairing.</w:t>
      </w:r>
    </w:p>
    <w:p>
      <w:pPr>
        <w:pStyle w:val="SpecBody"/>
      </w:pPr>
      <w:r>
        <w:rPr>
          <w:rFonts w:ascii="Calibri" w:hAnsi="Calibri"/>
          <w:b/>
          <w:color w:val="1F4D78"/>
          <w:sz w:val="22"/>
        </w:rPr>
        <w:t xml:space="preserve">P0 requirement  </w:t>
      </w:r>
      <w:r>
        <w:rPr>
          <w:rFonts w:ascii="Calibri" w:hAnsi="Calibri"/>
          <w:sz w:val="22"/>
        </w:rPr>
        <w:t>Pre-bond one hub and four labeled nodes using the USB service jig. Register unique credentials, firmware, board profile, capability profile and installed location. Capture a successful test for every enabled PIR/reed input, both hub buttons, privacy control and a real caregiver notification before monitoring becomes eligible. Provide a repeatable Test alert drill after installation; test events are clearly marked, never count as real incidents or response-SLA evidence, and cannot invoke future professional emergency routing.</w:t>
      </w:r>
    </w:p>
    <w:p>
      <w:pPr>
        <w:pStyle w:val="SpecBody"/>
      </w:pPr>
      <w:r>
        <w:rPr>
          <w:b/>
        </w:rPr>
        <w:t xml:space="preserve">Corresponding hardware  </w:t>
      </w:r>
      <w:r>
        <w:t>USB service access, enclosure labels and accessible service button/pads are required. Installer laptop provisions home Wi-Fi locally over USB during a physical, time-limited service session. Final GPIO numbers remain blocked on exact board schematics.</w:t>
      </w:r>
    </w:p>
    <w:p>
      <w:pPr>
        <w:pStyle w:val="SpecBody"/>
      </w:pPr>
      <w:r>
        <w:rPr>
          <w:rFonts w:ascii="Calibri" w:hAnsi="Calibri"/>
          <w:b/>
          <w:color w:val="1F4D78"/>
          <w:sz w:val="22"/>
        </w:rPr>
        <w:t xml:space="preserve">Detailed software design  </w:t>
      </w:r>
      <w:r>
        <w:rPr>
          <w:rFonts w:ascii="Calibri" w:hAnsi="Calibri"/>
          <w:sz w:val="22"/>
        </w:rPr>
        <w:t>T02 provision.py generates per-kit secrets and writes authorized device records without logging secrets. S03 credentials.cpp stores device credentials; H07 provision.cpp accepts provisioning only during a 120-second physical service window. B06 routes.py binds the authenticated home to a one-use claim token and device proof. A01 InstallTest.tsx can run PLACEMENT, DELIVERY and FULL_WORKFLOW drills. B04/B05 persist each drill with is_test=true and states CREATED, SENT, PROVIDER_ACCEPTED, HUMAN_ACKED, FAILED or EXPIRED. B08 stores drill evidence separately from production incident metrics.</w:t>
      </w:r>
    </w:p>
    <w:p>
      <w:pPr>
        <w:pStyle w:val="SpecBody"/>
      </w:pPr>
      <w:r>
        <w:rPr>
          <w:rFonts w:ascii="Calibri" w:hAnsi="Calibri"/>
          <w:b/>
          <w:color w:val="1F4D78"/>
          <w:sz w:val="22"/>
        </w:rPr>
        <w:t xml:space="preserve">Communication flow  </w:t>
      </w:r>
      <w:r>
        <w:rPr>
          <w:rFonts w:ascii="Calibri" w:hAnsi="Calibri"/>
          <w:sz w:val="22"/>
        </w:rPr>
        <w:t>USB jig → node/hub credentials; encrypted ESP-NOW → placement events; hub MQTT → backend; app HTTPS → installation results. A caregiver drill follows POST test intent → push provider → authenticated acknowledgement → visible pass/fail. The setup QR is a one-use claim aid, not an everlasting bearer credential.</w:t>
      </w:r>
    </w:p>
    <w:p>
      <w:pPr>
        <w:pStyle w:val="SpecBody"/>
      </w:pPr>
      <w:r>
        <w:rPr>
          <w:rFonts w:ascii="Calibri" w:hAnsi="Calibri"/>
          <w:b/>
          <w:color w:val="1F4D78"/>
          <w:sz w:val="22"/>
        </w:rPr>
        <w:t xml:space="preserve">Failure and edge handling  </w:t>
      </w:r>
      <w:r>
        <w:rPr>
          <w:rFonts w:ascii="Calibri" w:hAnsi="Calibri"/>
          <w:sz w:val="22"/>
        </w:rPr>
        <w:t>A failed room/input test blocks that source from routine eligibility. Mismatched credentials do not trigger open pairing. Device replacement requires owner authorization and physical service access, revokes the old binding and starts a new coverage interval. A changed location requires a repeat placement test. A failed drill remains failed; it cannot be converted into a production acknowledgement or silently retried as a real alert.</w:t>
      </w:r>
    </w:p>
    <w:p>
      <w:pPr>
        <w:pStyle w:val="SpecBody"/>
      </w:pPr>
      <w:r>
        <w:rPr>
          <w:rFonts w:ascii="Calibri" w:hAnsi="Calibri"/>
          <w:b/>
          <w:color w:val="1F4D78"/>
          <w:sz w:val="22"/>
        </w:rPr>
        <w:t xml:space="preserve">Exit criteria / tests  </w:t>
      </w:r>
      <w:r>
        <w:rPr>
          <w:rFonts w:ascii="Calibri" w:hAnsi="Calibri"/>
          <w:sz w:val="22"/>
        </w:rPr>
        <w:t>F03-T1: a second unclaimed hub cannot join by spoofing a MAC/serial. F03-T2: any enabled PIR/reed input or push test omitted leaves installation incomplete. F03-T3: replacement preserves historical identity and does not inherit healthy coverage before its first test. F03-T4: a repeatable Test alert reaches the selected real phone, is visibly labeled TEST, records human acknowledgement and never enters production escalation or summary counts.</w:t>
      </w:r>
    </w:p>
    <w:p>
      <w:pPr>
        <w:pStyle w:val="SpecBody"/>
      </w:pPr>
      <w:r>
        <w:rPr>
          <w:b/>
        </w:rPr>
        <w:t xml:space="preserve">Further enhancement  </w:t>
      </w:r>
      <w:r>
        <w:t>Secure BLE/SoftAP self-service setup and guided placement recommendations after the installer workflow is repeatable.</w:t>
      </w:r>
    </w:p>
    <w:p>
      <w:bookmarkStart w:id="11" w:name="F04"/>
      <w:pPr>
        <w:pStyle w:val="Heading1"/>
        <w:pageBreakBefore/>
      </w:pPr>
      <w:r>
        <w:t>8. F04 — Configurable morning routine</w:t>
      </w:r>
      <w:bookmarkEnd w:id="11"/>
    </w:p>
    <w:p>
      <w:pPr>
        <w:pStyle w:val="Micro"/>
      </w:pPr>
      <w:r>
        <w:t>MODULES  A03, B06, H07, H03, H05, S02  •  File responsibilities: Appendix A</w:t>
      </w:r>
    </w:p>
    <w:p>
      <w:pPr>
        <w:pStyle w:val="SpecBody"/>
      </w:pPr>
      <w:r>
        <w:rPr>
          <w:b/>
        </w:rPr>
        <w:t xml:space="preserve">Meaning and scope  </w:t>
      </w:r>
      <w:r>
        <w:t>A household agrees on a broad morning observation window rather than being forced into a precise sequence of rooms or tasks.</w:t>
      </w:r>
    </w:p>
    <w:p>
      <w:pPr>
        <w:pStyle w:val="SpecBody"/>
      </w:pPr>
      <w:r>
        <w:rPr>
          <w:rFonts w:ascii="Calibri" w:hAnsi="Calibri"/>
          <w:b/>
          <w:color w:val="1F4D78"/>
          <w:sz w:val="22"/>
        </w:rPr>
        <w:t xml:space="preserve">P0 requirement  </w:t>
      </w:r>
      <w:r>
        <w:rPr>
          <w:rFonts w:ascii="Calibri" w:hAnsi="Calibri"/>
          <w:sz w:val="22"/>
        </w:rPr>
        <w:t>Support one daily morning schedule, selected motion sources, a start, deadline and grace interval. Default example: 06:00–09:00, followed by 15 minutes’ grace. Permit a weekday/weekend variant; validate non-overlapping same-day windows and require at least two independently placed and tested motion sources for unattended use. These are editable defaults, not learned facts.</w:t>
      </w:r>
    </w:p>
    <w:p>
      <w:pPr>
        <w:pStyle w:val="SpecBody"/>
      </w:pPr>
      <w:r>
        <w:rPr>
          <w:rFonts w:ascii="Calibri" w:hAnsi="Calibri"/>
          <w:b/>
          <w:color w:val="1F4D78"/>
          <w:sz w:val="22"/>
        </w:rPr>
        <w:t xml:space="preserve">Corresponding hardware  </w:t>
      </w:r>
      <w:r>
        <w:rPr>
          <w:rFonts w:ascii="Calibri" w:hAnsi="Calibri"/>
          <w:sz w:val="22"/>
        </w:rPr>
        <w:t>Uses selected PIR inputs across the four C3 nodes and an optional hub-local PIR/prompt. A hub-local PIR, if used, must have its own logical source ID and placement test. Neither a reed switch nor a camera is required to decide morning activity. A backed clock source is optional; without one, reboot can temporarily invalidate time.</w:t>
      </w:r>
    </w:p>
    <w:p>
      <w:pPr>
        <w:pStyle w:val="SpecBody"/>
      </w:pPr>
      <w:r>
        <w:rPr>
          <w:b/>
        </w:rPr>
        <w:t xml:space="preserve">Detailed software design  </w:t>
      </w:r>
      <w:r>
        <w:t>A03 RoutineEditor.tsx sends desired configuration with If-Match. B06 config.py validates it, generates a versioned UTC window horizon from the home’s timezone and sends it to H07. H03 window_clock.cpp schedules monotonic timers against those boundaries. S02 rules.cpp evaluates the frozen window configuration. Mid-window edits take effect at the next window by default; show the effective time explicitly.</w:t>
      </w:r>
    </w:p>
    <w:p>
      <w:pPr>
        <w:pStyle w:val="SpecBody"/>
      </w:pPr>
      <w:r>
        <w:rPr>
          <w:b/>
        </w:rPr>
        <w:t xml:space="preserve">Communication flow  </w:t>
      </w:r>
      <w:r>
        <w:t>App HTTPS → desired config → MQTT command → hub durable apply acknowledgement → app applied version. Nodes only receive relevant sampling/heartbeat settings; they do not store household calendars.</w:t>
      </w:r>
    </w:p>
    <w:p>
      <w:pPr>
        <w:pStyle w:val="SpecBody"/>
      </w:pPr>
      <w:r>
        <w:rPr>
          <w:b/>
        </w:rPr>
        <w:t xml:space="preserve">Failure and edge handling  </w:t>
      </w:r>
      <w:r>
        <w:t>A stale app edit returns 409 rather than overwriting a newer change. Unapplied settings never display as active. A window starting before installation/valid time is marked incomplete, not retrospectively observed. If precomputed boundaries expire offline, suspend absence evaluation and report configuration/time coverage unavailable.</w:t>
      </w:r>
    </w:p>
    <w:p>
      <w:pPr>
        <w:pStyle w:val="SpecBody"/>
      </w:pPr>
      <w:r>
        <w:rPr>
          <w:b/>
        </w:rPr>
        <w:t xml:space="preserve">Exit criteria / tests  </w:t>
      </w:r>
      <w:r>
        <w:t>F04-T1: 06:00 qualifies and 05:59:59 does not. F04-T2: edit a live schedule; the current window ID and deadline remain unchanged. F04-T3: a clock jump or duplicate config cannot create a second window or duplicate incident.</w:t>
      </w:r>
    </w:p>
    <w:p>
      <w:pPr>
        <w:pStyle w:val="SpecBody"/>
      </w:pPr>
      <w:r>
        <w:rPr>
          <w:b/>
        </w:rPr>
        <w:t xml:space="preserve">Further enhancement  </w:t>
      </w:r>
      <w:r>
        <w:t>More routines, holidays and suggested schedule adjustments with resident approval; automatic schedule learning is outside P0.</w:t>
      </w:r>
    </w:p>
    <w:p>
      <w:bookmarkStart w:id="12" w:name="F05"/>
      <w:pPr>
        <w:pStyle w:val="Heading1"/>
        <w:pageBreakBefore/>
      </w:pPr>
      <w:r>
        <w:t>8. F05 — Morning activity evidence</w:t>
      </w:r>
      <w:bookmarkEnd w:id="12"/>
    </w:p>
    <w:p>
      <w:pPr>
        <w:pStyle w:val="Micro"/>
      </w:pPr>
      <w:r>
        <w:t>MODULES  N01, H01, H02, H05, S02, B07, A02  •  File responsibilities: Appendix A</w:t>
      </w:r>
    </w:p>
    <w:p>
      <w:pPr>
        <w:pStyle w:val="SpecBody"/>
      </w:pPr>
      <w:r>
        <w:rPr>
          <w:b/>
        </w:rPr>
        <w:t xml:space="preserve">Meaning and scope  </w:t>
      </w:r>
      <w:r>
        <w:t>Reports that a configured sensor detected movement at a location and time. It does not prove who moved, that breakfast was eaten or that the resident is medically well.</w:t>
      </w:r>
    </w:p>
    <w:p>
      <w:pPr>
        <w:pStyle w:val="SpecBody"/>
      </w:pPr>
      <w:r>
        <w:rPr>
          <w:rFonts w:ascii="Calibri" w:hAnsi="Calibri"/>
          <w:b/>
          <w:color w:val="1F4D78"/>
          <w:sz w:val="22"/>
        </w:rPr>
        <w:t xml:space="preserve">P0 requirement  </w:t>
      </w:r>
      <w:r>
        <w:rPr>
          <w:rFonts w:ascii="Calibri" w:hAnsi="Calibri"/>
          <w:sz w:val="22"/>
        </w:rPr>
        <w:t>Accept qualifying movement from any configured and currently eligible P0 motion source within the window. Record the first and most recent observation, contributing source/location and time quality. Keep physical activity evidence separate from self-check-in and coverage. Suppress person-specific interpretation during all modes, including visitor mode.</w:t>
      </w:r>
    </w:p>
    <w:p>
      <w:pPr>
        <w:pStyle w:val="SpecBody"/>
      </w:pPr>
      <w:r>
        <w:rPr>
          <w:rFonts w:ascii="Calibri" w:hAnsi="Calibri"/>
          <w:b/>
          <w:color w:val="1F4D78"/>
          <w:sz w:val="22"/>
        </w:rPr>
        <w:t xml:space="preserve">Corresponding hardware  </w:t>
      </w:r>
      <w:r>
        <w:rPr>
          <w:rFonts w:ascii="Calibri" w:hAnsi="Calibri"/>
          <w:sz w:val="22"/>
        </w:rPr>
        <w:t>Up to four correctly oriented, low-power PIR modules with 3.3-V-compatible output may be connected to the four C3 nodes. P0 requires at least two tested independent zones. A node may also host the main-door reed switch when wire length, enclosure and placement tests pass. Avoid direct sun, heat sources and private-room viewpoints; validate PIR warm-up, hold behavior and actual room coverage before enclosure freeze.</w:t>
      </w:r>
    </w:p>
    <w:p>
      <w:pPr>
        <w:pStyle w:val="SpecBody"/>
      </w:pPr>
      <w:r>
        <w:rPr>
          <w:b/>
        </w:rPr>
        <w:t xml:space="preserve">Detailed software design  </w:t>
      </w:r>
      <w:r>
        <w:t>N01 pir.cpp debounces/qualifies sensor transitions using its board profile and reports activation, not an assumed occupancy count. H01 validates identity; H02 durably journals it. H05 calls the pure S02 reducer with event time and mode intervals. B07 projector.py builds evidence cards, while A02 Evidence.tsx renders “Movement observed in hallway, 07:18” and a separate freshness badge. No scalar wellness score is stored.</w:t>
      </w:r>
    </w:p>
    <w:p>
      <w:pPr>
        <w:pStyle w:val="SpecBody"/>
      </w:pPr>
      <w:r>
        <w:rPr>
          <w:b/>
        </w:rPr>
        <w:t xml:space="preserve">Communication flow  </w:t>
      </w:r>
      <w:r>
        <w:t>PIR GPIO → node event → encrypted ESP-NOW/application ACK → hub journal/rule reducer → MQTT → dashboard projection/SSE. Duplicate radio packets update neither evidence count nor alert count.</w:t>
      </w:r>
    </w:p>
    <w:p>
      <w:pPr>
        <w:pStyle w:val="SpecBody"/>
      </w:pPr>
      <w:r>
        <w:rPr>
          <w:b/>
        </w:rPr>
        <w:t xml:space="preserve">Failure and edge handling  </w:t>
      </w:r>
      <w:r>
        <w:t>An event of uncertain age may appear in history with “time uncertain” but cannot establish an in-window observation. Late trustworthy evidence amends history and incident context without silently deleting an already sent alert. Activity during a health fault remains visible but does not clear that fault.</w:t>
      </w:r>
    </w:p>
    <w:p>
      <w:pPr>
        <w:pStyle w:val="SpecBody"/>
      </w:pPr>
      <w:r>
        <w:rPr>
          <w:rFonts w:ascii="Calibri" w:hAnsi="Calibri"/>
          <w:b/>
          <w:color w:val="1F4D78"/>
          <w:sz w:val="22"/>
        </w:rPr>
        <w:t xml:space="preserve">Exit criteria / tests  </w:t>
      </w:r>
      <w:r>
        <w:rPr>
          <w:rFonts w:ascii="Calibri" w:hAnsi="Calibri"/>
          <w:sz w:val="22"/>
        </w:rPr>
        <w:t>F05-T1: one qualifying event from any eligible configured PIR records observed activity with source provenance. F05-T2: 100 duplicate packets produce one evidence record. F05-T3: visitor or multi-resident motion is labeled household activity; no “resident OK” or person identity message appears. F05-T4: disabling or losing one configured source changes coverage and cannot be hidden by activity from a different source.</w:t>
      </w:r>
    </w:p>
    <w:p>
      <w:pPr>
        <w:pStyle w:val="SpecBody"/>
      </w:pPr>
      <w:r>
        <w:rPr>
          <w:b/>
        </w:rPr>
        <w:t xml:space="preserve">Further enhancement  </w:t>
      </w:r>
      <w:r>
        <w:t>Optional local statistical routines and additional activity sources, tested against the transparent rule baseline; no identity claim without a validated identity method.</w:t>
      </w:r>
    </w:p>
    <w:p>
      <w:bookmarkStart w:id="13" w:name="F06"/>
      <w:pPr>
        <w:pStyle w:val="Heading1"/>
        <w:pageBreakBefore/>
      </w:pPr>
      <w:r>
        <w:t>8. F06 — Explicit “I’m OK” check-in</w:t>
      </w:r>
      <w:bookmarkEnd w:id="13"/>
    </w:p>
    <w:p>
      <w:pPr>
        <w:pStyle w:val="Micro"/>
      </w:pPr>
      <w:r>
        <w:t>MODULES  H06, H02, H05, S02, B07, A02  •  File responsibilities: Appendix A</w:t>
      </w:r>
    </w:p>
    <w:p>
      <w:pPr>
        <w:pStyle w:val="SpecBody"/>
      </w:pPr>
      <w:r>
        <w:rPr>
          <w:b/>
        </w:rPr>
        <w:t xml:space="preserve">Meaning and scope  </w:t>
      </w:r>
      <w:r>
        <w:t>The resident intentionally reports a check-in. This is stronger evidence of interaction than PIR movement, but remains a self-report rather than a health assessment.</w:t>
      </w:r>
    </w:p>
    <w:p>
      <w:pPr>
        <w:pStyle w:val="SpecBody"/>
      </w:pPr>
      <w:r>
        <w:rPr>
          <w:b/>
        </w:rPr>
        <w:t xml:space="preserve">P0 requirement  </w:t>
      </w:r>
      <w:r>
        <w:t>Provide a distinct, large, labeled I’m OK button. Confirm a valid press locally within 500 ms and record a separate self-check-in timestamp. A morning check-in satisfies the configured check-in workflow even if motion sensing is degraded; the health warning remains.</w:t>
      </w:r>
    </w:p>
    <w:p>
      <w:pPr>
        <w:pStyle w:val="SpecBody"/>
      </w:pPr>
      <w:r>
        <w:rPr>
          <w:b/>
        </w:rPr>
        <w:t xml:space="preserve">Corresponding hardware  </w:t>
      </w:r>
      <w:r>
        <w:t>Dedicated normally-open momentary button with suitable input conditioning. Use the existing button for this function on the bench; add a separate Call family button for any resident pilot. OLED/LED and optional fixed audio provide redundant feedback.</w:t>
      </w:r>
    </w:p>
    <w:p>
      <w:pPr>
        <w:pStyle w:val="SpecBody"/>
      </w:pPr>
      <w:r>
        <w:rPr>
          <w:b/>
        </w:rPr>
        <w:t xml:space="preserve">Detailed software design  </w:t>
      </w:r>
      <w:r>
        <w:t>H06 buttons.cpp samples at a proposed 10 ms cadence and accepts a stable 50 ms press, with one event until release. Values must be tuned by usability tests. H02 journals CHECKIN_SELF before confirming “saved”; H05 updates self_checkin_at independently of activity_observed_at. If storage fails, use explicit failure feedback, never success. Repeated taps within 10 seconds may share one routine check-in but remain diagnostic input counts.</w:t>
      </w:r>
    </w:p>
    <w:p>
      <w:pPr>
        <w:pStyle w:val="SpecBody"/>
      </w:pPr>
      <w:r>
        <w:rPr>
          <w:b/>
        </w:rPr>
        <w:t xml:space="preserve">Communication flow  </w:t>
      </w:r>
      <w:r>
        <w:t>Local input → journal → routine reducer → cloud outbox → app. Offline feedback says “Check-in saved; internet unavailable”, not “Family notified”. During privacy, an intentional check-in may be sent as a one-off user action only if that behavior was consented and clearly explained.</w:t>
      </w:r>
    </w:p>
    <w:p>
      <w:pPr>
        <w:pStyle w:val="SpecBody"/>
      </w:pPr>
      <w:r>
        <w:rPr>
          <w:b/>
        </w:rPr>
        <w:t xml:space="preserve">Failure and edge handling  </w:t>
      </w:r>
      <w:r>
        <w:t>A button held during boot is ignored until release and displayed as stuck if persistent. Pressing I’m OK does not clear an outstanding Call family request; the caregiver workflow resolves that separately. Manual check-in with uncertain wall time is stored with receipt time and uncertainty.</w:t>
      </w:r>
    </w:p>
    <w:p>
      <w:pPr>
        <w:pStyle w:val="SpecBody"/>
      </w:pPr>
      <w:r>
        <w:rPr>
          <w:b/>
        </w:rPr>
        <w:t xml:space="preserve">Exit criteria / tests  </w:t>
      </w:r>
      <w:r>
        <w:t>F06-T1: button bounce and 100 rapid electrical edges yield one press event. F06-T2: offline press survives reboot and syncs once. F06-T3: self-check-in during sensor loss is shown alongside “coverage incomplete”.</w:t>
      </w:r>
    </w:p>
    <w:p>
      <w:pPr>
        <w:pStyle w:val="SpecBody"/>
      </w:pPr>
      <w:r>
        <w:rPr>
          <w:b/>
        </w:rPr>
        <w:t xml:space="preserve">Further enhancement  </w:t>
      </w:r>
      <w:r>
        <w:t>Accessible remote button or authenticated app check-in with distinct provenance; voice check-in requires a separately validated audio design.</w:t>
      </w:r>
    </w:p>
    <w:p>
      <w:bookmarkStart w:id="14" w:name="F07"/>
      <w:pPr>
        <w:pStyle w:val="Heading1"/>
        <w:pageBreakBefore/>
      </w:pPr>
      <w:r>
        <w:t>8. F07 — “Call family” request</w:t>
      </w:r>
      <w:bookmarkEnd w:id="14"/>
    </w:p>
    <w:p>
      <w:pPr>
        <w:pStyle w:val="Micro"/>
      </w:pPr>
      <w:r>
        <w:t>MODULES  H06, H02, H05, B04, B05, A04  •  File responsibilities: Appendix A</w:t>
      </w:r>
    </w:p>
    <w:p>
      <w:pPr>
        <w:pStyle w:val="SpecBody"/>
      </w:pPr>
      <w:r>
        <w:rPr>
          <w:b/>
        </w:rPr>
        <w:t xml:space="preserve">Meaning and scope  </w:t>
      </w:r>
      <w:r>
        <w:t>Lets the resident ask a known family member to contact them. It sends a request; the prototype does not place a telephone call or dispatch emergency services.</w:t>
      </w:r>
    </w:p>
    <w:p>
      <w:pPr>
        <w:pStyle w:val="SpecBody"/>
      </w:pPr>
      <w:r>
        <w:rPr>
          <w:b/>
        </w:rPr>
        <w:t xml:space="preserve">P0 requirement  </w:t>
      </w:r>
      <w:r>
        <w:t>Use a separate labeled button. Start a high-priority incident independent of morning windows, away mode and motion. Provide immediate local feedback distinguishing saved, remote service accepted and caregiver acknowledged. Never label a button press as an emergency response guarantee.</w:t>
      </w:r>
    </w:p>
    <w:p>
      <w:pPr>
        <w:pStyle w:val="SpecBody"/>
      </w:pPr>
      <w:r>
        <w:rPr>
          <w:b/>
        </w:rPr>
        <w:t xml:space="preserve">Corresponding hardware  </w:t>
      </w:r>
      <w:r>
        <w:t>Second large momentary button, physically and visually differentiated from I’m OK. Provide an accessible printed alternative contact instruction. Speaker prompts are optional; visual feedback is mandatory and shall not rely on color alone.</w:t>
      </w:r>
    </w:p>
    <w:p>
      <w:pPr>
        <w:pStyle w:val="SpecBody"/>
      </w:pPr>
      <w:r>
        <w:rPr>
          <w:b/>
        </w:rPr>
        <w:t xml:space="preserve">Detailed software design  </w:t>
      </w:r>
      <w:r>
        <w:t>H06 produces CONTACT_REQUEST; H02 commits the event plus local incident/outbox before the cloud path. H05 uses an incident ID derived from this unique event, not the routine ID. B04 service.py opens the workflow and B05 routing.py attempts the primary route. Additional presses within 30 seconds append to the same open request; an unresolved request is never cleared by later PIR motion or I’m OK.</w:t>
      </w:r>
    </w:p>
    <w:p>
      <w:pPr>
        <w:pStyle w:val="SpecBody"/>
      </w:pPr>
      <w:r>
        <w:rPr>
          <w:b/>
        </w:rPr>
        <w:t xml:space="preserve">Communication flow  </w:t>
      </w:r>
      <w:r>
        <w:t>Button → local journal → MQTT incident → database commit ACK → Web Push → caregiver HTTPS acknowledgement → hub status update. Remote acceptance and human acknowledgement are different events. In privacy, an explicit request may be shared under the explained one-off action policy, never alongside passive activity.</w:t>
      </w:r>
    </w:p>
    <w:p>
      <w:pPr>
        <w:pStyle w:val="SpecBody"/>
      </w:pPr>
      <w:r>
        <w:rPr>
          <w:b/>
        </w:rPr>
        <w:t xml:space="preserve">Failure and edge handling  </w:t>
      </w:r>
      <w:r>
        <w:t>Offline: announce that remote contact is unavailable and retain the request. Reconnect: show original age prominently; requests older than 15 minutes produce a delayed-request notification, not a misleading fresh request. They remain unresolved until a human acts. Unsent storage failure produces distinct local failure feedback.</w:t>
      </w:r>
    </w:p>
    <w:p>
      <w:pPr>
        <w:pStyle w:val="SpecBody"/>
      </w:pPr>
      <w:r>
        <w:rPr>
          <w:b/>
        </w:rPr>
        <w:t xml:space="preserve">Exit criteria / tests  </w:t>
      </w:r>
      <w:r>
        <w:t>F07-T1: a request outside the morning window routes normally. F07-T2: press during internet loss; no “family notified” indication occurs. F07-T3: subsequent motion, check-in or summary does not resolve the request. F07-T4: replay creates only one incident.</w:t>
      </w:r>
    </w:p>
    <w:p>
      <w:pPr>
        <w:pStyle w:val="SpecBody"/>
      </w:pPr>
      <w:r>
        <w:rPr>
          <w:b/>
        </w:rPr>
        <w:t xml:space="preserve">Further enhancement  </w:t>
      </w:r>
      <w:r>
        <w:t>Optional metered SMS/voice or consented professional response integration, with explicit service hours and costs; not bundled into P0.</w:t>
      </w:r>
    </w:p>
    <w:p>
      <w:bookmarkStart w:id="15" w:name="F08"/>
      <w:pPr>
        <w:pStyle w:val="Heading1"/>
        <w:pageBreakBefore/>
      </w:pPr>
      <w:r>
        <w:t>8. F08 — Missing morning activity workflow</w:t>
      </w:r>
      <w:bookmarkEnd w:id="15"/>
    </w:p>
    <w:p>
      <w:pPr>
        <w:pStyle w:val="Micro"/>
      </w:pPr>
      <w:r>
        <w:t>MODULES  H03, H04, H05, S02, B04, B05  •  File responsibilities: Appendix A</w:t>
      </w:r>
    </w:p>
    <w:p>
      <w:pPr>
        <w:pStyle w:val="SpecBody"/>
      </w:pPr>
      <w:r>
        <w:rPr>
          <w:b/>
        </w:rPr>
        <w:t xml:space="preserve">Meaning and scope  </w:t>
      </w:r>
      <w:r>
        <w:t>Asks a family member to check in when the agreed window passes without qualifying evidence and the observation path was sufficiently available. It is an explanation-based prompt, not a prediction of harm.</w:t>
      </w:r>
    </w:p>
    <w:p>
      <w:pPr>
        <w:pStyle w:val="SpecBody"/>
      </w:pPr>
      <w:r>
        <w:rPr>
          <w:b/>
        </w:rPr>
        <w:t xml:space="preserve">P0 requirement  </w:t>
      </w:r>
      <w:r>
        <w:t>At the deadline, distinguish missing evidence under eligible coverage from unknown observation. If active, time-trusted and eligible with no movement or self-check-in, optionally prompt locally, then allow the configured grace period. At grace expiry create at most one routine incident for the window.</w:t>
      </w:r>
    </w:p>
    <w:p>
      <w:pPr>
        <w:pStyle w:val="SpecBody"/>
      </w:pPr>
      <w:r>
        <w:rPr>
          <w:b/>
        </w:rPr>
        <w:t xml:space="preserve">Corresponding hardware  </w:t>
      </w:r>
      <w:r>
        <w:t>Uses tested PIR nodes and hub feedback. The hub must remain powered; no cloud algorithm can recover missing sensor observations from a powered-off hub.</w:t>
      </w:r>
    </w:p>
    <w:p>
      <w:pPr>
        <w:pStyle w:val="SpecBody"/>
      </w:pPr>
      <w:r>
        <w:rPr>
          <w:b/>
        </w:rPr>
        <w:t xml:space="preserve">Detailed software design  </w:t>
      </w:r>
      <w:r>
        <w:t>S02 rules.cpp is a pure reducer of window, evidence, mode and coverage intervals. H05 routine_service.cpp persists each transition and timer intent. At grace expiry, atomically append incident and outbox action under the stable window ID. Proposed conservative eligibility: every selected sensor has full valid lease coverage through window plus grace, no mode gap, no data-loss flag and trusted time. If not, emit observation-incomplete status instead of the inactivity incident.</w:t>
      </w:r>
    </w:p>
    <w:p>
      <w:pPr>
        <w:pStyle w:val="SpecBody"/>
      </w:pPr>
      <w:r>
        <w:rPr>
          <w:b/>
        </w:rPr>
        <w:t xml:space="preserve">Communication flow  </w:t>
      </w:r>
      <w:r>
        <w:t>Local timer → rule transition → optional audio/display → grace timer → journaled incident → backend routing. Backend never independently re-runs this absence rule; it may issue a separate HUB_UNREACHABLE service incident.</w:t>
      </w:r>
    </w:p>
    <w:p>
      <w:pPr>
        <w:pStyle w:val="SpecBody"/>
      </w:pPr>
      <w:r>
        <w:rPr>
          <w:b/>
        </w:rPr>
        <w:t xml:space="preserve">Failure and edge handling  </w:t>
      </w:r>
      <w:r>
        <w:t>A late in-window event updates the evidence and adds a visible correction to a sent incident. A new health gap during grace changes the outcome to unknown and stops the inactivity interpretation. A caregiver may still choose to call based on unknown coverage. Resume mid-window cannot retroactively satisfy coverage.</w:t>
      </w:r>
    </w:p>
    <w:p>
      <w:pPr>
        <w:pStyle w:val="SpecBody"/>
      </w:pPr>
      <w:r>
        <w:rPr>
          <w:b/>
        </w:rPr>
        <w:t xml:space="preserve">Exit criteria / tests  </w:t>
      </w:r>
      <w:r>
        <w:t>F08-T1: healthy empty window plus grace creates one incident. F08-T2: remove either selected node mid-window; no inactivity claim is generated. F08-T3: reboot at deadline and replay produce the same outcome and ID as uninterrupted execution.</w:t>
      </w:r>
    </w:p>
    <w:p>
      <w:pPr>
        <w:pStyle w:val="SpecBody"/>
      </w:pPr>
      <w:r>
        <w:rPr>
          <w:b/>
        </w:rPr>
        <w:t xml:space="preserve">Further enhancement  </w:t>
      </w:r>
      <w:r>
        <w:t>Resident-approved adaptive windows or graded coverage policies only after false/missed-alert evidence; do not relax coverage silently to make metrics look better.</w:t>
      </w:r>
    </w:p>
    <w:p>
      <w:bookmarkStart w:id="16" w:name="F09"/>
      <w:pPr>
        <w:pStyle w:val="Heading1"/>
        <w:pageBreakBefore/>
      </w:pPr>
      <w:r>
        <w:t>8. F09 — Main-door event history and quiet-hour notice</w:t>
      </w:r>
      <w:bookmarkEnd w:id="16"/>
    </w:p>
    <w:p>
      <w:pPr>
        <w:pStyle w:val="Micro"/>
      </w:pPr>
      <w:r>
        <w:t>MODULES  N01, H05, S02, B07, B05, A02  •  File responsibilities: Appendix A</w:t>
      </w:r>
    </w:p>
    <w:p>
      <w:pPr>
        <w:pStyle w:val="SpecBody"/>
      </w:pPr>
      <w:r>
        <w:rPr>
          <w:b/>
        </w:rPr>
        <w:t xml:space="preserve">Meaning and scope  </w:t>
      </w:r>
      <w:r>
        <w:t>Shows that the monitored door contact changed state. It cannot determine who used the door, direction of travel, or whether the resident is now away.</w:t>
      </w:r>
    </w:p>
    <w:p>
      <w:pPr>
        <w:pStyle w:val="SpecBody"/>
      </w:pPr>
      <w:r>
        <w:rPr>
          <w:b/>
        </w:rPr>
        <w:t xml:space="preserve">P0 requirement  </w:t>
      </w:r>
      <w:r>
        <w:t>Record open and close edges and current known state. Quiet-hour notices are opt-in, use configured local-time boundaries and explain the observed door event. Never auto-enable away mode. P0 does not implement an intrusion alarm or lock control.</w:t>
      </w:r>
    </w:p>
    <w:p>
      <w:pPr>
        <w:pStyle w:val="SpecBody"/>
      </w:pPr>
      <w:r>
        <w:rPr>
          <w:b/>
        </w:rPr>
        <w:t xml:space="preserve">Corresponding hardware  </w:t>
      </w:r>
      <w:r>
        <w:t>Reed contact and magnet on the main door, with a stable mounting gap, strain relief and 3.3-V-safe input bias. Bare two-wire reed contacts cannot inherently distinguish an open door from a broken wire; disclose this limitation.</w:t>
      </w:r>
    </w:p>
    <w:p>
      <w:pPr>
        <w:pStyle w:val="SpecBody"/>
      </w:pPr>
      <w:r>
        <w:rPr>
          <w:b/>
        </w:rPr>
        <w:t xml:space="preserve">Detailed software design  </w:t>
      </w:r>
      <w:r>
        <w:t>N01 reed.cpp uses a proposed 50 ms stable-state debounce and an explicit initial-state sample. H05 applies quiet-hour policy in S02. B07 retains transitions; A02 shows open, closed or unknown with timestamp. Quiet notices use an event-based incident key and a 15-minute repeat-suppression bucket; continued openings are counted and visible rather than sent as repeated pushes.</w:t>
      </w:r>
    </w:p>
    <w:p>
      <w:pPr>
        <w:pStyle w:val="SpecBody"/>
      </w:pPr>
      <w:r>
        <w:rPr>
          <w:b/>
        </w:rPr>
        <w:t xml:space="preserve">Communication flow  </w:t>
      </w:r>
      <w:r>
        <w:t>Door transition → encrypted node event → hub application ACK → history/optional incident → cloud. Heartbeats carry the current sampled contact state, allowing reconciliation after lost edges without inventing exact transition times.</w:t>
      </w:r>
    </w:p>
    <w:p>
      <w:pPr>
        <w:pStyle w:val="SpecBody"/>
      </w:pPr>
      <w:r>
        <w:rPr>
          <w:b/>
        </w:rPr>
        <w:t xml:space="preserve">Failure and edge handling  </w:t>
      </w:r>
      <w:r>
        <w:t>After a node outage, report “state observed open at reconnect; transition time unknown”. Startup state is not a new door-opening alarm. A quiet-hour boundary with untrusted time cannot trigger a time-specific notice; retain the raw event with uncertainty. A stuck reading triggers an installation re-test suggestion, not proof of sensor failure.</w:t>
      </w:r>
    </w:p>
    <w:p>
      <w:pPr>
        <w:pStyle w:val="SpecBody"/>
      </w:pPr>
      <w:r>
        <w:rPr>
          <w:b/>
        </w:rPr>
        <w:t xml:space="preserve">Exit criteria / tests  </w:t>
      </w:r>
      <w:r>
        <w:t>F09-T1: 100 intentional open/close cycles produce the expected debounced transitions. F09-T2: door activity never changes away mode. F09-T3: reconnect initial state does not create a false quiet-hour opening. F09-T4: broken-wire limitation appears in installation guidance.</w:t>
      </w:r>
    </w:p>
    <w:p>
      <w:pPr>
        <w:pStyle w:val="SpecBody"/>
      </w:pPr>
      <w:r>
        <w:rPr>
          <w:b/>
        </w:rPr>
        <w:t xml:space="preserve">Further enhancement  </w:t>
      </w:r>
      <w:r>
        <w:t>Supervised contact wiring, door-left-open prompts and multiple doors; security-grade claims require a separate design and validation.</w:t>
      </w:r>
    </w:p>
    <w:p>
      <w:bookmarkStart w:id="17" w:name="F10"/>
      <w:pPr>
        <w:pStyle w:val="Heading1"/>
        <w:pageBreakBefore/>
      </w:pPr>
      <w:r>
        <w:t>8. F10 — Away, pause and visitor modes</w:t>
      </w:r>
      <w:bookmarkEnd w:id="17"/>
    </w:p>
    <w:p>
      <w:pPr>
        <w:pStyle w:val="Micro"/>
      </w:pPr>
      <w:r>
        <w:t>MODULES  A03, B02, H07, H06, H05, S02  •  File responsibilities: Appendix A</w:t>
      </w:r>
    </w:p>
    <w:p>
      <w:pPr>
        <w:pStyle w:val="SpecBody"/>
      </w:pPr>
      <w:r>
        <w:rPr>
          <w:b/>
        </w:rPr>
        <w:t xml:space="preserve">Meaning and scope  </w:t>
      </w:r>
      <w:r>
        <w:t>Makes known exceptions explicit so a trip, guest or privacy choice does not look like a missing routine. Local privacy and temporary routine suppression are distinct controls.</w:t>
      </w:r>
    </w:p>
    <w:p>
      <w:pPr>
        <w:pStyle w:val="SpecBody"/>
      </w:pPr>
      <w:r>
        <w:rPr>
          <w:b/>
        </w:rPr>
        <w:t xml:space="preserve">P0 requirement  </w:t>
      </w:r>
      <w:r>
        <w:t>Support ACTIVE, AWAY, PAUSED and VISITOR with reason, actor and effective time. AWAY/temporary PAUSED suppress routine absence, while VISITOR labels evidence household-level and suppresses resident-specific absence interpretation. The physical privacy switch stops hub/cloud passive activity storage and overrides all remote modes; F02 governs delayed node buffers.</w:t>
      </w:r>
    </w:p>
    <w:p>
      <w:pPr>
        <w:pStyle w:val="SpecBody"/>
      </w:pPr>
      <w:r>
        <w:rPr>
          <w:b/>
        </w:rPr>
        <w:t xml:space="preserve">Corresponding hardware  </w:t>
      </w:r>
      <w:r>
        <w:t>Hub privacy switch and clear mode display; no occupancy-identification hardware. Optional switch lockout is excluded because it could remove resident control.</w:t>
      </w:r>
    </w:p>
    <w:p>
      <w:pPr>
        <w:pStyle w:val="SpecBody"/>
      </w:pPr>
      <w:r>
        <w:rPr>
          <w:b/>
        </w:rPr>
        <w:t xml:space="preserve">Detailed software design  </w:t>
      </w:r>
      <w:r>
        <w:t>A03 Modes.tsx sends a versioned mode request to B02; H07 applies it and emits the actual effective time. H05 stores mode intervals, not just a current enum, so coverage across a morning window remains auditable. Away/visitor expiries are proposed by the user and prompt confirmation; they do not silently resume resident-specific monitoring. Temporary pause may auto-resume only when this was explicitly chosen, privacy is off and consent remains valid.</w:t>
      </w:r>
    </w:p>
    <w:p>
      <w:pPr>
        <w:pStyle w:val="SpecBody"/>
      </w:pPr>
      <w:r>
        <w:rPr>
          <w:b/>
        </w:rPr>
        <w:t xml:space="preserve">Communication flow  </w:t>
      </w:r>
      <w:r>
        <w:t>App → HTTPS request → backend desired state → hub command → applied state event → app. Physical privacy acts immediately locally. A remote request during disconnection remains “pending”, not “applied”.</w:t>
      </w:r>
    </w:p>
    <w:p>
      <w:pPr>
        <w:pStyle w:val="SpecBody"/>
      </w:pPr>
      <w:r>
        <w:rPr>
          <w:b/>
        </w:rPr>
        <w:t xml:space="preserve">Failure and edge handling  </w:t>
      </w:r>
      <w:r>
        <w:t>A reboot restores the last durable mode and rereads the switch. Unknown expiry time retains the conservative non-active state. Removing visitor mode part-way through a window cannot restore earlier coverage. Manual Call family remains available in all modes under its consented one-off policy.</w:t>
      </w:r>
    </w:p>
    <w:p>
      <w:pPr>
        <w:pStyle w:val="SpecBody"/>
      </w:pPr>
      <w:r>
        <w:rPr>
          <w:b/>
        </w:rPr>
        <w:t xml:space="preserve">Exit criteria / tests  </w:t>
      </w:r>
      <w:r>
        <w:t>F10-T1: motion during visitor mode is not attributed to the resident. F10-T2: offline remote pause stays pending, while the physical switch works immediately. F10-T3: privacy prevents scheduled or remote resume. F10-T4: modes survive reboot without a false absence alert.</w:t>
      </w:r>
    </w:p>
    <w:p>
      <w:pPr>
        <w:pStyle w:val="SpecBody"/>
      </w:pPr>
      <w:r>
        <w:rPr>
          <w:b/>
        </w:rPr>
        <w:t xml:space="preserve">Further enhancement  </w:t>
      </w:r>
      <w:r>
        <w:t>Holiday calendars, trusted local controls and bounded automatic return detection only if ambiguity is addressed; no PIR-only person tracking.</w:t>
      </w:r>
    </w:p>
    <w:p>
      <w:bookmarkStart w:id="18" w:name="F11"/>
      <w:pPr>
        <w:pStyle w:val="Heading1"/>
        <w:pageBreakBefore/>
      </w:pPr>
      <w:r>
        <w:t>8. F11 — Caregiver home screen and evidence timeline</w:t>
      </w:r>
      <w:bookmarkEnd w:id="18"/>
    </w:p>
    <w:p>
      <w:pPr>
        <w:pStyle w:val="Micro"/>
      </w:pPr>
      <w:r>
        <w:t>MODULES  B07, B08, A02, A05  •  File responsibilities: Appendix A</w:t>
      </w:r>
    </w:p>
    <w:p>
      <w:pPr>
        <w:pStyle w:val="SpecBody"/>
      </w:pPr>
      <w:r>
        <w:rPr>
          <w:b/>
        </w:rPr>
        <w:t xml:space="preserve">Meaning and scope  </w:t>
      </w:r>
      <w:r>
        <w:t>Gives the family an honest, quickly understood snapshot: what was observed, what was self-reported, whether the system is current and which requests still need action.</w:t>
      </w:r>
    </w:p>
    <w:p>
      <w:pPr>
        <w:pStyle w:val="SpecBody"/>
      </w:pPr>
      <w:r>
        <w:rPr>
          <w:b/>
        </w:rPr>
        <w:t xml:space="preserve">P0 requirement  </w:t>
      </w:r>
      <w:r>
        <w:t>Show four separate areas: last activity, last self-check-in, observation/system coverage and open incidents. Display home-local time, data age and the app’s last successful sync. Use text/icons as well as color. Never show a global “safe” or medical “all clear” badge.</w:t>
      </w:r>
    </w:p>
    <w:p>
      <w:pPr>
        <w:pStyle w:val="SpecBody"/>
      </w:pPr>
      <w:r>
        <w:rPr>
          <w:b/>
        </w:rPr>
        <w:t xml:space="preserve">Corresponding hardware  </w:t>
      </w:r>
      <w:r>
        <w:t>Android/iOS phone browser; installed PWA recommended for push. A larger caregiver display is optional and does not change the underlying permissions.</w:t>
      </w:r>
    </w:p>
    <w:p>
      <w:pPr>
        <w:pStyle w:val="SpecBody"/>
      </w:pPr>
      <w:r>
        <w:rPr>
          <w:b/>
        </w:rPr>
        <w:t xml:space="preserve">Detailed software design  </w:t>
      </w:r>
      <w:r>
        <w:t>B07 projector.py maintains a per-home snapshot from validated events and workflow changes. routes.py serves paginated history and a versioned snapshot; stream.py provides SSE invalidation while the app is open. A02 Home.tsx renders evidence provenance and action priority. A05 cache.ts stores only a minimal short-lived snapshot, not a permanent activity archive. Snapshot and stream revisions prevent an older response overwriting a newer one.</w:t>
      </w:r>
    </w:p>
    <w:p>
      <w:pPr>
        <w:pStyle w:val="SpecBody"/>
      </w:pPr>
      <w:r>
        <w:rPr>
          <w:b/>
        </w:rPr>
        <w:t xml:space="preserve">Communication flow  </w:t>
      </w:r>
      <w:r>
        <w:t>App HTTPS GET /v1/homes/{id}/snapshot + paginated timeline; SSE supplies change hints followed by a fetch. Push opens an incident by ID and the app fetches authorized detail; private activity text is not required on the lock screen.</w:t>
      </w:r>
    </w:p>
    <w:p>
      <w:pPr>
        <w:pStyle w:val="SpecBody"/>
      </w:pPr>
      <w:r>
        <w:rPr>
          <w:b/>
        </w:rPr>
        <w:t xml:space="preserve">Failure and edge handling  </w:t>
      </w:r>
      <w:r>
        <w:t>SSE loss falls back to 30-second foreground polling with backoff. Browser offline state immediately marks the view stale. Backend hub-lease age and phone-fetch age are shown independently; a fresh app fetch of a stale hub does not look current. Missing permissions route to a visible setup warning.</w:t>
      </w:r>
    </w:p>
    <w:p>
      <w:pPr>
        <w:pStyle w:val="SpecBody"/>
      </w:pPr>
      <w:r>
        <w:rPr>
          <w:b/>
        </w:rPr>
        <w:t xml:space="preserve">Exit criteria / tests  </w:t>
      </w:r>
      <w:r>
        <w:t>F11-T1: observed activity plus a later sensor outage renders both facts. F11-T2: disconnect the phone; cached data never displays as live. F11-T3: out-of-order snapshot/SSE responses cannot roll back incident status. F11-T4: private detail requires current home membership.</w:t>
      </w:r>
    </w:p>
    <w:p>
      <w:pPr>
        <w:pStyle w:val="SpecBody"/>
      </w:pPr>
      <w:r>
        <w:rPr>
          <w:b/>
        </w:rPr>
        <w:t xml:space="preserve">Further enhancement  </w:t>
      </w:r>
      <w:r>
        <w:t>Accessible native apps, multi-home professional dashboards and longer trend views after privacy and usability validation.</w:t>
      </w:r>
    </w:p>
    <w:p>
      <w:bookmarkStart w:id="19" w:name="F12"/>
      <w:pPr>
        <w:pStyle w:val="Heading1"/>
        <w:pageBreakBefore/>
      </w:pPr>
      <w:r>
        <w:t>8. F12 — Caregiver acknowledgement and resolution</w:t>
      </w:r>
      <w:bookmarkEnd w:id="19"/>
    </w:p>
    <w:p>
      <w:pPr>
        <w:pStyle w:val="Micro"/>
      </w:pPr>
      <w:r>
        <w:t>MODULES  B04, B07, B05, A04, H08  •  File responsibilities: Appendix A</w:t>
      </w:r>
    </w:p>
    <w:p>
      <w:pPr>
        <w:pStyle w:val="SpecBody"/>
      </w:pPr>
      <w:r>
        <w:rPr>
          <w:b/>
        </w:rPr>
        <w:t xml:space="preserve">Meaning and scope  </w:t>
      </w:r>
      <w:r>
        <w:t>Distinguishes “I have seen this”, “I will call” and “I have contacted them”. Delivery to a phone is not the same as a person accepting responsibility.</w:t>
      </w:r>
    </w:p>
    <w:p>
      <w:pPr>
        <w:pStyle w:val="SpecBody"/>
      </w:pPr>
      <w:r>
        <w:rPr>
          <w:rFonts w:ascii="Calibri" w:hAnsi="Calibri"/>
          <w:b/>
          <w:color w:val="1F4D78"/>
          <w:sz w:val="22"/>
        </w:rPr>
        <w:t xml:space="preserve">P0 requirement  </w:t>
      </w:r>
      <w:r>
        <w:rPr>
          <w:rFonts w:ascii="Calibri" w:hAnsi="Calibri"/>
          <w:sz w:val="22"/>
        </w:rPr>
        <w:t>Provide “I will call”, “Contacted”, “Unable to reach” and “Ask backup caregiver” actions with actor/time. Acknowledgement creates a temporary response ownership lease; it does not resolve the incident. Contacted requires an explicit outcome. Unable to reach advances to backup when available. Ask backup caregiver explicitly releases the primary claim and requests the consenting backup immediately; it does not mark the resident contacted.</w:t>
      </w:r>
    </w:p>
    <w:p>
      <w:pPr>
        <w:pStyle w:val="SpecBody"/>
      </w:pPr>
      <w:r>
        <w:rPr>
          <w:b/>
        </w:rPr>
        <w:t xml:space="preserve">Corresponding hardware  </w:t>
      </w:r>
      <w:r>
        <w:t>Caregiver phone; the hub may display caregiver acknowledgement, but shall not announce contact succeeded unless a corresponding human outcome exists.</w:t>
      </w:r>
    </w:p>
    <w:p>
      <w:pPr>
        <w:pStyle w:val="SpecBody"/>
      </w:pPr>
      <w:r>
        <w:rPr>
          <w:rFonts w:ascii="Calibri" w:hAnsi="Calibri"/>
          <w:b/>
          <w:color w:val="1F4D78"/>
          <w:sz w:val="22"/>
        </w:rPr>
        <w:t xml:space="preserve">Detailed software design  </w:t>
      </w:r>
      <w:r>
        <w:rPr>
          <w:rFonts w:ascii="Calibri" w:hAnsi="Calibri"/>
          <w:sz w:val="22"/>
        </w:rPr>
        <w:t>B04 state.py defines OPEN, CLAIMED, RESOLVED and CLOSED_UNRESOLVED plus audited action HANDOFF_TO_BACKUP. service.py uses optimistic version checks and a transaction to claim or hand off one incident; default claim lease is 10 minutes. A04 Actions.tsx sends an idempotency key. Handoff ends the current lease, records the actor/reason and creates the backup route in the same transaction/outbox boundary. A second caregiver may explicitly take over with audit, not silently overwrite. Expired claims return to routing eligibility without erasing prior actions.</w:t>
      </w:r>
    </w:p>
    <w:p>
      <w:pPr>
        <w:pStyle w:val="SpecBody"/>
      </w:pPr>
      <w:r>
        <w:rPr>
          <w:b/>
        </w:rPr>
        <w:t xml:space="preserve">Communication flow  </w:t>
      </w:r>
      <w:r>
        <w:t>Push/deep link → authenticated incident fetch → POST /v1/incidents/{id}/actions → committed audit/action → notification worker cancellation or next stage → hub/app state update. Phone dialer launch is merely a convenience and is not evidence a call connected.</w:t>
      </w:r>
    </w:p>
    <w:p>
      <w:pPr>
        <w:pStyle w:val="SpecBody"/>
      </w:pPr>
      <w:r>
        <w:rPr>
          <w:b/>
        </w:rPr>
        <w:t xml:space="preserve">Failure and edge handling  </w:t>
      </w:r>
      <w:r>
        <w:t>An offline app cannot truthfully submit an acknowledgement; show “not sent” and offer the normal phone contact. Competing actions get a refreshed state on 409. Already submitted duplicate actions return the same result. No activity event can resolve a manual contact request.</w:t>
      </w:r>
    </w:p>
    <w:p>
      <w:pPr>
        <w:pStyle w:val="SpecBody"/>
      </w:pPr>
      <w:r>
        <w:rPr>
          <w:rFonts w:ascii="Calibri" w:hAnsi="Calibri"/>
          <w:b/>
          <w:color w:val="1F4D78"/>
          <w:sz w:val="22"/>
        </w:rPr>
        <w:t xml:space="preserve">Exit criteria / tests  </w:t>
      </w:r>
      <w:r>
        <w:rPr>
          <w:rFonts w:ascii="Calibri" w:hAnsi="Calibri"/>
          <w:sz w:val="22"/>
        </w:rPr>
        <w:t>F12-T1: two simultaneous claims produce one owner and an explicit conflict. F12-T2: “I will call” stops the no-ack timer but starts a resolution lease. F12-T3: lease expiry or Unable to reach re-enters routing. F12-T4: duplicate POST creates one audit action. F12-T5: Ask backup caregiver atomically releases the primary claim, creates one backup job and leaves the incident unresolved.</w:t>
      </w:r>
    </w:p>
    <w:p>
      <w:pPr>
        <w:pStyle w:val="SpecBody"/>
      </w:pPr>
      <w:r>
        <w:rPr>
          <w:b/>
        </w:rPr>
        <w:t xml:space="preserve">Further enhancement  </w:t>
      </w:r>
      <w:r>
        <w:t>Team handover, structured care notes and external provider integration; avoid storing unnecessary medical narratives.</w:t>
      </w:r>
    </w:p>
    <w:p>
      <w:bookmarkStart w:id="20" w:name="F13"/>
      <w:pPr>
        <w:pStyle w:val="Heading1"/>
        <w:pageBreakBefore/>
      </w:pPr>
      <w:r>
        <w:t>8. F13 — Backup caregiver routing and delivery visibility</w:t>
      </w:r>
      <w:bookmarkEnd w:id="20"/>
    </w:p>
    <w:p>
      <w:pPr>
        <w:pStyle w:val="Micro"/>
      </w:pPr>
      <w:r>
        <w:t>MODULES  B05, B04, B08, A04, A05  •  File responsibilities: Appendix A</w:t>
      </w:r>
    </w:p>
    <w:p>
      <w:pPr>
        <w:pStyle w:val="SpecBody"/>
      </w:pPr>
      <w:r>
        <w:rPr>
          <w:b/>
        </w:rPr>
        <w:t xml:space="preserve">Meaning and scope  </w:t>
      </w:r>
      <w:r>
        <w:t>Provides a bounded second route when the first caregiver has not acted. It improves workflow coverage but cannot guarantee that anyone is reachable or will respond.</w:t>
      </w:r>
    </w:p>
    <w:p>
      <w:pPr>
        <w:pStyle w:val="SpecBody"/>
      </w:pPr>
      <w:r>
        <w:rPr>
          <w:rFonts w:ascii="Calibri" w:hAnsi="Calibri"/>
          <w:b/>
          <w:color w:val="1F4D78"/>
          <w:sz w:val="22"/>
        </w:rPr>
        <w:t xml:space="preserve">P0 requirement  </w:t>
      </w:r>
      <w:r>
        <w:rPr>
          <w:rFonts w:ascii="Calibri" w:hAnsi="Calibri"/>
          <w:sz w:val="22"/>
        </w:rPr>
        <w:t>Route a new request to the primary. If no human acknowledgement after a configurable default 5 minutes, route to the consenting backup. An authenticated manual handoff routes to backup immediately. Manual contact requests route immediately regardless of routine quiet hours. Record provider acceptance, terminal delivery errors, app receipt when available and human acknowledgement as different facts.</w:t>
      </w:r>
    </w:p>
    <w:p>
      <w:pPr>
        <w:pStyle w:val="SpecBody"/>
      </w:pPr>
      <w:r>
        <w:rPr>
          <w:b/>
        </w:rPr>
        <w:t xml:space="preserve">Corresponding hardware  </w:t>
      </w:r>
      <w:r>
        <w:t>Working internet at the hub and caregiver phone with supported installed PWA, permission and valid subscription. There is no cellular modem in P0. Router backup power is separate from hub backup power.</w:t>
      </w:r>
    </w:p>
    <w:p>
      <w:pPr>
        <w:pStyle w:val="SpecBody"/>
      </w:pPr>
      <w:r>
        <w:rPr>
          <w:rFonts w:ascii="Calibri" w:hAnsi="Calibri"/>
          <w:b/>
          <w:color w:val="1F4D78"/>
          <w:sz w:val="22"/>
        </w:rPr>
        <w:t xml:space="preserve">Detailed software design  </w:t>
      </w:r>
      <w:r>
        <w:rPr>
          <w:rFonts w:ascii="Calibri" w:hAnsi="Calibri"/>
          <w:sz w:val="22"/>
        </w:rPr>
        <w:t>B05 worker.py claims durable notification jobs with a short database lease. routing.py creates stage 1/2 jobs under a unique incident/recipient/stage/channel key. Use exponential retry with jitter for transient errors, proposed 10 s, 30 s, 2 min, 5 min; permanent invalid subscriptions are disabled. Backup timing runs from incident acceptance and is not blocked by primary-provider failure. HANDOFF_TO_BACKUP creates stage 2 immediately and cancels only obsolete stage-1 retries. After both routes, keep the incident visibly unresolved and report route exhaustion.</w:t>
      </w:r>
    </w:p>
    <w:p>
      <w:pPr>
        <w:pStyle w:val="SpecBody"/>
      </w:pPr>
      <w:r>
        <w:rPr>
          <w:b/>
        </w:rPr>
        <w:t xml:space="preserve">Communication flow  </w:t>
      </w:r>
      <w:r>
        <w:t>Backend Web Push adapter → platform push service → phone service worker. Provider acceptance is the highest general transport claim unless an app receipt is actually obtained; even an app receipt is not a human acknowledgement. HTTPS human actions control escalation.</w:t>
      </w:r>
    </w:p>
    <w:p>
      <w:pPr>
        <w:pStyle w:val="SpecBody"/>
      </w:pPr>
      <w:r>
        <w:rPr>
          <w:b/>
        </w:rPr>
        <w:t xml:space="preserve">Failure and edge handling  </w:t>
      </w:r>
      <w:r>
        <w:t>A blocked/expired subscription marks route unhealthy; it never silently falls back to SMS or an unconsented person. Two bounded stages avoid infinite alarm loops. Provider outage produces operational alerts and a clear delivery-failed state. Loss of backend power means routing is unavailable until recovery.</w:t>
      </w:r>
    </w:p>
    <w:p>
      <w:pPr>
        <w:pStyle w:val="SpecBody"/>
      </w:pPr>
      <w:r>
        <w:rPr>
          <w:rFonts w:ascii="Calibri" w:hAnsi="Calibri"/>
          <w:b/>
          <w:color w:val="1F4D78"/>
          <w:sz w:val="22"/>
        </w:rPr>
        <w:t xml:space="preserve">Exit criteria / tests  </w:t>
      </w:r>
      <w:r>
        <w:rPr>
          <w:rFonts w:ascii="Calibri" w:hAnsi="Calibri"/>
          <w:sz w:val="22"/>
        </w:rPr>
        <w:t>F13-T1: primary ignores a request; backup job is created by 5 minutes plus scheduler tolerance. F13-T2: primary acknowledges; pending no-ack backup is cancelled transactionally. F13-T3: permanent push failure is visible and backup still runs. F13-T4: duplicate workers create one stage-job intent; ambiguous provider outcomes retain explicit duplicate-delivery risk. F13-T5: manual handoff creates the backup route without waiting for the timer.</w:t>
      </w:r>
    </w:p>
    <w:p>
      <w:pPr>
        <w:pStyle w:val="SpecBody"/>
      </w:pPr>
      <w:r>
        <w:rPr>
          <w:b/>
        </w:rPr>
        <w:t xml:space="preserve">Further enhancement  </w:t>
      </w:r>
      <w:r>
        <w:t>Metered SMS/voice adapters, regional providers and professional response contracts; budget message charges and support before enabling.</w:t>
      </w:r>
    </w:p>
    <w:p>
      <w:bookmarkStart w:id="21" w:name="F14"/>
      <w:pPr>
        <w:pStyle w:val="Heading1"/>
        <w:pageBreakBefore/>
      </w:pPr>
      <w:r>
        <w:t>8. F14 — Opt-in daily morning summary</w:t>
      </w:r>
      <w:bookmarkEnd w:id="21"/>
    </w:p>
    <w:p>
      <w:pPr>
        <w:pStyle w:val="Micro"/>
      </w:pPr>
      <w:r>
        <w:t>MODULES  B05, B07, A03, A02  •  File responsibilities: Appendix A</w:t>
      </w:r>
    </w:p>
    <w:p>
      <w:pPr>
        <w:pStyle w:val="SpecBody"/>
      </w:pPr>
      <w:r>
        <w:rPr>
          <w:b/>
        </w:rPr>
        <w:t xml:space="preserve">Meaning and scope  </w:t>
      </w:r>
      <w:r>
        <w:t>Sends one low-noise recap of the completed morning window, separate from action-required incidents. Families should not need multiple reassuring messages every morning.</w:t>
      </w:r>
    </w:p>
    <w:p>
      <w:pPr>
        <w:pStyle w:val="SpecBody"/>
      </w:pPr>
      <w:r>
        <w:rPr>
          <w:b/>
        </w:rPr>
        <w:t xml:space="preserve">P0 requirement  </w:t>
      </w:r>
      <w:r>
        <w:t>Default summaries off; allow one per home-local day at a chosen time after grace. Include activity observation, explicit check-in, coverage limitation and unresolved requests without inferring wellbeing. If no trustworthy completed window is available, say so or show a delayed recap, never invent a normal day.</w:t>
      </w:r>
    </w:p>
    <w:p>
      <w:pPr>
        <w:pStyle w:val="SpecBody"/>
      </w:pPr>
      <w:r>
        <w:rPr>
          <w:b/>
        </w:rPr>
        <w:t xml:space="preserve">Corresponding hardware  </w:t>
      </w:r>
      <w:r>
        <w:t>No extra hardware. Requires backend connectivity for remote delivery; local observation works without the summary service.</w:t>
      </w:r>
    </w:p>
    <w:p>
      <w:pPr>
        <w:pStyle w:val="SpecBody"/>
      </w:pPr>
      <w:r>
        <w:rPr>
          <w:b/>
        </w:rPr>
        <w:t xml:space="preserve">Detailed software design  </w:t>
      </w:r>
      <w:r>
        <w:t>B05 summary.py builds a summary from B07’s finalized window projection, not raw notification text. A unique (home_id, local_date, summary_policy_version) intent prevents duplicates; changing policy must not permit a second same-day send. The delivery ledger enforces a separate one-summary-per-day cap. Summary content references window revision and generated_at; late evidence updates the timeline instead of sending another summary.</w:t>
      </w:r>
    </w:p>
    <w:p>
      <w:pPr>
        <w:pStyle w:val="SpecBody"/>
      </w:pPr>
      <w:r>
        <w:rPr>
          <w:b/>
        </w:rPr>
        <w:t xml:space="preserve">Communication flow  </w:t>
      </w:r>
      <w:r>
        <w:t>Hub completed-window event → backend read model → daily scheduler → Web Push summary link → app fetch. If the hub is unreachable at scheduled time, the summary states observation incomplete using known stale-data timestamps.</w:t>
      </w:r>
    </w:p>
    <w:p>
      <w:pPr>
        <w:pStyle w:val="SpecBody"/>
      </w:pPr>
      <w:r>
        <w:rPr>
          <w:b/>
        </w:rPr>
        <w:t xml:space="preserve">Failure and edge handling  </w:t>
      </w:r>
      <w:r>
        <w:t>An active incident is not closed by a normal-looking summary. Delayed sync does not reissue yesterday’s routine summary as today’s reassurance. Missing push permission appears as a delivery error and does not turn on another channel. Disabling summaries cancels unsent jobs.</w:t>
      </w:r>
    </w:p>
    <w:p>
      <w:pPr>
        <w:pStyle w:val="SpecBody"/>
      </w:pPr>
      <w:r>
        <w:rPr>
          <w:b/>
        </w:rPr>
        <w:t xml:space="preserve">Exit criteria / tests  </w:t>
      </w:r>
      <w:r>
        <w:t>F14-T1: default configuration sends no summary. F14-T2: scheduler restarts and duplicate windows still produce at most one summary intent/day. F14-T3: activity plus a coverage gap produces an explicit incomplete-coverage recap. F14-T4: no summary resolves an incident.</w:t>
      </w:r>
    </w:p>
    <w:p>
      <w:pPr>
        <w:pStyle w:val="SpecBody"/>
      </w:pPr>
      <w:r>
        <w:rPr>
          <w:b/>
        </w:rPr>
        <w:t xml:space="preserve">Further enhancement  </w:t>
      </w:r>
      <w:r>
        <w:t>Weekly reports, configurable language templates and family digest channels; retain low notification volume and explicit evidence provenance.</w:t>
      </w:r>
    </w:p>
    <w:p>
      <w:bookmarkStart w:id="22" w:name="E01"/>
      <w:pPr>
        <w:pStyle w:val="Heading1"/>
        <w:pageBreakBefore/>
      </w:pPr>
      <w:r>
        <w:t>9. E01 — Node health, battery and observation coverage</w:t>
      </w:r>
      <w:bookmarkEnd w:id="22"/>
    </w:p>
    <w:p>
      <w:pPr>
        <w:pStyle w:val="Micro"/>
      </w:pPr>
      <w:r>
        <w:t>MODULES  N03, N02, H04, B08, A02  •  File responsibilities: Appendix A</w:t>
      </w:r>
    </w:p>
    <w:p>
      <w:pPr>
        <w:pStyle w:val="SpecBody"/>
      </w:pPr>
      <w:r>
        <w:rPr>
          <w:b/>
        </w:rPr>
        <w:t xml:space="preserve">Meaning and scope  </w:t>
      </w:r>
      <w:r>
        <w:t>Reports whether the sensing path is recently reachable and whether there were gaps. A heartbeat confirms a running device/radio path, not that a PIR lens or reed mounting is correct.</w:t>
      </w:r>
    </w:p>
    <w:p>
      <w:pPr>
        <w:pStyle w:val="SpecBody"/>
      </w:pPr>
      <w:r>
        <w:rPr>
          <w:rFonts w:ascii="Calibri" w:hAnsi="Calibri"/>
          <w:b/>
          <w:color w:val="1F4D78"/>
          <w:sz w:val="22"/>
        </w:rPr>
        <w:t xml:space="preserve">P0 requirement  </w:t>
      </w:r>
      <w:r>
        <w:rPr>
          <w:rFonts w:ascii="Calibri" w:hAnsi="Calibri"/>
          <w:sz w:val="22"/>
        </w:rPr>
        <w:t>Track per-node heartbeat age, firmware, reset reason, battery voltage, sensor availability and applied config. Separately track hub power source when measurable, hub last seen and internet/cloud reachability. Start with a 60-second node heartbeat and a 190-second lease (three intervals plus 10 seconds tolerance). Show low battery, device offline, sensor unavailable, hub offline and internet unavailable separately from morning evidence. Treat thresholds as test defaults.</w:t>
      </w:r>
    </w:p>
    <w:p>
      <w:pPr>
        <w:pStyle w:val="SpecBody"/>
      </w:pPr>
      <w:r>
        <w:rPr>
          <w:b/>
        </w:rPr>
        <w:t xml:space="preserve">Corresponding hardware  </w:t>
      </w:r>
      <w:r>
        <w:t>Battery ADC divider with suitable range, calibration and low leakage; optional load switch on the divider. Charge-status pins only if the selected charger exposes verified signals. A periodic physical walk/door test remains necessary.</w:t>
      </w:r>
    </w:p>
    <w:p>
      <w:pPr>
        <w:pStyle w:val="SpecBody"/>
      </w:pPr>
      <w:r>
        <w:rPr>
          <w:b/>
        </w:rPr>
        <w:t xml:space="preserve">Detailed software design  </w:t>
      </w:r>
      <w:r>
        <w:t>N03 battery.cpp reports millivolts and sample/load context, not an uncalibrated percentage. H04 health.cpp maintains per-node leases and persists health transitions. coverage.cpp builds conservative intervals from installation, leases, known gaps and data-loss flags. Lease expiry invalidates coverage retrospectively from last confirmed contact for absence evaluation. A radio event refreshes reachability but does not automatically clear a known sensor fault.</w:t>
      </w:r>
    </w:p>
    <w:p>
      <w:pPr>
        <w:pStyle w:val="SpecBody"/>
      </w:pPr>
      <w:r>
        <w:rPr>
          <w:b/>
        </w:rPr>
        <w:t xml:space="preserve">Communication flow  </w:t>
      </w:r>
      <w:r>
        <w:t>Node heartbeat/status → hub health table → coalesced cloud status changes; hub heartbeat separately supports cloud reachability. Low-battery notification is deduplicated with hysteresis and a recovery threshold tied to measured cell behavior.</w:t>
      </w:r>
    </w:p>
    <w:p>
      <w:pPr>
        <w:pStyle w:val="SpecBody"/>
      </w:pPr>
      <w:r>
        <w:rPr>
          <w:b/>
        </w:rPr>
        <w:t xml:space="preserve">Failure and edge handling  </w:t>
      </w:r>
      <w:r>
        <w:t>Unknown battery chemistry/model produces “voltage only; threshold unvalidated”. Voltage sag, cold conditions and regulator cutoff can shorten runtime. Repeated boot loops generate one ongoing service incident. A node removed halfway through the morning creates incomplete coverage even if a late packet restores current health.</w:t>
      </w:r>
    </w:p>
    <w:p>
      <w:pPr>
        <w:pStyle w:val="SpecBody"/>
      </w:pPr>
      <w:r>
        <w:rPr>
          <w:rFonts w:ascii="Calibri" w:hAnsi="Calibri"/>
          <w:b/>
          <w:color w:val="1F4D78"/>
          <w:sz w:val="22"/>
        </w:rPr>
        <w:t xml:space="preserve">Exit criteria / tests  </w:t>
      </w:r>
      <w:r>
        <w:rPr>
          <w:rFonts w:ascii="Calibri" w:hAnsi="Calibri"/>
          <w:sz w:val="22"/>
        </w:rPr>
        <w:t>E01-T1: remove a node battery; lease expires by 190 seconds plus 2-second evaluation tolerance. E01-T2: restore power; current status recovers while the historical gap remains. E01-T3: calibrated readings are within the chosen hardware tolerance, proposed ±100 mV. E01-T4: loss of hub/cloud connectivity renders Home status unavailable without rewriting activity as missing. E01-T5: the dashboard names the affected device/source and last-seen time.</w:t>
      </w:r>
    </w:p>
    <w:p>
      <w:pPr>
        <w:pStyle w:val="SpecBody"/>
      </w:pPr>
      <w:r>
        <w:rPr>
          <w:b/>
        </w:rPr>
        <w:t xml:space="preserve">Further enhancement  </w:t>
      </w:r>
      <w:r>
        <w:t>Fuel gauge, supervised sensor wiring, drift detection and measured lifetime forecasting; no battery-life claim based only on chip sleep current.</w:t>
      </w:r>
    </w:p>
    <w:p>
      <w:bookmarkStart w:id="23" w:name="E02"/>
      <w:pPr>
        <w:pStyle w:val="Heading1"/>
        <w:pageBreakBefore/>
      </w:pPr>
      <w:r>
        <w:t>9. E02 — Reliable event transport and duplicate handling</w:t>
      </w:r>
      <w:bookmarkEnd w:id="23"/>
    </w:p>
    <w:p>
      <w:pPr>
        <w:pStyle w:val="Micro"/>
      </w:pPr>
      <w:r>
        <w:t>MODULES  N02, N05, H01, H02, H08, B03, S01  •  File responsibilities: Appendix A</w:t>
      </w:r>
    </w:p>
    <w:p>
      <w:pPr>
        <w:pStyle w:val="SpecBody"/>
      </w:pPr>
      <w:r>
        <w:rPr>
          <w:b/>
        </w:rPr>
        <w:t xml:space="preserve">Meaning and scope  </w:t>
      </w:r>
      <w:r>
        <w:t>Makes retries safe and distinguishes radio receipt from durable application receipt. The design accepts at-least-once delivery and implements idempotent processing; it does not claim exactly-once networking.</w:t>
      </w:r>
    </w:p>
    <w:p>
      <w:pPr>
        <w:pStyle w:val="SpecBody"/>
      </w:pPr>
      <w:r>
        <w:rPr>
          <w:b/>
        </w:rPr>
        <w:t xml:space="preserve">P0 requirement  </w:t>
      </w:r>
      <w:r>
        <w:t>Use unique source/session/sequence IDs, encrypted unicast, bounded retry and explicit application ACK classes. Persist business events before sending a durable ACK. Deduplicate radio events, cloud events, incidents and commands independently. Heartbeat ACK may be volatile and shall be labeled as such.</w:t>
      </w:r>
    </w:p>
    <w:p>
      <w:pPr>
        <w:pStyle w:val="SpecBody"/>
      </w:pPr>
      <w:r>
        <w:rPr>
          <w:rFonts w:ascii="Calibri" w:hAnsi="Calibri"/>
          <w:b/>
          <w:color w:val="1F4D78"/>
          <w:sz w:val="22"/>
        </w:rPr>
        <w:t xml:space="preserve">Corresponding hardware  </w:t>
      </w:r>
      <w:r>
        <w:rPr>
          <w:rFonts w:ascii="Calibri" w:hAnsi="Calibri"/>
          <w:sz w:val="22"/>
        </w:rPr>
        <w:t>Four ESP32-C3 nodes and the ESP32 DevKit V1 hub share the active 2.4-GHz channel. No additional gateway radio is required for the four-node P0. The exact ESP32-WROOM-32/DevKit radio and supply behavior must be measured with the purchased board. Chip-supported peers are not an unlimited household expansion path [S1].</w:t>
      </w:r>
    </w:p>
    <w:p>
      <w:pPr>
        <w:pStyle w:val="SpecBody"/>
      </w:pPr>
      <w:r>
        <w:rPr>
          <w:b/>
        </w:rPr>
        <w:t xml:space="preserve">Detailed software design  </w:t>
      </w:r>
      <w:r>
        <w:t>N02 node_radio.cpp transmits compact CBOR capped at 200 bytes; S01 node.cddl defines the schema. Initial retries: 0.2 s, 0.6 s, 1.8 s with jitter, then queue and retry at scheduled wake. H01 only copies callback data into bounded queues. H02 validates and journals business events before DURABLE ACK, keyed by node/session/sequence. H08 keeps cloud outbox entries until B03 confirms database commit, not merely MQTT PUBACK.</w:t>
      </w:r>
    </w:p>
    <w:p>
      <w:pPr>
        <w:pStyle w:val="SpecBody"/>
      </w:pPr>
      <w:r>
        <w:rPr>
          <w:b/>
        </w:rPr>
        <w:t xml:space="preserve">Communication flow  </w:t>
      </w:r>
      <w:r>
        <w:t>Radio MAC callback → application ACK: DURABLE retires persisted business events, RECEIVED is for volatile health, and DISCARDED_POLICY retires privacy-rejected events without storage. Hub MQTT QoS 1 → backend transaction → commit ACK. Configuration commands include command ID and applied version; retries reuse the ID [S1, S5].</w:t>
      </w:r>
    </w:p>
    <w:p>
      <w:pPr>
        <w:pStyle w:val="SpecBody"/>
      </w:pPr>
      <w:r>
        <w:rPr>
          <w:b/>
        </w:rPr>
        <w:t xml:space="preserve">Failure and edge handling  </w:t>
      </w:r>
      <w:r>
        <w:t>Unknown sessions cannot reset replay protection without authenticated boot registration. Channel search is bounded and backoffs are battery-budgeted. Queue overflow emits a gap marker and degrades coverage; never silently discard unacknowledged contact requests. Sequence/session details are specified in the protocol chapter.</w:t>
      </w:r>
    </w:p>
    <w:p>
      <w:pPr>
        <w:pStyle w:val="SpecBody"/>
      </w:pPr>
      <w:r>
        <w:rPr>
          <w:b/>
        </w:rPr>
        <w:t xml:space="preserve">Exit criteria / tests  </w:t>
      </w:r>
      <w:r>
        <w:t>E02-T1: inject 30% packet loss and duplicates; DURABLE-acknowledged business events are stored once. E02-T2: crash hub before durable commit; node does not retire the event. E02-T3: kill backend after commit before ACK; replay adds no second row or notification intent.</w:t>
      </w:r>
    </w:p>
    <w:p>
      <w:pPr>
        <w:pStyle w:val="SpecBody"/>
      </w:pPr>
      <w:r>
        <w:rPr>
          <w:b/>
        </w:rPr>
        <w:t xml:space="preserve">Further enhancement  </w:t>
      </w:r>
      <w:r>
        <w:t>Alternative Thread/BLE transports behind the same event contract; transport-specific delivery evidence remains explicit.</w:t>
      </w:r>
    </w:p>
    <w:p>
      <w:bookmarkStart w:id="24" w:name="E03"/>
      <w:pPr>
        <w:pStyle w:val="Heading1"/>
        <w:pageBreakBefore/>
      </w:pPr>
      <w:r>
        <w:t>9. E03 — Local operation during internet failure</w:t>
      </w:r>
      <w:bookmarkEnd w:id="24"/>
    </w:p>
    <w:p>
      <w:pPr>
        <w:pStyle w:val="Micro"/>
      </w:pPr>
      <w:r>
        <w:t>MODULES  H03, H04, H05, H06, H02, H08  •  File responsibilities: Appendix A</w:t>
      </w:r>
    </w:p>
    <w:p>
      <w:pPr>
        <w:pStyle w:val="SpecBody"/>
      </w:pPr>
      <w:r>
        <w:rPr>
          <w:b/>
        </w:rPr>
        <w:t xml:space="preserve">Meaning and scope  </w:t>
      </w:r>
      <w:r>
        <w:t>Morning rules, buttons and local feedback do not require a cloud round trip. Remote notification still requires a functioning end-to-end network path.</w:t>
      </w:r>
    </w:p>
    <w:p>
      <w:pPr>
        <w:pStyle w:val="SpecBody"/>
      </w:pPr>
      <w:r>
        <w:rPr>
          <w:rFonts w:ascii="Calibri" w:hAnsi="Calibri"/>
          <w:b/>
          <w:color w:val="1F4D78"/>
          <w:sz w:val="22"/>
        </w:rPr>
        <w:t xml:space="preserve">P0 requirement  </w:t>
      </w:r>
      <w:r>
        <w:rPr>
          <w:rFonts w:ascii="Calibri" w:hAnsi="Calibri"/>
          <w:sz w:val="22"/>
        </w:rPr>
        <w:t>Continue local sensing, configured routines and user actions while the hub is powered and time/configuration remain valid. Preserve pending business events for at least the designed 72-hour offline budget. Display remote connectivity unavailable without obscuring local function. On reconnect, upload queued records idempotently with original event times and visible delayed/backfilled status; never rewrite delayed activity as live activity.</w:t>
      </w:r>
    </w:p>
    <w:p>
      <w:pPr>
        <w:pStyle w:val="SpecBody"/>
      </w:pPr>
      <w:r>
        <w:rPr>
          <w:b/>
        </w:rPr>
        <w:t xml:space="preserve">Corresponding hardware  </w:t>
      </w:r>
      <w:r>
        <w:t>Powered hub; battery backup is proposed for power cuts. The home router/ONT also needs power for remote service. There is no P0 mobile-data fallback. Optional RTC improves reboot continuity but must be separately validated.</w:t>
      </w:r>
    </w:p>
    <w:p>
      <w:pPr>
        <w:pStyle w:val="SpecBody"/>
      </w:pPr>
      <w:r>
        <w:rPr>
          <w:b/>
        </w:rPr>
        <w:t xml:space="preserve">Detailed software design  </w:t>
      </w:r>
      <w:r>
        <w:t>H05 owns rule execution, with no HTTP/MQTT calls inside S02. H02 outbox.cpp persists cloud-bound events and incident updates. H08 sync.cpp reconnects with exponential backoff and jitter, prioritizes recent contact requests and service state, then replays history. Original occurred_at and uncertainty are immutable; received_at is appended separately. H06 uses “saved locally” vs “remote service accepted” indications.</w:t>
      </w:r>
    </w:p>
    <w:p>
      <w:pPr>
        <w:pStyle w:val="SpecBody"/>
      </w:pPr>
      <w:r>
        <w:rPr>
          <w:b/>
        </w:rPr>
        <w:t xml:space="preserve">Communication flow  </w:t>
      </w:r>
      <w:r>
        <w:t>Nodes continue ESP-NOW → hub during WAN loss. MQTT reconnect resumes application-level reconciliation by event ID; app sees the backend’s independent hub-unreachable status. A retained MQTT online flag alone is insufficient to mark the home current.</w:t>
      </w:r>
    </w:p>
    <w:p>
      <w:pPr>
        <w:pStyle w:val="SpecBody"/>
      </w:pPr>
      <w:r>
        <w:rPr>
          <w:b/>
        </w:rPr>
        <w:t xml:space="preserve">Failure and edge handling  </w:t>
      </w:r>
      <w:r>
        <w:t>Power loss stops the hub unless backup works. After a reboot without trusted wall time, local manual actions work but absence inference is suspended. If storage approaches capacity, compact dispensable health samples first, reserve incident capacity and emit data-loss status if business history must be curtailed.</w:t>
      </w:r>
    </w:p>
    <w:p>
      <w:pPr>
        <w:pStyle w:val="SpecBody"/>
      </w:pPr>
      <w:r>
        <w:rPr>
          <w:rFonts w:ascii="Calibri" w:hAnsi="Calibri"/>
          <w:b/>
          <w:color w:val="1F4D78"/>
          <w:sz w:val="22"/>
        </w:rPr>
        <w:t xml:space="preserve">Exit criteria / tests  </w:t>
      </w:r>
      <w:r>
        <w:rPr>
          <w:rFonts w:ascii="Calibri" w:hAnsi="Calibri"/>
          <w:sz w:val="22"/>
        </w:rPr>
        <w:t>E03-T1: isolate WAN for 72 hours at the design workload; local rules and persistence stay functional and sync is duplicate-free. E03-T2: expired time horizon suspends absence claims. E03-T3: reconnect retains original event ages, labels delayed contact requests and marks backfilled timeline entries. E03-T4: no queued upload changes an already communicated coverage gap into a false continuous-coverage claim.</w:t>
      </w:r>
    </w:p>
    <w:p>
      <w:pPr>
        <w:pStyle w:val="SpecBody"/>
      </w:pPr>
      <w:r>
        <w:rPr>
          <w:b/>
        </w:rPr>
        <w:t xml:space="preserve">Further enhancement  </w:t>
      </w:r>
      <w:r>
        <w:t>Router UPS bundle, independently powered cellular fallback and longer local storage only after cost, maintenance and coverage tests.</w:t>
      </w:r>
    </w:p>
    <w:p>
      <w:bookmarkStart w:id="25" w:name="E04"/>
      <w:pPr>
        <w:pStyle w:val="Heading1"/>
        <w:pageBreakBefore/>
      </w:pPr>
      <w:r>
        <w:t>9. E04 — Hub/cloud/app connectivity and freshness</w:t>
      </w:r>
      <w:bookmarkEnd w:id="25"/>
    </w:p>
    <w:p>
      <w:pPr>
        <w:pStyle w:val="Micro"/>
      </w:pPr>
      <w:r>
        <w:t>MODULES  H08, B08, B07, A05, A02  •  File responsibilities: Appendix A</w:t>
      </w:r>
    </w:p>
    <w:p>
      <w:pPr>
        <w:pStyle w:val="SpecBody"/>
      </w:pPr>
      <w:r>
        <w:rPr>
          <w:b/>
        </w:rPr>
        <w:t xml:space="preserve">Meaning and scope  </w:t>
      </w:r>
      <w:r>
        <w:t>Explains which link is unavailable. “Hub unreachable” does not distinguish a power cut, broken router, internet failure or hub fault without additional evidence.</w:t>
      </w:r>
    </w:p>
    <w:p>
      <w:pPr>
        <w:pStyle w:val="SpecBody"/>
      </w:pPr>
      <w:r>
        <w:rPr>
          <w:b/>
        </w:rPr>
        <w:t xml:space="preserve">P0 requirement  </w:t>
      </w:r>
      <w:r>
        <w:t>Track node↔hub, hub↔backend, notification route and phone↔backend separately. Emit a service incident after a proposed 190-second hub heartbeat lease expires, with a small scheduler tolerance. Display last confirmed hub time and app fetch time. Never convert cloud reachability into a sensor-health claim.</w:t>
      </w:r>
    </w:p>
    <w:p>
      <w:pPr>
        <w:pStyle w:val="SpecBody"/>
      </w:pPr>
      <w:r>
        <w:rPr>
          <w:b/>
        </w:rPr>
        <w:t xml:space="preserve">Corresponding hardware  </w:t>
      </w:r>
      <w:r>
        <w:t>Existing Wi-Fi and internet connection. Supply-presence GPIO can distinguish USB removal locally only if the chosen power circuit exposes a safe monitored signal; this information cannot be transmitted while all links are down.</w:t>
      </w:r>
    </w:p>
    <w:p>
      <w:pPr>
        <w:pStyle w:val="SpecBody"/>
      </w:pPr>
      <w:r>
        <w:rPr>
          <w:b/>
        </w:rPr>
        <w:t xml:space="preserve">Detailed software design  </w:t>
      </w:r>
      <w:r>
        <w:t>H08 publishes a heartbeat every 60 seconds and connection state on change. B08 health.py evaluates a server-receipt lease, assisted by broker Last Will but not dependent on it. B07 projects link-specific status. A05 api.ts distinguishes offline, timeout, authentication failure and service error. A02 Health.tsx explains likely causes without asserting an unobserved cause.</w:t>
      </w:r>
    </w:p>
    <w:p>
      <w:pPr>
        <w:pStyle w:val="SpecBody"/>
      </w:pPr>
      <w:r>
        <w:rPr>
          <w:b/>
        </w:rPr>
        <w:t xml:space="preserve">Communication flow  </w:t>
      </w:r>
      <w:r>
        <w:t>MQTT heartbeat/Last Will → lease worker → service incident/read model → caregiver push/SSE. App foreground polling refreshes status; background push is advisory and may be delayed by the platform.</w:t>
      </w:r>
    </w:p>
    <w:p>
      <w:pPr>
        <w:pStyle w:val="SpecBody"/>
      </w:pPr>
      <w:r>
        <w:rPr>
          <w:b/>
        </w:rPr>
        <w:t xml:space="preserve">Failure and edge handling  </w:t>
      </w:r>
      <w:r>
        <w:t>Backend/broker outage makes the fleet’s own monitoring unavailable; external uptime checks must alert the operator through an independent route. On reconnect, close the current reachability fault only after authenticated traffic, preserve its historical interval and do not erase unanswered routine/contact incidents.</w:t>
      </w:r>
    </w:p>
    <w:p>
      <w:pPr>
        <w:pStyle w:val="SpecBody"/>
      </w:pPr>
      <w:r>
        <w:rPr>
          <w:b/>
        </w:rPr>
        <w:t xml:space="preserve">Exit criteria / tests  </w:t>
      </w:r>
      <w:r>
        <w:t>E04-T1: unplug router, hub and phone separately; each UI state reflects only known links. E04-T2: stale online retained status cannot override an expired lease. E04-T3: a fresh phone fetch of old hub data still shows “hub unreachable”.</w:t>
      </w:r>
    </w:p>
    <w:p>
      <w:pPr>
        <w:pStyle w:val="SpecBody"/>
      </w:pPr>
      <w:r>
        <w:rPr>
          <w:b/>
        </w:rPr>
        <w:t xml:space="preserve">Further enhancement  </w:t>
      </w:r>
      <w:r>
        <w:t>Cellular signal metrics, router power telemetry and improved outage cause classification based on actual sensors, not heuristics presented as fact.</w:t>
      </w:r>
    </w:p>
    <w:p>
      <w:bookmarkStart w:id="26" w:name="E05"/>
      <w:pPr>
        <w:pStyle w:val="Heading1"/>
        <w:pageBreakBefore/>
      </w:pPr>
      <w:r>
        <w:t>9. E05 — Persistence, recovery and bounded storage</w:t>
      </w:r>
      <w:bookmarkEnd w:id="26"/>
    </w:p>
    <w:p>
      <w:pPr>
        <w:pStyle w:val="Micro"/>
      </w:pPr>
      <w:r>
        <w:t>MODULES  N05, H02, B03, B04, B05, B08  •  File responsibilities: Appendix A</w:t>
      </w:r>
    </w:p>
    <w:p>
      <w:pPr>
        <w:pStyle w:val="SpecBody"/>
      </w:pPr>
      <w:r>
        <w:rPr>
          <w:b/>
        </w:rPr>
        <w:t xml:space="preserve">Meaning and scope  </w:t>
      </w:r>
      <w:r>
        <w:t>Prevents a reboot from forgetting an incident, treating an old event as new or silently losing the reason behind an alert.</w:t>
      </w:r>
    </w:p>
    <w:p>
      <w:pPr>
        <w:pStyle w:val="SpecBody"/>
      </w:pPr>
      <w:r>
        <w:rPr>
          <w:b/>
        </w:rPr>
        <w:t xml:space="preserve">P0 requirement  </w:t>
      </w:r>
      <w:r>
        <w:t>Durably store configuration, consent/mode version, business events, active window state and unsent incident intents. Use bounded storage with explicit overflow policy. Recover from an interrupted write without treating corrupted data as valid. Preserve idempotency state for at least the maximum replay period.</w:t>
      </w:r>
    </w:p>
    <w:p>
      <w:pPr>
        <w:pStyle w:val="SpecBody"/>
      </w:pPr>
      <w:r>
        <w:rPr>
          <w:rFonts w:ascii="Calibri" w:hAnsi="Calibri"/>
          <w:b/>
          <w:color w:val="1F4D78"/>
          <w:sz w:val="22"/>
        </w:rPr>
        <w:t xml:space="preserve">Corresponding hardware  </w:t>
      </w:r>
      <w:r>
        <w:rPr>
          <w:rFonts w:ascii="Calibri" w:hAnsi="Calibri"/>
          <w:sz w:val="22"/>
        </w:rPr>
        <w:t>Verify the purchased ESP32 DevKit V1 module, onboard flash and partition layout against the compiled hub image and journal budget. ESP32 DevKit/SuperMini flash size, USB bridge, LEDs, regulator and leakage vary by supplier; a listing title is not sufficient evidence.</w:t>
      </w:r>
    </w:p>
    <w:p>
      <w:pPr>
        <w:pStyle w:val="SpecBody"/>
      </w:pPr>
      <w:r>
        <w:rPr>
          <w:b/>
        </w:rPr>
        <w:t xml:space="preserve">Detailed software design  </w:t>
      </w:r>
      <w:r>
        <w:t>H02 journal.cpp uses a dedicated append-only flash ring with record length, version, CRC and commit marker, backed by ESP-IDF partition APIs and crash tests. recovery.cpp scans committed records, reconstructs state and applies periodic checkpoints. NVS holds small configuration/credential metadata, not the high-volume event log [S3]. N05 journals business events; periodic heartbeats remain volatile to reduce wear. Backend events plus outbox intents commit in one PostgreSQL transaction.</w:t>
      </w:r>
    </w:p>
    <w:p>
      <w:pPr>
        <w:pStyle w:val="SpecBody"/>
      </w:pPr>
      <w:r>
        <w:rPr>
          <w:b/>
        </w:rPr>
        <w:t xml:space="preserve">Communication flow  </w:t>
      </w:r>
      <w:r>
        <w:t>A durable local commit precedes radio business ACK. A durable backend commit precedes cloud application ACK. Notification jobs are not committed independently of their incident. Recovery replays through the same reducers as live processing.</w:t>
      </w:r>
    </w:p>
    <w:p>
      <w:pPr>
        <w:pStyle w:val="SpecBody"/>
      </w:pPr>
      <w:r>
        <w:rPr>
          <w:b/>
        </w:rPr>
        <w:t xml:space="preserve">Failure and edge handling  </w:t>
      </w:r>
      <w:r>
        <w:t>At high-water mark, compact acknowledged records and coalesce health samples. Preserve reserved contact/incident slots; if even those cannot be committed, show failure and raise a storage fault rather than success. Full power loss may lose only events not yet durably acknowledged; any uncertain interval is marked incomplete.</w:t>
      </w:r>
    </w:p>
    <w:p>
      <w:pPr>
        <w:pStyle w:val="SpecBody"/>
      </w:pPr>
      <w:r>
        <w:rPr>
          <w:b/>
        </w:rPr>
        <w:t xml:space="preserve">Exit criteria / tests  </w:t>
      </w:r>
      <w:r>
        <w:t>E05-T1: interrupt writes at each record boundary/commit stage; recovery accepts no partial record. E05-T2: 100 scripted power cycles preserve acknowledged events and prevent duplicate incidents. E05-T3: full-disk/flash tests expose data loss and retain actionable fault status.</w:t>
      </w:r>
    </w:p>
    <w:p>
      <w:pPr>
        <w:pStyle w:val="SpecBody"/>
      </w:pPr>
      <w:r>
        <w:rPr>
          <w:b/>
        </w:rPr>
        <w:t xml:space="preserve">Further enhancement  </w:t>
      </w:r>
      <w:r>
        <w:t>External flash, stronger tamper evidence and tuned wear-leveling after measured event rates and endurance analysis.</w:t>
      </w:r>
    </w:p>
    <w:p>
      <w:bookmarkStart w:id="27" w:name="E06"/>
      <w:pPr>
        <w:pStyle w:val="Heading1"/>
        <w:pageBreakBefore/>
      </w:pPr>
      <w:r>
        <w:t>9. E06 — Trusted time and routine boundary handling</w:t>
      </w:r>
      <w:bookmarkEnd w:id="27"/>
    </w:p>
    <w:p>
      <w:pPr>
        <w:pStyle w:val="Micro"/>
      </w:pPr>
      <w:r>
        <w:t>MODULES  H03, H07, H05, S01, S02  •  File responsibilities: Appendix A</w:t>
      </w:r>
    </w:p>
    <w:p>
      <w:pPr>
        <w:pStyle w:val="SpecBody"/>
      </w:pPr>
      <w:r>
        <w:rPr>
          <w:b/>
        </w:rPr>
        <w:t xml:space="preserve">Meaning and scope  </w:t>
      </w:r>
      <w:r>
        <w:t>Keeps “when it happened” distinct from “when the server heard about it”. Incorrect time must not produce a confident missed-morning assertion.</w:t>
      </w:r>
    </w:p>
    <w:p>
      <w:pPr>
        <w:pStyle w:val="SpecBody"/>
      </w:pPr>
      <w:r>
        <w:rPr>
          <w:b/>
        </w:rPr>
        <w:t xml:space="preserve">P0 requirement  </w:t>
      </w:r>
      <w:r>
        <w:t>Represent trusted wall time, monotonic elapsed time and uncertainty explicitly. Store occurred_at, hub_received_at and server_received_at separately. Use the home’s IANA timezone, not the caregiver phone timezone. Timers shall survive reboot through persisted deadlines and conservative recovery.</w:t>
      </w:r>
    </w:p>
    <w:p>
      <w:pPr>
        <w:pStyle w:val="SpecBody"/>
      </w:pPr>
      <w:r>
        <w:rPr>
          <w:b/>
        </w:rPr>
        <w:t xml:space="preserve">Corresponding hardware  </w:t>
      </w:r>
      <w:r>
        <w:t>No RTC is mandatory for the bench prototype. Without a validated backed RTC, a cold boot while offline enters TIME_UNTRUSTED. An optional backed RTC can improve availability, not automatically guarantee accurate time.</w:t>
      </w:r>
    </w:p>
    <w:p>
      <w:pPr>
        <w:pStyle w:val="SpecBody"/>
      </w:pPr>
      <w:r>
        <w:rPr>
          <w:b/>
        </w:rPr>
        <w:t xml:space="preserve">Detailed software design  </w:t>
      </w:r>
      <w:r>
        <w:t>H03 clock.cpp obtains a bounded time interval from an authenticated backend time exchange and tracks monotonic drift; unauthenticated SNTP may seed time but cannot alone authorize absence evaluation. H07 stores a 90-day UTC window horizon generated server-side from an IANA zone. H03 maps node events using boot/session identity, monotonic event age and hub anchors; unknown-age events remain uncertain. Proposed absence eligibility requires uncertainty ≤60 seconds and no uncovered timing discontinuity.</w:t>
      </w:r>
    </w:p>
    <w:p>
      <w:pPr>
        <w:pStyle w:val="SpecBody"/>
      </w:pPr>
      <w:r>
        <w:rPr>
          <w:b/>
        </w:rPr>
        <w:t xml:space="preserve">Communication flow  </w:t>
      </w:r>
      <w:r>
        <w:t>Authenticated HTTPS time exchange and versioned boundary configuration → hub; node SESSION_START/TIME_ANCHOR exchange → event-age mapping. TLS bootstrapping uses the signed firmware build-time floor and persisted last-trusted lower bound; time-recovery failures require service attention, not disabled certificate validation.</w:t>
      </w:r>
    </w:p>
    <w:p>
      <w:pPr>
        <w:pStyle w:val="SpecBody"/>
      </w:pPr>
      <w:r>
        <w:rPr>
          <w:b/>
        </w:rPr>
        <w:t xml:space="preserve">Failure and edge handling  </w:t>
      </w:r>
      <w:r>
        <w:t>Clock jumps trigger re-evaluation against stable window IDs, never duplicate timer actions. Events whose uncertainty overlaps a boundary are not used to assert an in-window observation. Future DST policy: earliest valid start, latest valid end at an overlap; advance nonexistent local boundaries to the first valid instant, with generated boundaries visible in tests.</w:t>
      </w:r>
    </w:p>
    <w:p>
      <w:pPr>
        <w:pStyle w:val="SpecBody"/>
      </w:pPr>
      <w:r>
        <w:rPr>
          <w:b/>
        </w:rPr>
        <w:t xml:space="preserve">Exit criteria / tests  </w:t>
      </w:r>
      <w:r>
        <w:t>E06-T1: ±2-hour clock changes produce no duplicate incidents. E06-T2: offline cold boot suppresses absence claims but accepts manual buttons. E06-T3: delayed packets crossing window boundaries preserve uncertainty and original chronology. E06-T4: DST fixtures use the specified generated boundaries.</w:t>
      </w:r>
    </w:p>
    <w:p>
      <w:pPr>
        <w:pStyle w:val="SpecBody"/>
      </w:pPr>
      <w:r>
        <w:rPr>
          <w:b/>
        </w:rPr>
        <w:t xml:space="preserve">Further enhancement  </w:t>
      </w:r>
      <w:r>
        <w:t>Calibrated RTC, stronger trusted-time bootstrap and finer drift estimates after hardware validation.</w:t>
      </w:r>
    </w:p>
    <w:p>
      <w:bookmarkStart w:id="28" w:name="E07"/>
      <w:pPr>
        <w:pStyle w:val="Heading1"/>
        <w:pageBreakBefore/>
      </w:pPr>
      <w:r>
        <w:t>9. E07 — Versioned configuration and command application</w:t>
      </w:r>
      <w:bookmarkEnd w:id="28"/>
    </w:p>
    <w:p>
      <w:pPr>
        <w:pStyle w:val="Micro"/>
      </w:pPr>
      <w:r>
        <w:t>MODULES  B06, A03, H07, N04, H08, S01  •  File responsibilities: Appendix A</w:t>
      </w:r>
    </w:p>
    <w:p>
      <w:pPr>
        <w:pStyle w:val="SpecBody"/>
      </w:pPr>
      <w:r>
        <w:rPr>
          <w:b/>
        </w:rPr>
        <w:t xml:space="preserve">Meaning and scope  </w:t>
      </w:r>
      <w:r>
        <w:t>Makes configuration changes observable and safe. A caregiver clicking Save does not prove that a sleeping node or offline hub is already using the new setting.</w:t>
      </w:r>
    </w:p>
    <w:p>
      <w:pPr>
        <w:pStyle w:val="SpecBody"/>
      </w:pPr>
      <w:r>
        <w:rPr>
          <w:b/>
        </w:rPr>
        <w:t xml:space="preserve">P0 requirement  </w:t>
      </w:r>
      <w:r>
        <w:t>Track desired_version, applied_version, effective_at, actor and validation error. Commands require ID, target, schema version, issue time and expiry. Reject stale/unauthorized commands and incompatible schemas. Apply a valid configuration atomically or retain the previous working version.</w:t>
      </w:r>
    </w:p>
    <w:p>
      <w:pPr>
        <w:pStyle w:val="SpecBody"/>
      </w:pPr>
      <w:r>
        <w:rPr>
          <w:b/>
        </w:rPr>
        <w:t xml:space="preserve">Corresponding hardware  </w:t>
      </w:r>
      <w:r>
        <w:t>No additional hardware; node commands wait for the receiver window after a heartbeat/event. USB service mode is the fallback for a device that cannot receive or validate configuration.</w:t>
      </w:r>
    </w:p>
    <w:p>
      <w:pPr>
        <w:pStyle w:val="SpecBody"/>
      </w:pPr>
      <w:r>
        <w:rPr>
          <w:b/>
        </w:rPr>
        <w:t xml:space="preserve">Detailed software design  </w:t>
      </w:r>
      <w:r>
        <w:t>B06 config.py stores immutable versions and publishes a command intent. H07 config_apply.cpp validates size, routine bounds, device membership and clock horizon, stages into alternate storage, verifies and swaps the active pointer. N04 config_apply.cpp only changes its supported sensor/power settings and ACKs the applied hash/version. A03 ConfigStatus.tsx presents pending, applied, rejected or expired. Privacy and manual contact behavior cannot be disabled by a routine config.</w:t>
      </w:r>
    </w:p>
    <w:p>
      <w:pPr>
        <w:pStyle w:val="SpecBody"/>
      </w:pPr>
      <w:r>
        <w:rPr>
          <w:b/>
        </w:rPr>
        <w:t xml:space="preserve">Communication flow  </w:t>
      </w:r>
      <w:r>
        <w:t>HTTPS PUT with If-Match → DB/outbox → non-retained MQTT command → hub applied/rejected event. Hub→node command is delivered during the next awake exchange, with explicit application ACK. Reconnect fetches desired state through an authenticated reconciliation request, not an indefinitely retained action.</w:t>
      </w:r>
    </w:p>
    <w:p>
      <w:pPr>
        <w:pStyle w:val="SpecBody"/>
      </w:pPr>
      <w:r>
        <w:rPr>
          <w:b/>
        </w:rPr>
        <w:t xml:space="preserve">Failure and edge handling  </w:t>
      </w:r>
      <w:r>
        <w:t>If a node has not applied a heartbeat interval change, health leases use its last confirmed interval. Partial installation is visible per device. Expired commands are rejected rather than executed late. Removing a node from a live routine takes effect at the next window unless explicitly aborting the current one as incomplete.</w:t>
      </w:r>
    </w:p>
    <w:p>
      <w:pPr>
        <w:pStyle w:val="SpecBody"/>
      </w:pPr>
      <w:r>
        <w:rPr>
          <w:b/>
        </w:rPr>
        <w:t xml:space="preserve">Exit criteria / tests  </w:t>
      </w:r>
      <w:r>
        <w:t>E07-T1: power fails during config staging; old or new complete config is used, never mixed fields. E07-T2: duplicate command applies once. E07-T3: sleeping node remains pending until its ACK. E07-T4: stale app writes return conflict.</w:t>
      </w:r>
    </w:p>
    <w:p>
      <w:pPr>
        <w:pStyle w:val="SpecBody"/>
      </w:pPr>
      <w:r>
        <w:rPr>
          <w:b/>
        </w:rPr>
        <w:t xml:space="preserve">Further enhancement  </w:t>
      </w:r>
      <w:r>
        <w:t>Fleet rollout cohorts, staged policy experiments and reusable household templates with explicit resident approval.</w:t>
      </w:r>
    </w:p>
    <w:p>
      <w:bookmarkStart w:id="29" w:name="E08"/>
      <w:pPr>
        <w:pStyle w:val="Heading1"/>
        <w:pageBreakBefore/>
      </w:pPr>
      <w:r>
        <w:t>9. E08 — Security, access control and data lifecycle</w:t>
      </w:r>
      <w:bookmarkEnd w:id="29"/>
    </w:p>
    <w:p>
      <w:pPr>
        <w:pStyle w:val="Micro"/>
      </w:pPr>
      <w:r>
        <w:t>MODULES  S03, B01, B02, B06, B08, A05, T01  •  File responsibilities: Appendix A</w:t>
      </w:r>
    </w:p>
    <w:p>
      <w:pPr>
        <w:pStyle w:val="SpecBody"/>
      </w:pPr>
      <w:r>
        <w:rPr>
          <w:b/>
        </w:rPr>
        <w:t xml:space="preserve">Meaning and scope  </w:t>
      </w:r>
      <w:r>
        <w:t>Protects household activity, prevents unauthorized device commands and gives users a clear way to revoke access and delete their data.</w:t>
      </w:r>
    </w:p>
    <w:p>
      <w:pPr>
        <w:pStyle w:val="SpecBody"/>
      </w:pPr>
      <w:r>
        <w:rPr>
          <w:b/>
        </w:rPr>
        <w:t xml:space="preserve">P0 requirement  </w:t>
      </w:r>
      <w:r>
        <w:t>Use unique device credentials, encrypted local unicast, validated TLS and least-privilege home access. No shared fleet secret or public activity topic. Record security-sensitive actions without secrets. Provide membership revocation, kit decommissioning, data export and deletion. Review real launch obligations separately; this design is not a compliance certificate.</w:t>
      </w:r>
    </w:p>
    <w:p>
      <w:pPr>
        <w:pStyle w:val="SpecBody"/>
      </w:pPr>
      <w:r>
        <w:rPr>
          <w:b/>
        </w:rPr>
        <w:t xml:space="preserve">Corresponding hardware  </w:t>
      </w:r>
      <w:r>
        <w:t>Secure boot/flash encryption capability is used on supported ESP32 variants for resident-pilot builds after a tested recovery procedure. Debug access and irreversible eFuse steps need an explicit manufacturing checklist [S6].</w:t>
      </w:r>
    </w:p>
    <w:p>
      <w:pPr>
        <w:pStyle w:val="SpecBody"/>
      </w:pPr>
      <w:r>
        <w:rPr>
          <w:b/>
        </w:rPr>
        <w:t xml:space="preserve">Detailed software design  </w:t>
      </w:r>
      <w:r>
        <w:t>S03 credentials.cpp owns provisioning and secret storage. B01 verifies OIDC tokens and resolves membership on every request; B06 constrains device certificates to its hub topics/home. PostgreSQL RLS is defense in depth with a non-owner application role and transaction-local tenant context; privileged workers use narrowly scoped roles [S7]. B08 retention.py implements scheduled retention and deletion, including derived projections, push subscriptions and exports.</w:t>
      </w:r>
    </w:p>
    <w:p>
      <w:pPr>
        <w:pStyle w:val="SpecBody"/>
      </w:pPr>
      <w:r>
        <w:rPr>
          <w:b/>
        </w:rPr>
        <w:t xml:space="preserve">Communication flow  </w:t>
      </w:r>
      <w:r>
        <w:t>TLS for cloud/API; encrypted ESP-NOW per peer; no PII in broker topic names or lock-screen defaults. Revoke account membership immediately server-side; revoke device credentials on loss. Resident physical privacy remains effective without a server round trip.</w:t>
      </w:r>
    </w:p>
    <w:p>
      <w:pPr>
        <w:pStyle w:val="SpecBody"/>
      </w:pPr>
      <w:r>
        <w:rPr>
          <w:b/>
        </w:rPr>
        <w:t xml:space="preserve">Failure and edge handling  </w:t>
      </w:r>
      <w:r>
        <w:t>JWT validity alone does not preserve removed membership. Unknown devices/schema are rejected. Deletion disables new ingestion/routing, deletes active data within 7 days, then ages out encrypted backups within 30 days; restored backups reapply deletion tombstones before service. In-flight third-party delivery may not be retractable.</w:t>
      </w:r>
    </w:p>
    <w:p>
      <w:pPr>
        <w:pStyle w:val="SpecBody"/>
      </w:pPr>
      <w:r>
        <w:rPr>
          <w:b/>
        </w:rPr>
        <w:t xml:space="preserve">Exit criteria / tests  </w:t>
      </w:r>
      <w:r>
        <w:t>E08-T1: automated cross-home matrix blocks read/write/stream/export. E08-T2: revoked device cannot publish/subscribe. E08-T3: exported/logged artifacts contain no credentials. E08-T4: deletion/restore drill does not resurrect an active home.</w:t>
      </w:r>
    </w:p>
    <w:p>
      <w:pPr>
        <w:pStyle w:val="SpecBody"/>
      </w:pPr>
      <w:r>
        <w:rPr>
          <w:b/>
        </w:rPr>
        <w:t xml:space="preserve">Further enhancement  </w:t>
      </w:r>
      <w:r>
        <w:t>Independent security review, hardware-backed keys and formal regional compliance work before broader commercial deployment.</w:t>
      </w:r>
    </w:p>
    <w:p>
      <w:bookmarkStart w:id="30" w:name="E09"/>
      <w:pPr>
        <w:pStyle w:val="Heading1"/>
        <w:pageBreakBefore/>
      </w:pPr>
      <w:r>
        <w:t>9. E09 — Firmware update, watchdog and recovery</w:t>
      </w:r>
      <w:bookmarkEnd w:id="30"/>
    </w:p>
    <w:p>
      <w:pPr>
        <w:pStyle w:val="Micro"/>
      </w:pPr>
      <w:r>
        <w:t>MODULES  S03, H07, N04, B06, B08, T02  •  File responsibilities: Appendix A</w:t>
      </w:r>
    </w:p>
    <w:p>
      <w:pPr>
        <w:pStyle w:val="SpecBody"/>
      </w:pPr>
      <w:r>
        <w:rPr>
          <w:b/>
        </w:rPr>
        <w:t xml:space="preserve">Meaning and scope  </w:t>
      </w:r>
      <w:r>
        <w:t>Lets the engineer correct firmware without leaving a household silently unmonitored. A firmware version number alone is not evidence that an update succeeded.</w:t>
      </w:r>
    </w:p>
    <w:p>
      <w:pPr>
        <w:pStyle w:val="SpecBody"/>
      </w:pPr>
      <w:r>
        <w:rPr>
          <w:b/>
        </w:rPr>
        <w:t xml:space="preserve">P0 requirement  </w:t>
      </w:r>
      <w:r>
        <w:t>Report running version, reset reason and boot health. Enable watchdogs without masking persistent faults. Verify signed images and support recovery after failed updates. Hub remote OTA is P0; battery nodes may use signed USB maintenance updates for the assisted pilot, explicitly shown as maintenance downtime.</w:t>
      </w:r>
    </w:p>
    <w:p>
      <w:pPr>
        <w:pStyle w:val="SpecBody"/>
      </w:pPr>
      <w:r>
        <w:rPr>
          <w:b/>
        </w:rPr>
        <w:t xml:space="preserve">Corresponding hardware  </w:t>
      </w:r>
      <w:r>
        <w:t>Partition capacity for two hub application slots plus metadata and data ring must be verified against the compiled image. Nodes need accessible USB/program pads. Update only with stable external power or a validated energy margin; do not assume a voltage reading guarantees capacity.</w:t>
      </w:r>
    </w:p>
    <w:p>
      <w:pPr>
        <w:pStyle w:val="SpecBody"/>
      </w:pPr>
      <w:r>
        <w:rPr>
          <w:b/>
        </w:rPr>
        <w:t xml:space="preserve">Detailed software design  </w:t>
      </w:r>
      <w:r>
        <w:t>S03 ota.cpp verifies manifest target, image size, signature and compatible config/schema. H07 update_manager.cpp stages a hub update outside the morning window when no contact request is open. New firmware enters pending verification, checks journal/config/radio/UI health, then marks valid; otherwise roll back [S2]. Boot health must not depend solely on internet availability. N04 uses the same image authenticity policy in service mode.</w:t>
      </w:r>
    </w:p>
    <w:p>
      <w:pPr>
        <w:pStyle w:val="SpecBody"/>
      </w:pPr>
      <w:r>
        <w:rPr>
          <w:b/>
        </w:rPr>
        <w:t xml:space="preserve">Communication flow  </w:t>
      </w:r>
      <w:r>
        <w:t>Backend signed manifest → hub HTTPS download → boot/recovery → version/health event. App shows maintenance and revalidated coverage. Node service updates are logged against serial and firmware hash in B06.</w:t>
      </w:r>
    </w:p>
    <w:p>
      <w:pPr>
        <w:pStyle w:val="SpecBody"/>
      </w:pPr>
      <w:r>
        <w:rPr>
          <w:b/>
        </w:rPr>
        <w:t xml:space="preserve">Failure and edge handling  </w:t>
      </w:r>
      <w:r>
        <w:t>Failed signature, wrong board profile, insufficient partition space or unsupported downgrade is rejected. A rollback preserves data-schema compatibility. Repeated reboot loops stop normal observation claims and expose a service fault. Fuses/anti-rollback version changes require a release-specific recovery review.</w:t>
      </w:r>
    </w:p>
    <w:p>
      <w:pPr>
        <w:pStyle w:val="SpecBody"/>
      </w:pPr>
      <w:r>
        <w:rPr>
          <w:b/>
        </w:rPr>
        <w:t xml:space="preserve">Exit criteria / tests  </w:t>
      </w:r>
      <w:r>
        <w:t>E09-T1: cut power during download and during first boot; recover to a working signed image. E09-T2: wrong-target/tampered image is rejected. E09-T3: reboot-loop injection is visible; missing coverage is never displayed as normal. E09-T4: offline first boot can pass local health checks.</w:t>
      </w:r>
    </w:p>
    <w:p>
      <w:pPr>
        <w:pStyle w:val="SpecBody"/>
      </w:pPr>
      <w:r>
        <w:rPr>
          <w:b/>
        </w:rPr>
        <w:t xml:space="preserve">Further enhancement  </w:t>
      </w:r>
      <w:r>
        <w:t>Battery-node remote maintenance OTA, staged fleet rollouts and automatic rollback metrics; never stream node updates during its ordinary low-power duty cycle without an energy plan.</w:t>
      </w:r>
    </w:p>
    <w:p>
      <w:bookmarkStart w:id="31" w:name="E10"/>
      <w:pPr>
        <w:pStyle w:val="Heading1"/>
        <w:pageBreakBefore/>
      </w:pPr>
      <w:r>
        <w:t>9. E10 — Diagnostics, support and installation evidence</w:t>
      </w:r>
      <w:bookmarkEnd w:id="31"/>
    </w:p>
    <w:p>
      <w:pPr>
        <w:pStyle w:val="Micro"/>
      </w:pPr>
      <w:r>
        <w:t>MODULES  B08, A02, T01, T02, T03, H02, H08  •  File responsibilities: Appendix A</w:t>
      </w:r>
    </w:p>
    <w:p>
      <w:pPr>
        <w:pStyle w:val="SpecBody"/>
      </w:pPr>
      <w:r>
        <w:rPr>
          <w:b/>
        </w:rPr>
        <w:t xml:space="preserve">Meaning and scope  </w:t>
      </w:r>
      <w:r>
        <w:t>Provides enough evidence to explain missed observations, repeat alerts and battery problems without continuous surveillance or expensive household troubleshooting.</w:t>
      </w:r>
    </w:p>
    <w:p>
      <w:pPr>
        <w:pStyle w:val="SpecBody"/>
      </w:pPr>
      <w:r>
        <w:rPr>
          <w:b/>
        </w:rPr>
        <w:t xml:space="preserve">P0 requirement  </w:t>
      </w:r>
      <w:r>
        <w:t>Expose firmware, config versions, reset causes, last seen, lease gaps, queue watermarks, retry/error counts and notification attempts. Support a resident/caregiver-approved diagnostic export with a case ID and expiry. Keep raw audio/video entirely absent. Log operational error codes, not hidden sensitive payloads.</w:t>
      </w:r>
    </w:p>
    <w:p>
      <w:pPr>
        <w:pStyle w:val="SpecBody"/>
      </w:pPr>
      <w:r>
        <w:rPr>
          <w:b/>
        </w:rPr>
        <w:t xml:space="preserve">Corresponding hardware  </w:t>
      </w:r>
      <w:r>
        <w:t>Serial service interface, labeled device IDs and a current-measurement setup for bench work. A production test jig should exercise each sensor, button, supply transition and radio link before installation.</w:t>
      </w:r>
    </w:p>
    <w:p>
      <w:pPr>
        <w:pStyle w:val="SpecBody"/>
      </w:pPr>
      <w:r>
        <w:rPr>
          <w:b/>
        </w:rPr>
        <w:t xml:space="preserve">Detailed software design  </w:t>
      </w:r>
      <w:r>
        <w:t>B08 diagnostics.py composes a minimal redacted export; audit.py records who requested/accessed it. T01 replay.py accepts anonymized events/config to reproduce the rule decision in S02. T02 runner.py controls fault scenarios and records pass/fail with firmware hash. T03 runbook.md maps visible faults to safe troubleshooting steps and states when the resident must use ordinary family contact instead.</w:t>
      </w:r>
    </w:p>
    <w:p>
      <w:pPr>
        <w:pStyle w:val="SpecBody"/>
      </w:pPr>
      <w:r>
        <w:rPr>
          <w:b/>
        </w:rPr>
        <w:t xml:space="preserve">Communication flow  </w:t>
      </w:r>
      <w:r>
        <w:t>Hub bounded metrics/events → backend operational store; app → authenticated export request → short-lived download, proposed 24-hour expiry. Support access is explicit and time-limited, not a standing ability to browse every home.</w:t>
      </w:r>
    </w:p>
    <w:p>
      <w:pPr>
        <w:pStyle w:val="SpecBody"/>
      </w:pPr>
      <w:r>
        <w:rPr>
          <w:b/>
        </w:rPr>
        <w:t xml:space="preserve">Failure and edge handling  </w:t>
      </w:r>
      <w:r>
        <w:t>If diagnostics fail, they must not block buttons or routine processing. Rate-limit logs and prioritize actionable faults over repeated debug lines. Redaction failure blocks export. Cloud outage means local logs may need physical collection; never imply remote support is still observing the home.</w:t>
      </w:r>
    </w:p>
    <w:p>
      <w:pPr>
        <w:pStyle w:val="SpecBody"/>
      </w:pPr>
      <w:r>
        <w:rPr>
          <w:b/>
        </w:rPr>
        <w:t xml:space="preserve">Exit criteria / tests  </w:t>
      </w:r>
      <w:r>
        <w:t>E10-T1: inject packet loss; exported counters and coverage explain the outcome. E10-T2: replay yields the same incident/reason as the hub. E10-T3: log flood cannot starve contact input. E10-T4: expired export link and expired installer/support role cannot retrieve data.</w:t>
      </w:r>
    </w:p>
    <w:p>
      <w:pPr>
        <w:pStyle w:val="SpecBody"/>
      </w:pPr>
      <w:r>
        <w:rPr>
          <w:b/>
        </w:rPr>
        <w:t xml:space="preserve">Further enhancement  </w:t>
      </w:r>
      <w:r>
        <w:t>Automated support suggestions, fleet anomaly detection and remote consented test mode, measured against actual support minutes per home.</w:t>
      </w:r>
    </w:p>
    <w:p>
      <w:bookmarkStart w:id="32" w:name="verification"/>
      <w:pPr>
        <w:pStyle w:val="Heading1"/>
        <w:pageBreakBefore/>
      </w:pPr>
      <w:r>
        <w:t>10. Verification and release exit criteria</w:t>
      </w:r>
      <w:bookmarkEnd w:id="32"/>
    </w:p>
    <w:p>
      <w:pPr>
        <w:pStyle w:val="SpecBody"/>
      </w:pPr>
      <w:r>
        <w:t>This document defines tests; it does not report passing test results. Build a requirements-to-evidence matrix using each Fxx-Tn / Exx-Tn ID, firmware hash, backend commit, fixture version, hardware serial, timestamp, expected result and observed result. A failure needs a linked defect and retest. No resident pilot may rely on the device for emergency protection.</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780"/>
        <w:gridCol w:w="3650"/>
        <w:gridCol w:w="3930"/>
      </w:tblGrid>
      <w:tr>
        <w:trPr>
          <w:cantSplit/>
          <w:tblHeader/>
        </w:trPr>
        <w:tc>
          <w:tcPr>
            <w:tcW w:type="dxa" w:w="1780"/>
            <w:tcMar>
              <w:top w:w="80" w:type="dxa"/>
              <w:bottom w:w="80" w:type="dxa"/>
              <w:start w:w="120" w:type="dxa"/>
              <w:end w:w="120" w:type="dxa"/>
            </w:tcMar>
            <w:shd w:fill="E8EEF5"/>
          </w:tcPr>
          <w:p>
            <w:pPr>
              <w:pStyle w:val="TableText"/>
            </w:pPr>
            <w:r>
              <w:rPr>
                <w:b/>
              </w:rPr>
              <w:t>Test layer</w:t>
            </w:r>
          </w:p>
        </w:tc>
        <w:tc>
          <w:tcPr>
            <w:tcW w:type="dxa" w:w="3650"/>
            <w:tcMar>
              <w:top w:w="80" w:type="dxa"/>
              <w:bottom w:w="80" w:type="dxa"/>
              <w:start w:w="120" w:type="dxa"/>
              <w:end w:w="120" w:type="dxa"/>
            </w:tcMar>
            <w:shd w:fill="E8EEF5"/>
          </w:tcPr>
          <w:p>
            <w:pPr>
              <w:pStyle w:val="TableText"/>
            </w:pPr>
            <w:r>
              <w:rPr>
                <w:b/>
              </w:rPr>
              <w:t>Coverage</w:t>
            </w:r>
          </w:p>
        </w:tc>
        <w:tc>
          <w:tcPr>
            <w:tcW w:type="dxa" w:w="3930"/>
            <w:tcMar>
              <w:top w:w="80" w:type="dxa"/>
              <w:bottom w:w="80" w:type="dxa"/>
              <w:start w:w="120" w:type="dxa"/>
              <w:end w:w="120" w:type="dxa"/>
            </w:tcMar>
            <w:shd w:fill="E8EEF5"/>
          </w:tcPr>
          <w:p>
            <w:pPr>
              <w:pStyle w:val="TableText"/>
            </w:pPr>
            <w:r>
              <w:rPr>
                <w:b/>
              </w:rPr>
              <w:t>Proposed gate</w:t>
            </w:r>
          </w:p>
        </w:tc>
      </w:tr>
      <w:tr>
        <w:trPr>
          <w:cantSplit/>
        </w:trPr>
        <w:tc>
          <w:tcPr>
            <w:tcW w:type="dxa" w:w="1780"/>
            <w:tcMar>
              <w:top w:w="80" w:type="dxa"/>
              <w:bottom w:w="80" w:type="dxa"/>
              <w:start w:w="120" w:type="dxa"/>
              <w:end w:w="120" w:type="dxa"/>
            </w:tcMar>
          </w:tcPr>
          <w:p>
            <w:pPr>
              <w:pStyle w:val="TableText"/>
            </w:pPr>
            <w:r>
              <w:t>Unit/property tests</w:t>
            </w:r>
          </w:p>
        </w:tc>
        <w:tc>
          <w:tcPr>
            <w:tcW w:type="dxa" w:w="3650"/>
            <w:tcMar>
              <w:top w:w="80" w:type="dxa"/>
              <w:bottom w:w="80" w:type="dxa"/>
              <w:start w:w="120" w:type="dxa"/>
              <w:end w:w="120" w:type="dxa"/>
            </w:tcMar>
          </w:tcPr>
          <w:p>
            <w:pPr>
              <w:pStyle w:val="TableText"/>
            </w:pPr>
            <w:r>
              <w:t>Rule reducer, coverage intervals, schedules, debounce, IDs and command validation.</w:t>
            </w:r>
          </w:p>
        </w:tc>
        <w:tc>
          <w:tcPr>
            <w:tcW w:type="dxa" w:w="3930"/>
            <w:tcMar>
              <w:top w:w="80" w:type="dxa"/>
              <w:bottom w:w="80" w:type="dxa"/>
              <w:start w:w="120" w:type="dxa"/>
              <w:end w:w="120" w:type="dxa"/>
            </w:tcMar>
          </w:tcPr>
          <w:p>
            <w:pPr>
              <w:pStyle w:val="TableText"/>
            </w:pPr>
            <w:r>
              <w:t>Every transition/branch in the rule-state table exercised; randomized replay preserves invariants and determinism.</w:t>
            </w:r>
          </w:p>
        </w:tc>
      </w:tr>
      <w:tr>
        <w:trPr>
          <w:cantSplit/>
        </w:trPr>
        <w:tc>
          <w:tcPr>
            <w:tcW w:type="dxa" w:w="1780"/>
            <w:tcMar>
              <w:top w:w="80" w:type="dxa"/>
              <w:bottom w:w="80" w:type="dxa"/>
              <w:start w:w="120" w:type="dxa"/>
              <w:end w:w="120" w:type="dxa"/>
            </w:tcMar>
          </w:tcPr>
          <w:p>
            <w:pPr>
              <w:pStyle w:val="TableText"/>
            </w:pPr>
            <w:r>
              <w:t>Contract tests</w:t>
            </w:r>
          </w:p>
        </w:tc>
        <w:tc>
          <w:tcPr>
            <w:tcW w:type="dxa" w:w="3650"/>
            <w:tcMar>
              <w:top w:w="80" w:type="dxa"/>
              <w:bottom w:w="80" w:type="dxa"/>
              <w:start w:w="120" w:type="dxa"/>
              <w:end w:w="120" w:type="dxa"/>
            </w:tcMar>
          </w:tcPr>
          <w:p>
            <w:pPr>
              <w:pStyle w:val="TableText"/>
            </w:pPr>
            <w:r>
              <w:t>CBOR/JSON schemas, API clients, v1 compatibility, broker ACL.</w:t>
            </w:r>
          </w:p>
        </w:tc>
        <w:tc>
          <w:tcPr>
            <w:tcW w:type="dxa" w:w="3930"/>
            <w:tcMar>
              <w:top w:w="80" w:type="dxa"/>
              <w:bottom w:w="80" w:type="dxa"/>
              <w:start w:w="120" w:type="dxa"/>
              <w:end w:w="120" w:type="dxa"/>
            </w:tcMar>
          </w:tcPr>
          <w:p>
            <w:pPr>
              <w:pStyle w:val="TableText"/>
            </w:pPr>
            <w:r>
              <w:t>Golden packets across node/hub/backend; malformed lengths/types rejected; no unsafe buffer copies.</w:t>
            </w:r>
          </w:p>
        </w:tc>
      </w:tr>
      <w:tr>
        <w:trPr>
          <w:cantSplit/>
        </w:trPr>
        <w:tc>
          <w:tcPr>
            <w:tcW w:type="dxa" w:w="1780"/>
            <w:tcMar>
              <w:top w:w="80" w:type="dxa"/>
              <w:bottom w:w="80" w:type="dxa"/>
              <w:start w:w="120" w:type="dxa"/>
              <w:end w:w="120" w:type="dxa"/>
            </w:tcMar>
          </w:tcPr>
          <w:p>
            <w:pPr>
              <w:pStyle w:val="TableText"/>
            </w:pPr>
            <w:r>
              <w:t>Integration tests</w:t>
            </w:r>
          </w:p>
        </w:tc>
        <w:tc>
          <w:tcPr>
            <w:tcW w:type="dxa" w:w="3650"/>
            <w:tcMar>
              <w:top w:w="80" w:type="dxa"/>
              <w:bottom w:w="80" w:type="dxa"/>
              <w:start w:w="120" w:type="dxa"/>
              <w:end w:w="120" w:type="dxa"/>
            </w:tcMar>
          </w:tcPr>
          <w:p>
            <w:pPr>
              <w:pStyle w:val="TableText"/>
            </w:pPr>
            <w:r>
              <w:t>MQTT↔DB commit ACK, outbox, caregiver claims, notification adapter and read models.</w:t>
            </w:r>
          </w:p>
        </w:tc>
        <w:tc>
          <w:tcPr>
            <w:tcW w:type="dxa" w:w="3930"/>
            <w:tcMar>
              <w:top w:w="80" w:type="dxa"/>
              <w:bottom w:w="80" w:type="dxa"/>
              <w:start w:w="120" w:type="dxa"/>
              <w:end w:w="120" w:type="dxa"/>
            </w:tcMar>
          </w:tcPr>
          <w:p>
            <w:pPr>
              <w:pStyle w:val="TableText"/>
            </w:pPr>
            <w:r>
              <w:t>Crash before/after each transaction boundary; no lost acknowledged event or duplicate business intent.</w:t>
            </w:r>
          </w:p>
        </w:tc>
      </w:tr>
      <w:tr>
        <w:trPr>
          <w:cantSplit/>
        </w:trPr>
        <w:tc>
          <w:tcPr>
            <w:tcW w:type="dxa" w:w="1780"/>
            <w:tcMar>
              <w:top w:w="80" w:type="dxa"/>
              <w:bottom w:w="80" w:type="dxa"/>
              <w:start w:w="120" w:type="dxa"/>
              <w:end w:w="120" w:type="dxa"/>
            </w:tcMar>
          </w:tcPr>
          <w:p>
            <w:pPr>
              <w:pStyle w:val="TableText"/>
            </w:pPr>
            <w:r>
              <w:t>Hardware-in-loop</w:t>
            </w:r>
          </w:p>
        </w:tc>
        <w:tc>
          <w:tcPr>
            <w:tcW w:type="dxa" w:w="3650"/>
            <w:tcMar>
              <w:top w:w="80" w:type="dxa"/>
              <w:bottom w:w="80" w:type="dxa"/>
              <w:start w:w="120" w:type="dxa"/>
              <w:end w:w="120" w:type="dxa"/>
            </w:tcMar>
          </w:tcPr>
          <w:p>
            <w:pPr>
              <w:pStyle w:val="TableText"/>
            </w:pPr>
            <w:r>
              <w:t>Actual sensors, buttons, charger/power path, radio channel and reset behavior.</w:t>
            </w:r>
          </w:p>
        </w:tc>
        <w:tc>
          <w:tcPr>
            <w:tcW w:type="dxa" w:w="3930"/>
            <w:tcMar>
              <w:top w:w="80" w:type="dxa"/>
              <w:bottom w:w="80" w:type="dxa"/>
              <w:start w:w="120" w:type="dxa"/>
              <w:end w:w="120" w:type="dxa"/>
            </w:tcMar>
          </w:tcPr>
          <w:p>
            <w:pPr>
              <w:pStyle w:val="TableText"/>
            </w:pPr>
            <w:r>
              <w:t>100 door cycles; motion placement trials; 100 fault-injected power cycles; all expected results documented.</w:t>
            </w:r>
          </w:p>
        </w:tc>
      </w:tr>
      <w:tr>
        <w:trPr>
          <w:cantSplit/>
        </w:trPr>
        <w:tc>
          <w:tcPr>
            <w:tcW w:type="dxa" w:w="1780"/>
            <w:tcMar>
              <w:top w:w="80" w:type="dxa"/>
              <w:bottom w:w="80" w:type="dxa"/>
              <w:start w:w="120" w:type="dxa"/>
              <w:end w:w="120" w:type="dxa"/>
            </w:tcMar>
          </w:tcPr>
          <w:p>
            <w:pPr>
              <w:pStyle w:val="TableText"/>
            </w:pPr>
            <w:r>
              <w:t>Adversarial/network tests</w:t>
            </w:r>
          </w:p>
        </w:tc>
        <w:tc>
          <w:tcPr>
            <w:tcW w:type="dxa" w:w="3650"/>
            <w:tcMar>
              <w:top w:w="80" w:type="dxa"/>
              <w:bottom w:w="80" w:type="dxa"/>
              <w:start w:w="120" w:type="dxa"/>
              <w:end w:w="120" w:type="dxa"/>
            </w:tcMar>
          </w:tcPr>
          <w:p>
            <w:pPr>
              <w:pStyle w:val="TableText"/>
            </w:pPr>
            <w:r>
              <w:t>30% loss, duplication, reorder, stale sessions, WAN loss and replay bursts.</w:t>
            </w:r>
          </w:p>
        </w:tc>
        <w:tc>
          <w:tcPr>
            <w:tcW w:type="dxa" w:w="3930"/>
            <w:tcMar>
              <w:top w:w="80" w:type="dxa"/>
              <w:bottom w:w="80" w:type="dxa"/>
              <w:start w:w="120" w:type="dxa"/>
              <w:end w:w="120" w:type="dxa"/>
            </w:tcMar>
          </w:tcPr>
          <w:p>
            <w:pPr>
              <w:pStyle w:val="TableText"/>
            </w:pPr>
            <w:r>
              <w:t>No false normal/safe state, no duplicate incident, explicit data loss/degraded coverage.</w:t>
            </w:r>
          </w:p>
        </w:tc>
      </w:tr>
      <w:tr>
        <w:trPr>
          <w:cantSplit/>
        </w:trPr>
        <w:tc>
          <w:tcPr>
            <w:tcW w:type="dxa" w:w="1780"/>
            <w:tcMar>
              <w:top w:w="80" w:type="dxa"/>
              <w:bottom w:w="80" w:type="dxa"/>
              <w:start w:w="120" w:type="dxa"/>
              <w:end w:w="120" w:type="dxa"/>
            </w:tcMar>
          </w:tcPr>
          <w:p>
            <w:pPr>
              <w:pStyle w:val="TableText"/>
            </w:pPr>
            <w:r>
              <w:t>Security/privacy tests</w:t>
            </w:r>
          </w:p>
        </w:tc>
        <w:tc>
          <w:tcPr>
            <w:tcW w:type="dxa" w:w="3650"/>
            <w:tcMar>
              <w:top w:w="80" w:type="dxa"/>
              <w:bottom w:w="80" w:type="dxa"/>
              <w:start w:w="120" w:type="dxa"/>
              <w:end w:w="120" w:type="dxa"/>
            </w:tcMar>
          </w:tcPr>
          <w:p>
            <w:pPr>
              <w:pStyle w:val="TableText"/>
            </w:pPr>
            <w:r>
              <w:t>Cross-home operations, revocation, privacy switch, deletion and restore.</w:t>
            </w:r>
          </w:p>
        </w:tc>
        <w:tc>
          <w:tcPr>
            <w:tcW w:type="dxa" w:w="3930"/>
            <w:tcMar>
              <w:top w:w="80" w:type="dxa"/>
              <w:bottom w:w="80" w:type="dxa"/>
              <w:start w:w="120" w:type="dxa"/>
              <w:end w:w="120" w:type="dxa"/>
            </w:tcMar>
          </w:tcPr>
          <w:p>
            <w:pPr>
              <w:pStyle w:val="TableText"/>
            </w:pPr>
            <w:r>
              <w:t>All negative tests fail closed; no credentials/private payload in logs or lock-screen default.</w:t>
            </w:r>
          </w:p>
        </w:tc>
      </w:tr>
      <w:tr>
        <w:trPr>
          <w:cantSplit/>
        </w:trPr>
        <w:tc>
          <w:tcPr>
            <w:tcW w:type="dxa" w:w="1780"/>
            <w:tcMar>
              <w:top w:w="80" w:type="dxa"/>
              <w:bottom w:w="80" w:type="dxa"/>
              <w:start w:w="120" w:type="dxa"/>
              <w:end w:w="120" w:type="dxa"/>
            </w:tcMar>
          </w:tcPr>
          <w:p>
            <w:pPr>
              <w:pStyle w:val="TableText"/>
            </w:pPr>
            <w:r>
              <w:t>End-user tests</w:t>
            </w:r>
          </w:p>
        </w:tc>
        <w:tc>
          <w:tcPr>
            <w:tcW w:type="dxa" w:w="3650"/>
            <w:tcMar>
              <w:top w:w="80" w:type="dxa"/>
              <w:bottom w:w="80" w:type="dxa"/>
              <w:start w:w="120" w:type="dxa"/>
              <w:end w:w="120" w:type="dxa"/>
            </w:tcMar>
          </w:tcPr>
          <w:p>
            <w:pPr>
              <w:pStyle w:val="TableText"/>
            </w:pPr>
            <w:r>
              <w:t>Button meanings, notification permission, three evidence types and acknowledgement actions.</w:t>
            </w:r>
          </w:p>
        </w:tc>
        <w:tc>
          <w:tcPr>
            <w:tcW w:type="dxa" w:w="3930"/>
            <w:tcMar>
              <w:top w:w="80" w:type="dxa"/>
              <w:bottom w:w="80" w:type="dxa"/>
              <w:start w:w="120" w:type="dxa"/>
              <w:end w:w="120" w:type="dxa"/>
            </w:tcMar>
          </w:tcPr>
          <w:p>
            <w:pPr>
              <w:pStyle w:val="TableText"/>
            </w:pPr>
            <w:r>
              <w:t>Resident/caregivers correctly explain “observed”, “self-reported” and “unknown”; fix all critical misunderstandings.</w:t>
            </w:r>
          </w:p>
        </w:tc>
      </w:tr>
    </w:tbl>
    <w:p>
      <w:pPr>
        <w:pStyle w:val="TableSpacer"/>
      </w:pPr>
    </w:p>
    <w:p>
      <w:pPr>
        <w:pStyle w:val="Heading2"/>
        <w:pageBreakBefore/>
      </w:pPr>
      <w:r>
        <w:t>Numeric targets — measure, do not advertise yet</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090"/>
        <w:gridCol w:w="3590"/>
        <w:gridCol w:w="3680"/>
      </w:tblGrid>
      <w:tr>
        <w:trPr>
          <w:cantSplit/>
          <w:tblHeader/>
        </w:trPr>
        <w:tc>
          <w:tcPr>
            <w:tcW w:type="dxa" w:w="2090"/>
            <w:tcMar>
              <w:top w:w="80" w:type="dxa"/>
              <w:bottom w:w="80" w:type="dxa"/>
              <w:start w:w="120" w:type="dxa"/>
              <w:end w:w="120" w:type="dxa"/>
            </w:tcMar>
            <w:shd w:fill="E8EEF5"/>
          </w:tcPr>
          <w:p>
            <w:pPr>
              <w:pStyle w:val="TableText"/>
            </w:pPr>
            <w:r>
              <w:rPr>
                <w:b/>
              </w:rPr>
              <w:t>Metric</w:t>
            </w:r>
          </w:p>
        </w:tc>
        <w:tc>
          <w:tcPr>
            <w:tcW w:type="dxa" w:w="3590"/>
            <w:tcMar>
              <w:top w:w="80" w:type="dxa"/>
              <w:bottom w:w="80" w:type="dxa"/>
              <w:start w:w="120" w:type="dxa"/>
              <w:end w:w="120" w:type="dxa"/>
            </w:tcMar>
            <w:shd w:fill="E8EEF5"/>
          </w:tcPr>
          <w:p>
            <w:pPr>
              <w:pStyle w:val="TableText"/>
            </w:pPr>
            <w:r>
              <w:rPr>
                <w:b/>
              </w:rPr>
              <w:t>Bench / pilot target</w:t>
            </w:r>
          </w:p>
        </w:tc>
        <w:tc>
          <w:tcPr>
            <w:tcW w:type="dxa" w:w="3680"/>
            <w:tcMar>
              <w:top w:w="80" w:type="dxa"/>
              <w:bottom w:w="80" w:type="dxa"/>
              <w:start w:w="120" w:type="dxa"/>
              <w:end w:w="120" w:type="dxa"/>
            </w:tcMar>
            <w:shd w:fill="E8EEF5"/>
          </w:tcPr>
          <w:p>
            <w:pPr>
              <w:pStyle w:val="TableText"/>
            </w:pPr>
            <w:r>
              <w:rPr>
                <w:b/>
              </w:rPr>
              <w:t>Measurement boundary</w:t>
            </w:r>
          </w:p>
        </w:tc>
      </w:tr>
      <w:tr>
        <w:trPr>
          <w:cantSplit/>
        </w:trPr>
        <w:tc>
          <w:tcPr>
            <w:tcW w:type="dxa" w:w="2090"/>
            <w:tcMar>
              <w:top w:w="80" w:type="dxa"/>
              <w:bottom w:w="80" w:type="dxa"/>
              <w:start w:w="120" w:type="dxa"/>
              <w:end w:w="120" w:type="dxa"/>
            </w:tcMar>
          </w:tcPr>
          <w:p>
            <w:pPr>
              <w:pStyle w:val="TableText"/>
            </w:pPr>
            <w:r>
              <w:t>Local input feedback</w:t>
            </w:r>
          </w:p>
        </w:tc>
        <w:tc>
          <w:tcPr>
            <w:tcW w:type="dxa" w:w="3590"/>
            <w:tcMar>
              <w:top w:w="80" w:type="dxa"/>
              <w:bottom w:w="80" w:type="dxa"/>
              <w:start w:w="120" w:type="dxa"/>
              <w:end w:w="120" w:type="dxa"/>
            </w:tcMar>
          </w:tcPr>
          <w:p>
            <w:pPr>
              <w:pStyle w:val="TableText"/>
            </w:pPr>
            <w:r>
              <w:t>≤500 ms under normal load; privacy gating ≤1s</w:t>
            </w:r>
          </w:p>
        </w:tc>
        <w:tc>
          <w:tcPr>
            <w:tcW w:type="dxa" w:w="3680"/>
            <w:tcMar>
              <w:top w:w="80" w:type="dxa"/>
              <w:bottom w:w="80" w:type="dxa"/>
              <w:start w:w="120" w:type="dxa"/>
              <w:end w:w="120" w:type="dxa"/>
            </w:tcMar>
          </w:tcPr>
          <w:p>
            <w:pPr>
              <w:pStyle w:val="TableText"/>
            </w:pPr>
            <w:r>
              <w:t>Electrical input accepted → correct local feedback; storage error uses failure feedback.</w:t>
            </w:r>
          </w:p>
        </w:tc>
      </w:tr>
      <w:tr>
        <w:trPr>
          <w:cantSplit/>
        </w:trPr>
        <w:tc>
          <w:tcPr>
            <w:tcW w:type="dxa" w:w="2090"/>
            <w:tcMar>
              <w:top w:w="80" w:type="dxa"/>
              <w:bottom w:w="80" w:type="dxa"/>
              <w:start w:w="120" w:type="dxa"/>
              <w:end w:w="120" w:type="dxa"/>
            </w:tcMar>
          </w:tcPr>
          <w:p>
            <w:pPr>
              <w:pStyle w:val="TableText"/>
            </w:pPr>
            <w:r>
              <w:t>Routine execution</w:t>
            </w:r>
          </w:p>
        </w:tc>
        <w:tc>
          <w:tcPr>
            <w:tcW w:type="dxa" w:w="3590"/>
            <w:tcMar>
              <w:top w:w="80" w:type="dxa"/>
              <w:bottom w:w="80" w:type="dxa"/>
              <w:start w:w="120" w:type="dxa"/>
              <w:end w:w="120" w:type="dxa"/>
            </w:tcMar>
          </w:tcPr>
          <w:p>
            <w:pPr>
              <w:pStyle w:val="TableText"/>
            </w:pPr>
            <w:r>
              <w:t>≤2 s after local deadline/grace timer</w:t>
            </w:r>
          </w:p>
        </w:tc>
        <w:tc>
          <w:tcPr>
            <w:tcW w:type="dxa" w:w="3680"/>
            <w:tcMar>
              <w:top w:w="80" w:type="dxa"/>
              <w:bottom w:w="80" w:type="dxa"/>
              <w:start w:w="120" w:type="dxa"/>
              <w:end w:w="120" w:type="dxa"/>
            </w:tcMar>
          </w:tcPr>
          <w:p>
            <w:pPr>
              <w:pStyle w:val="TableText"/>
            </w:pPr>
            <w:r>
              <w:t>Valid time and no injected storage/CPU failure; no cloud dependency.</w:t>
            </w:r>
          </w:p>
        </w:tc>
      </w:tr>
      <w:tr>
        <w:trPr>
          <w:cantSplit/>
        </w:trPr>
        <w:tc>
          <w:tcPr>
            <w:tcW w:type="dxa" w:w="2090"/>
            <w:tcMar>
              <w:top w:w="80" w:type="dxa"/>
              <w:bottom w:w="80" w:type="dxa"/>
              <w:start w:w="120" w:type="dxa"/>
              <w:end w:w="120" w:type="dxa"/>
            </w:tcMar>
          </w:tcPr>
          <w:p>
            <w:pPr>
              <w:pStyle w:val="TableText"/>
            </w:pPr>
            <w:r>
              <w:t>Healthy event commit</w:t>
            </w:r>
          </w:p>
        </w:tc>
        <w:tc>
          <w:tcPr>
            <w:tcW w:type="dxa" w:w="3590"/>
            <w:tcMar>
              <w:top w:w="80" w:type="dxa"/>
              <w:bottom w:w="80" w:type="dxa"/>
              <w:start w:w="120" w:type="dxa"/>
              <w:end w:w="120" w:type="dxa"/>
            </w:tcMar>
          </w:tcPr>
          <w:p>
            <w:pPr>
              <w:pStyle w:val="TableText"/>
            </w:pPr>
            <w:r>
              <w:t>p95 ≤2 s at intended placement</w:t>
            </w:r>
          </w:p>
        </w:tc>
        <w:tc>
          <w:tcPr>
            <w:tcW w:type="dxa" w:w="3680"/>
            <w:tcMar>
              <w:top w:w="80" w:type="dxa"/>
              <w:bottom w:w="80" w:type="dxa"/>
              <w:start w:w="120" w:type="dxa"/>
              <w:end w:w="120" w:type="dxa"/>
            </w:tcMar>
          </w:tcPr>
          <w:p>
            <w:pPr>
              <w:pStyle w:val="TableText"/>
            </w:pPr>
            <w:r>
              <w:t>Sensor edge → durable hub business ACK; separate placement miss rate.</w:t>
            </w:r>
          </w:p>
        </w:tc>
      </w:tr>
      <w:tr>
        <w:trPr>
          <w:cantSplit/>
        </w:trPr>
        <w:tc>
          <w:tcPr>
            <w:tcW w:type="dxa" w:w="2090"/>
            <w:tcMar>
              <w:top w:w="80" w:type="dxa"/>
              <w:bottom w:w="80" w:type="dxa"/>
              <w:start w:w="120" w:type="dxa"/>
              <w:end w:w="120" w:type="dxa"/>
            </w:tcMar>
          </w:tcPr>
          <w:p>
            <w:pPr>
              <w:pStyle w:val="TableText"/>
            </w:pPr>
            <w:r>
              <w:t>Remote request</w:t>
            </w:r>
          </w:p>
        </w:tc>
        <w:tc>
          <w:tcPr>
            <w:tcW w:type="dxa" w:w="3590"/>
            <w:tcMar>
              <w:top w:w="80" w:type="dxa"/>
              <w:bottom w:w="80" w:type="dxa"/>
              <w:start w:w="120" w:type="dxa"/>
              <w:end w:w="120" w:type="dxa"/>
            </w:tcMar>
          </w:tcPr>
          <w:p>
            <w:pPr>
              <w:pStyle w:val="TableText"/>
            </w:pPr>
            <w:r>
              <w:t>p95 ≤10 s to provider acceptance on healthy internet</w:t>
            </w:r>
          </w:p>
        </w:tc>
        <w:tc>
          <w:tcPr>
            <w:tcW w:type="dxa" w:w="3680"/>
            <w:tcMar>
              <w:top w:w="80" w:type="dxa"/>
              <w:bottom w:w="80" w:type="dxa"/>
              <w:start w:w="120" w:type="dxa"/>
              <w:end w:w="120" w:type="dxa"/>
            </w:tcMar>
          </w:tcPr>
          <w:p>
            <w:pPr>
              <w:pStyle w:val="TableText"/>
            </w:pPr>
            <w:r>
              <w:t>Hub contact event → provider acceptance; separately measure actual phone display, no guaranteed delivery.</w:t>
            </w:r>
          </w:p>
        </w:tc>
      </w:tr>
      <w:tr>
        <w:trPr>
          <w:cantSplit/>
        </w:trPr>
        <w:tc>
          <w:tcPr>
            <w:tcW w:type="dxa" w:w="2090"/>
            <w:tcMar>
              <w:top w:w="80" w:type="dxa"/>
              <w:bottom w:w="80" w:type="dxa"/>
              <w:start w:w="120" w:type="dxa"/>
              <w:end w:w="120" w:type="dxa"/>
            </w:tcMar>
          </w:tcPr>
          <w:p>
            <w:pPr>
              <w:pStyle w:val="TableText"/>
            </w:pPr>
            <w:r>
              <w:t>Health expiry</w:t>
            </w:r>
          </w:p>
        </w:tc>
        <w:tc>
          <w:tcPr>
            <w:tcW w:type="dxa" w:w="3590"/>
            <w:tcMar>
              <w:top w:w="80" w:type="dxa"/>
              <w:bottom w:w="80" w:type="dxa"/>
              <w:start w:w="120" w:type="dxa"/>
              <w:end w:w="120" w:type="dxa"/>
            </w:tcMar>
          </w:tcPr>
          <w:p>
            <w:pPr>
              <w:pStyle w:val="TableText"/>
            </w:pPr>
            <w:r>
              <w:t>190 s lease + ≤2 s local / ≤10 s backend evaluation</w:t>
            </w:r>
          </w:p>
        </w:tc>
        <w:tc>
          <w:tcPr>
            <w:tcW w:type="dxa" w:w="3680"/>
            <w:tcMar>
              <w:top w:w="80" w:type="dxa"/>
              <w:bottom w:w="80" w:type="dxa"/>
              <w:start w:w="120" w:type="dxa"/>
              <w:end w:w="120" w:type="dxa"/>
            </w:tcMar>
          </w:tcPr>
          <w:p>
            <w:pPr>
              <w:pStyle w:val="TableText"/>
            </w:pPr>
            <w:r>
              <w:t>Last authenticated heartbeat; unknown cause, not “power cut” assertion.</w:t>
            </w:r>
          </w:p>
        </w:tc>
      </w:tr>
      <w:tr>
        <w:trPr>
          <w:cantSplit/>
        </w:trPr>
        <w:tc>
          <w:tcPr>
            <w:tcW w:type="dxa" w:w="2090"/>
            <w:tcMar>
              <w:top w:w="80" w:type="dxa"/>
              <w:bottom w:w="80" w:type="dxa"/>
              <w:start w:w="120" w:type="dxa"/>
              <w:end w:w="120" w:type="dxa"/>
            </w:tcMar>
          </w:tcPr>
          <w:p>
            <w:pPr>
              <w:pStyle w:val="TableText"/>
            </w:pPr>
            <w:r>
              <w:t>Offline storage</w:t>
            </w:r>
          </w:p>
        </w:tc>
        <w:tc>
          <w:tcPr>
            <w:tcW w:type="dxa" w:w="3590"/>
            <w:tcMar>
              <w:top w:w="80" w:type="dxa"/>
              <w:bottom w:w="80" w:type="dxa"/>
              <w:start w:w="120" w:type="dxa"/>
              <w:end w:w="120" w:type="dxa"/>
            </w:tcMar>
          </w:tcPr>
          <w:p>
            <w:pPr>
              <w:pStyle w:val="TableText"/>
            </w:pPr>
            <w:r>
              <w:t>≥72 h at 500 business events/home/day plus state overhead</w:t>
            </w:r>
          </w:p>
        </w:tc>
        <w:tc>
          <w:tcPr>
            <w:tcW w:type="dxa" w:w="3680"/>
            <w:tcMar>
              <w:top w:w="80" w:type="dxa"/>
              <w:bottom w:w="80" w:type="dxa"/>
              <w:start w:w="120" w:type="dxa"/>
              <w:end w:w="120" w:type="dxa"/>
            </w:tcMar>
          </w:tcPr>
          <w:p>
            <w:pPr>
              <w:pStyle w:val="TableText"/>
            </w:pPr>
            <w:r>
              <w:t>Measured serialized journal, not theoretical flash capacity only.</w:t>
            </w:r>
          </w:p>
        </w:tc>
      </w:tr>
      <w:tr>
        <w:trPr>
          <w:cantSplit/>
        </w:trPr>
        <w:tc>
          <w:tcPr>
            <w:tcW w:type="dxa" w:w="2090"/>
            <w:tcMar>
              <w:top w:w="80" w:type="dxa"/>
              <w:bottom w:w="80" w:type="dxa"/>
              <w:start w:w="120" w:type="dxa"/>
              <w:end w:w="120" w:type="dxa"/>
            </w:tcMar>
          </w:tcPr>
          <w:p>
            <w:pPr>
              <w:pStyle w:val="TableText"/>
            </w:pPr>
            <w:r>
              <w:t>Battery targets</w:t>
            </w:r>
          </w:p>
        </w:tc>
        <w:tc>
          <w:tcPr>
            <w:tcW w:type="dxa" w:w="3590"/>
            <w:tcMar>
              <w:top w:w="80" w:type="dxa"/>
              <w:bottom w:w="80" w:type="dxa"/>
              <w:start w:w="120" w:type="dxa"/>
              <w:end w:w="120" w:type="dxa"/>
            </w:tcMar>
          </w:tcPr>
          <w:p>
            <w:pPr>
              <w:pStyle w:val="TableText"/>
            </w:pPr>
            <w:r>
              <w:t>Nodes ≥7 d bench / provisional ≥30 d pilot; hub backup ≥4 h</w:t>
            </w:r>
          </w:p>
        </w:tc>
        <w:tc>
          <w:tcPr>
            <w:tcW w:type="dxa" w:w="3680"/>
            <w:tcMar>
              <w:top w:w="80" w:type="dxa"/>
              <w:bottom w:w="80" w:type="dxa"/>
              <w:start w:w="120" w:type="dxa"/>
              <w:end w:w="120" w:type="dxa"/>
            </w:tcMar>
          </w:tcPr>
          <w:p>
            <w:pPr>
              <w:pStyle w:val="TableText"/>
            </w:pPr>
            <w:r>
              <w:t>Whole-device battery-side discharge at documented workload; no lifetime guarantee.</w:t>
            </w:r>
          </w:p>
        </w:tc>
      </w:tr>
    </w:tbl>
    <w:p>
      <w:pPr>
        <w:pStyle w:val="TableSpacer"/>
      </w:pPr>
    </w:p>
    <w:p>
      <w:pPr>
        <w:pStyle w:val="Heading2"/>
        <w:pageBreakBefore/>
      </w:pPr>
      <w:r>
        <w:t>Cross-feature failure scenario matrix</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500"/>
        <w:gridCol w:w="4510"/>
        <w:gridCol w:w="2350"/>
      </w:tblGrid>
      <w:tr>
        <w:trPr>
          <w:cantSplit/>
          <w:tblHeader/>
        </w:trPr>
        <w:tc>
          <w:tcPr>
            <w:tcW w:type="dxa" w:w="2500"/>
            <w:tcMar>
              <w:top w:w="80" w:type="dxa"/>
              <w:bottom w:w="80" w:type="dxa"/>
              <w:start w:w="120" w:type="dxa"/>
              <w:end w:w="120" w:type="dxa"/>
            </w:tcMar>
            <w:shd w:fill="E8EEF5"/>
          </w:tcPr>
          <w:p>
            <w:pPr>
              <w:pStyle w:val="TableText"/>
            </w:pPr>
            <w:r>
              <w:rPr>
                <w:b/>
              </w:rPr>
              <w:t>Scenario</w:t>
            </w:r>
          </w:p>
        </w:tc>
        <w:tc>
          <w:tcPr>
            <w:tcW w:type="dxa" w:w="4510"/>
            <w:tcMar>
              <w:top w:w="80" w:type="dxa"/>
              <w:bottom w:w="80" w:type="dxa"/>
              <w:start w:w="120" w:type="dxa"/>
              <w:end w:w="120" w:type="dxa"/>
            </w:tcMar>
            <w:shd w:fill="E8EEF5"/>
          </w:tcPr>
          <w:p>
            <w:pPr>
              <w:pStyle w:val="TableText"/>
            </w:pPr>
            <w:r>
              <w:rPr>
                <w:b/>
              </w:rPr>
              <w:t>Required invariant</w:t>
            </w:r>
          </w:p>
        </w:tc>
        <w:tc>
          <w:tcPr>
            <w:tcW w:type="dxa" w:w="2350"/>
            <w:tcMar>
              <w:top w:w="80" w:type="dxa"/>
              <w:bottom w:w="80" w:type="dxa"/>
              <w:start w:w="120" w:type="dxa"/>
              <w:end w:w="120" w:type="dxa"/>
            </w:tcMar>
            <w:shd w:fill="E8EEF5"/>
          </w:tcPr>
          <w:p>
            <w:pPr>
              <w:pStyle w:val="TableText"/>
            </w:pPr>
            <w:r>
              <w:rPr>
                <w:b/>
              </w:rPr>
              <w:t>Coverage IDs</w:t>
            </w:r>
          </w:p>
        </w:tc>
      </w:tr>
      <w:tr>
        <w:trPr>
          <w:cantSplit/>
        </w:trPr>
        <w:tc>
          <w:tcPr>
            <w:tcW w:type="dxa" w:w="2500"/>
            <w:tcMar>
              <w:top w:w="80" w:type="dxa"/>
              <w:bottom w:w="80" w:type="dxa"/>
              <w:start w:w="120" w:type="dxa"/>
              <w:end w:w="120" w:type="dxa"/>
            </w:tcMar>
          </w:tcPr>
          <w:p>
            <w:pPr>
              <w:pStyle w:val="TableText"/>
            </w:pPr>
            <w:r>
              <w:t>Normal, late wake, outside window</w:t>
            </w:r>
          </w:p>
        </w:tc>
        <w:tc>
          <w:tcPr>
            <w:tcW w:type="dxa" w:w="4510"/>
            <w:tcMar>
              <w:top w:w="80" w:type="dxa"/>
              <w:bottom w:w="80" w:type="dxa"/>
              <w:start w:w="120" w:type="dxa"/>
              <w:end w:w="120" w:type="dxa"/>
            </w:tcMar>
          </w:tcPr>
          <w:p>
            <w:pPr>
              <w:pStyle w:val="TableText"/>
            </w:pPr>
            <w:r>
              <w:t>Correct chronology; no mandatory room sequence; one stable window.</w:t>
            </w:r>
          </w:p>
        </w:tc>
        <w:tc>
          <w:tcPr>
            <w:tcW w:type="dxa" w:w="2350"/>
            <w:tcMar>
              <w:top w:w="80" w:type="dxa"/>
              <w:bottom w:w="80" w:type="dxa"/>
              <w:start w:w="120" w:type="dxa"/>
              <w:end w:w="120" w:type="dxa"/>
            </w:tcMar>
          </w:tcPr>
          <w:p>
            <w:pPr>
              <w:pStyle w:val="TableText"/>
            </w:pPr>
            <w:r>
              <w:t>F04, F05, F08, E06</w:t>
            </w:r>
          </w:p>
        </w:tc>
      </w:tr>
      <w:tr>
        <w:trPr>
          <w:cantSplit/>
        </w:trPr>
        <w:tc>
          <w:tcPr>
            <w:tcW w:type="dxa" w:w="2500"/>
            <w:tcMar>
              <w:top w:w="80" w:type="dxa"/>
              <w:bottom w:w="80" w:type="dxa"/>
              <w:start w:w="120" w:type="dxa"/>
              <w:end w:w="120" w:type="dxa"/>
            </w:tcMar>
          </w:tcPr>
          <w:p>
            <w:pPr>
              <w:pStyle w:val="TableText"/>
            </w:pPr>
            <w:r>
              <w:t>Away, guests, pause and withdrawal</w:t>
            </w:r>
          </w:p>
        </w:tc>
        <w:tc>
          <w:tcPr>
            <w:tcW w:type="dxa" w:w="4510"/>
            <w:tcMar>
              <w:top w:w="80" w:type="dxa"/>
              <w:bottom w:w="80" w:type="dxa"/>
              <w:start w:w="120" w:type="dxa"/>
              <w:end w:w="120" w:type="dxa"/>
            </w:tcMar>
          </w:tcPr>
          <w:p>
            <w:pPr>
              <w:pStyle w:val="TableText"/>
            </w:pPr>
            <w:r>
              <w:t>No hub/cloud passive storage during privacy; no visitor identity inference. Purge/drop buffered privacy events.</w:t>
            </w:r>
          </w:p>
        </w:tc>
        <w:tc>
          <w:tcPr>
            <w:tcW w:type="dxa" w:w="2350"/>
            <w:tcMar>
              <w:top w:w="80" w:type="dxa"/>
              <w:bottom w:w="80" w:type="dxa"/>
              <w:start w:w="120" w:type="dxa"/>
              <w:end w:w="120" w:type="dxa"/>
            </w:tcMar>
          </w:tcPr>
          <w:p>
            <w:pPr>
              <w:pStyle w:val="TableText"/>
            </w:pPr>
            <w:r>
              <w:t>F02, F10, E08</w:t>
            </w:r>
          </w:p>
        </w:tc>
      </w:tr>
      <w:tr>
        <w:trPr>
          <w:cantSplit/>
        </w:trPr>
        <w:tc>
          <w:tcPr>
            <w:tcW w:type="dxa" w:w="2500"/>
            <w:tcMar>
              <w:top w:w="80" w:type="dxa"/>
              <w:bottom w:w="80" w:type="dxa"/>
              <w:start w:w="120" w:type="dxa"/>
              <w:end w:w="120" w:type="dxa"/>
            </w:tcMar>
          </w:tcPr>
          <w:p>
            <w:pPr>
              <w:pStyle w:val="TableText"/>
            </w:pPr>
            <w:r>
              <w:t>PIR/door battery removed mid-window</w:t>
            </w:r>
          </w:p>
        </w:tc>
        <w:tc>
          <w:tcPr>
            <w:tcW w:type="dxa" w:w="4510"/>
            <w:tcMar>
              <w:top w:w="80" w:type="dxa"/>
              <w:bottom w:w="80" w:type="dxa"/>
              <w:start w:w="120" w:type="dxa"/>
              <w:end w:w="120" w:type="dxa"/>
            </w:tcMar>
          </w:tcPr>
          <w:p>
            <w:pPr>
              <w:pStyle w:val="TableText"/>
            </w:pPr>
            <w:r>
              <w:t>Incomplete observation, never confident inactivity from lost coverage.</w:t>
            </w:r>
          </w:p>
        </w:tc>
        <w:tc>
          <w:tcPr>
            <w:tcW w:type="dxa" w:w="2350"/>
            <w:tcMar>
              <w:top w:w="80" w:type="dxa"/>
              <w:bottom w:w="80" w:type="dxa"/>
              <w:start w:w="120" w:type="dxa"/>
              <w:end w:w="120" w:type="dxa"/>
            </w:tcMar>
          </w:tcPr>
          <w:p>
            <w:pPr>
              <w:pStyle w:val="TableText"/>
            </w:pPr>
            <w:r>
              <w:t>F08, F09, E01</w:t>
            </w:r>
          </w:p>
        </w:tc>
      </w:tr>
      <w:tr>
        <w:trPr>
          <w:cantSplit/>
        </w:trPr>
        <w:tc>
          <w:tcPr>
            <w:tcW w:type="dxa" w:w="2500"/>
            <w:tcMar>
              <w:top w:w="80" w:type="dxa"/>
              <w:bottom w:w="80" w:type="dxa"/>
              <w:start w:w="120" w:type="dxa"/>
              <w:end w:w="120" w:type="dxa"/>
            </w:tcMar>
          </w:tcPr>
          <w:p>
            <w:pPr>
              <w:pStyle w:val="TableText"/>
            </w:pPr>
            <w:r>
              <w:t>Router reboot / auto-channel change</w:t>
            </w:r>
          </w:p>
        </w:tc>
        <w:tc>
          <w:tcPr>
            <w:tcW w:type="dxa" w:w="4510"/>
            <w:tcMar>
              <w:top w:w="80" w:type="dxa"/>
              <w:bottom w:w="80" w:type="dxa"/>
              <w:start w:w="120" w:type="dxa"/>
              <w:end w:w="120" w:type="dxa"/>
            </w:tcMar>
          </w:tcPr>
          <w:p>
            <w:pPr>
              <w:pStyle w:val="TableText"/>
            </w:pPr>
            <w:r>
              <w:t>Bounded reacquisition; historical gap survives recovery.</w:t>
            </w:r>
          </w:p>
        </w:tc>
        <w:tc>
          <w:tcPr>
            <w:tcW w:type="dxa" w:w="2350"/>
            <w:tcMar>
              <w:top w:w="80" w:type="dxa"/>
              <w:bottom w:w="80" w:type="dxa"/>
              <w:start w:w="120" w:type="dxa"/>
              <w:end w:w="120" w:type="dxa"/>
            </w:tcMar>
          </w:tcPr>
          <w:p>
            <w:pPr>
              <w:pStyle w:val="TableText"/>
            </w:pPr>
            <w:r>
              <w:t>E02, E03, E04</w:t>
            </w:r>
          </w:p>
        </w:tc>
      </w:tr>
      <w:tr>
        <w:trPr>
          <w:cantSplit/>
        </w:trPr>
        <w:tc>
          <w:tcPr>
            <w:tcW w:type="dxa" w:w="2500"/>
            <w:tcMar>
              <w:top w:w="80" w:type="dxa"/>
              <w:bottom w:w="80" w:type="dxa"/>
              <w:start w:w="120" w:type="dxa"/>
              <w:end w:w="120" w:type="dxa"/>
            </w:tcMar>
          </w:tcPr>
          <w:p>
            <w:pPr>
              <w:pStyle w:val="TableText"/>
            </w:pPr>
            <w:r>
              <w:t>Hub reboot at deadline / invalid clock</w:t>
            </w:r>
          </w:p>
        </w:tc>
        <w:tc>
          <w:tcPr>
            <w:tcW w:type="dxa" w:w="4510"/>
            <w:tcMar>
              <w:top w:w="80" w:type="dxa"/>
              <w:bottom w:w="80" w:type="dxa"/>
              <w:start w:w="120" w:type="dxa"/>
              <w:end w:w="120" w:type="dxa"/>
            </w:tcMar>
          </w:tcPr>
          <w:p>
            <w:pPr>
              <w:pStyle w:val="TableText"/>
            </w:pPr>
            <w:r>
              <w:t>No duplicate alert; no absence inference with unknown time.</w:t>
            </w:r>
          </w:p>
        </w:tc>
        <w:tc>
          <w:tcPr>
            <w:tcW w:type="dxa" w:w="2350"/>
            <w:tcMar>
              <w:top w:w="80" w:type="dxa"/>
              <w:bottom w:w="80" w:type="dxa"/>
              <w:start w:w="120" w:type="dxa"/>
              <w:end w:w="120" w:type="dxa"/>
            </w:tcMar>
          </w:tcPr>
          <w:p>
            <w:pPr>
              <w:pStyle w:val="TableText"/>
            </w:pPr>
            <w:r>
              <w:t>F08, E05, E06</w:t>
            </w:r>
          </w:p>
        </w:tc>
      </w:tr>
      <w:tr>
        <w:trPr>
          <w:cantSplit/>
        </w:trPr>
        <w:tc>
          <w:tcPr>
            <w:tcW w:type="dxa" w:w="2500"/>
            <w:tcMar>
              <w:top w:w="80" w:type="dxa"/>
              <w:bottom w:w="80" w:type="dxa"/>
              <w:start w:w="120" w:type="dxa"/>
              <w:end w:w="120" w:type="dxa"/>
            </w:tcMar>
          </w:tcPr>
          <w:p>
            <w:pPr>
              <w:pStyle w:val="TableText"/>
            </w:pPr>
            <w:r>
              <w:t>Duplicate, delayed and reordered packets</w:t>
            </w:r>
          </w:p>
        </w:tc>
        <w:tc>
          <w:tcPr>
            <w:tcW w:type="dxa" w:w="4510"/>
            <w:tcMar>
              <w:top w:w="80" w:type="dxa"/>
              <w:bottom w:w="80" w:type="dxa"/>
              <w:start w:w="120" w:type="dxa"/>
              <w:end w:w="120" w:type="dxa"/>
            </w:tcMar>
          </w:tcPr>
          <w:p>
            <w:pPr>
              <w:pStyle w:val="TableText"/>
            </w:pPr>
            <w:r>
              <w:t>Original IDs/time preserved; late correction is visible.</w:t>
            </w:r>
          </w:p>
        </w:tc>
        <w:tc>
          <w:tcPr>
            <w:tcW w:type="dxa" w:w="2350"/>
            <w:tcMar>
              <w:top w:w="80" w:type="dxa"/>
              <w:bottom w:w="80" w:type="dxa"/>
              <w:start w:w="120" w:type="dxa"/>
              <w:end w:w="120" w:type="dxa"/>
            </w:tcMar>
          </w:tcPr>
          <w:p>
            <w:pPr>
              <w:pStyle w:val="TableText"/>
            </w:pPr>
            <w:r>
              <w:t>F05, F07, E02</w:t>
            </w:r>
          </w:p>
        </w:tc>
      </w:tr>
      <w:tr>
        <w:trPr>
          <w:cantSplit/>
        </w:trPr>
        <w:tc>
          <w:tcPr>
            <w:tcW w:type="dxa" w:w="2500"/>
            <w:tcMar>
              <w:top w:w="80" w:type="dxa"/>
              <w:bottom w:w="80" w:type="dxa"/>
              <w:start w:w="120" w:type="dxa"/>
              <w:end w:w="120" w:type="dxa"/>
            </w:tcMar>
          </w:tcPr>
          <w:p>
            <w:pPr>
              <w:pStyle w:val="TableText"/>
            </w:pPr>
            <w:r>
              <w:t>Push blocked / expired / phone muted</w:t>
            </w:r>
          </w:p>
        </w:tc>
        <w:tc>
          <w:tcPr>
            <w:tcW w:type="dxa" w:w="4510"/>
            <w:tcMar>
              <w:top w:w="80" w:type="dxa"/>
              <w:bottom w:w="80" w:type="dxa"/>
              <w:start w:w="120" w:type="dxa"/>
              <w:end w:w="120" w:type="dxa"/>
            </w:tcMar>
          </w:tcPr>
          <w:p>
            <w:pPr>
              <w:pStyle w:val="TableText"/>
            </w:pPr>
            <w:r>
              <w:t>Route health/error visible; no claim a human was notified.</w:t>
            </w:r>
          </w:p>
        </w:tc>
        <w:tc>
          <w:tcPr>
            <w:tcW w:type="dxa" w:w="2350"/>
            <w:tcMar>
              <w:top w:w="80" w:type="dxa"/>
              <w:bottom w:w="80" w:type="dxa"/>
              <w:start w:w="120" w:type="dxa"/>
              <w:end w:w="120" w:type="dxa"/>
            </w:tcMar>
          </w:tcPr>
          <w:p>
            <w:pPr>
              <w:pStyle w:val="TableText"/>
            </w:pPr>
            <w:r>
              <w:t>F11, F13, E04</w:t>
            </w:r>
          </w:p>
        </w:tc>
      </w:tr>
      <w:tr>
        <w:trPr>
          <w:cantSplit/>
        </w:trPr>
        <w:tc>
          <w:tcPr>
            <w:tcW w:type="dxa" w:w="2500"/>
            <w:tcMar>
              <w:top w:w="80" w:type="dxa"/>
              <w:bottom w:w="80" w:type="dxa"/>
              <w:start w:w="120" w:type="dxa"/>
              <w:end w:w="120" w:type="dxa"/>
            </w:tcMar>
          </w:tcPr>
          <w:p>
            <w:pPr>
              <w:pStyle w:val="TableText"/>
            </w:pPr>
            <w:r>
              <w:t>Primary no-ack / claimed then silent</w:t>
            </w:r>
          </w:p>
        </w:tc>
        <w:tc>
          <w:tcPr>
            <w:tcW w:type="dxa" w:w="4510"/>
            <w:tcMar>
              <w:top w:w="80" w:type="dxa"/>
              <w:bottom w:w="80" w:type="dxa"/>
              <w:start w:w="120" w:type="dxa"/>
              <w:end w:w="120" w:type="dxa"/>
            </w:tcMar>
          </w:tcPr>
          <w:p>
            <w:pPr>
              <w:pStyle w:val="TableText"/>
            </w:pPr>
            <w:r>
              <w:t>Backup routing and claim-lease expiry; bounded route exhaustion.</w:t>
            </w:r>
          </w:p>
        </w:tc>
        <w:tc>
          <w:tcPr>
            <w:tcW w:type="dxa" w:w="2350"/>
            <w:tcMar>
              <w:top w:w="80" w:type="dxa"/>
              <w:bottom w:w="80" w:type="dxa"/>
              <w:start w:w="120" w:type="dxa"/>
              <w:end w:w="120" w:type="dxa"/>
            </w:tcMar>
          </w:tcPr>
          <w:p>
            <w:pPr>
              <w:pStyle w:val="TableText"/>
            </w:pPr>
            <w:r>
              <w:t>F12, F13</w:t>
            </w:r>
          </w:p>
        </w:tc>
      </w:tr>
      <w:tr>
        <w:trPr>
          <w:cantSplit/>
        </w:trPr>
        <w:tc>
          <w:tcPr>
            <w:tcW w:type="dxa" w:w="2500"/>
            <w:tcMar>
              <w:top w:w="80" w:type="dxa"/>
              <w:bottom w:w="80" w:type="dxa"/>
              <w:start w:w="120" w:type="dxa"/>
              <w:end w:w="120" w:type="dxa"/>
            </w:tcMar>
          </w:tcPr>
          <w:p>
            <w:pPr>
              <w:pStyle w:val="TableText"/>
            </w:pPr>
            <w:r>
              <w:t>Privacy during an outage</w:t>
            </w:r>
          </w:p>
        </w:tc>
        <w:tc>
          <w:tcPr>
            <w:tcW w:type="dxa" w:w="4510"/>
            <w:tcMar>
              <w:top w:w="80" w:type="dxa"/>
              <w:bottom w:w="80" w:type="dxa"/>
              <w:start w:w="120" w:type="dxa"/>
              <w:end w:w="120" w:type="dxa"/>
            </w:tcMar>
          </w:tcPr>
          <w:p>
            <w:pPr>
              <w:pStyle w:val="TableText"/>
            </w:pPr>
            <w:r>
              <w:t>Local gating works immediately; remote state remains stale until sync.</w:t>
            </w:r>
          </w:p>
        </w:tc>
        <w:tc>
          <w:tcPr>
            <w:tcW w:type="dxa" w:w="2350"/>
            <w:tcMar>
              <w:top w:w="80" w:type="dxa"/>
              <w:bottom w:w="80" w:type="dxa"/>
              <w:start w:w="120" w:type="dxa"/>
              <w:end w:w="120" w:type="dxa"/>
            </w:tcMar>
          </w:tcPr>
          <w:p>
            <w:pPr>
              <w:pStyle w:val="TableText"/>
            </w:pPr>
            <w:r>
              <w:t>F02, F10, E03</w:t>
            </w:r>
          </w:p>
        </w:tc>
      </w:tr>
      <w:tr>
        <w:trPr>
          <w:cantSplit/>
        </w:trPr>
        <w:tc>
          <w:tcPr>
            <w:tcW w:type="dxa" w:w="2500"/>
            <w:tcMar>
              <w:top w:w="80" w:type="dxa"/>
              <w:bottom w:w="80" w:type="dxa"/>
              <w:start w:w="120" w:type="dxa"/>
              <w:end w:w="120" w:type="dxa"/>
            </w:tcMar>
          </w:tcPr>
          <w:p>
            <w:pPr>
              <w:pStyle w:val="TableText"/>
            </w:pPr>
            <w:r>
              <w:t>Flash full / backend DB full</w:t>
            </w:r>
          </w:p>
        </w:tc>
        <w:tc>
          <w:tcPr>
            <w:tcW w:type="dxa" w:w="4510"/>
            <w:tcMar>
              <w:top w:w="80" w:type="dxa"/>
              <w:bottom w:w="80" w:type="dxa"/>
              <w:start w:w="120" w:type="dxa"/>
              <w:end w:w="120" w:type="dxa"/>
            </w:tcMar>
          </w:tcPr>
          <w:p>
            <w:pPr>
              <w:pStyle w:val="TableText"/>
            </w:pPr>
            <w:r>
              <w:t>No false durable ACK; explicit data-loss/service state.</w:t>
            </w:r>
          </w:p>
        </w:tc>
        <w:tc>
          <w:tcPr>
            <w:tcW w:type="dxa" w:w="2350"/>
            <w:tcMar>
              <w:top w:w="80" w:type="dxa"/>
              <w:bottom w:w="80" w:type="dxa"/>
              <w:start w:w="120" w:type="dxa"/>
              <w:end w:w="120" w:type="dxa"/>
            </w:tcMar>
          </w:tcPr>
          <w:p>
            <w:pPr>
              <w:pStyle w:val="TableText"/>
            </w:pPr>
            <w:r>
              <w:t>E02, E05, E10</w:t>
            </w:r>
          </w:p>
        </w:tc>
      </w:tr>
      <w:tr>
        <w:trPr>
          <w:cantSplit/>
        </w:trPr>
        <w:tc>
          <w:tcPr>
            <w:tcW w:type="dxa" w:w="2500"/>
            <w:tcMar>
              <w:top w:w="80" w:type="dxa"/>
              <w:bottom w:w="80" w:type="dxa"/>
              <w:start w:w="120" w:type="dxa"/>
              <w:end w:w="120" w:type="dxa"/>
            </w:tcMar>
          </w:tcPr>
          <w:p>
            <w:pPr>
              <w:pStyle w:val="TableText"/>
            </w:pPr>
            <w:r>
              <w:t>Wrong firmware / interrupted update</w:t>
            </w:r>
          </w:p>
        </w:tc>
        <w:tc>
          <w:tcPr>
            <w:tcW w:type="dxa" w:w="4510"/>
            <w:tcMar>
              <w:top w:w="80" w:type="dxa"/>
              <w:bottom w:w="80" w:type="dxa"/>
              <w:start w:w="120" w:type="dxa"/>
              <w:end w:w="120" w:type="dxa"/>
            </w:tcMar>
          </w:tcPr>
          <w:p>
            <w:pPr>
              <w:pStyle w:val="TableText"/>
            </w:pPr>
            <w:r>
              <w:t>Known good signed recovery; gaps marked; no disabled TLS.</w:t>
            </w:r>
          </w:p>
        </w:tc>
        <w:tc>
          <w:tcPr>
            <w:tcW w:type="dxa" w:w="2350"/>
            <w:tcMar>
              <w:top w:w="80" w:type="dxa"/>
              <w:bottom w:w="80" w:type="dxa"/>
              <w:start w:w="120" w:type="dxa"/>
              <w:end w:w="120" w:type="dxa"/>
            </w:tcMar>
          </w:tcPr>
          <w:p>
            <w:pPr>
              <w:pStyle w:val="TableText"/>
            </w:pPr>
            <w:r>
              <w:t>E08, E09</w:t>
            </w:r>
          </w:p>
        </w:tc>
      </w:tr>
      <w:tr>
        <w:trPr>
          <w:cantSplit/>
        </w:trPr>
        <w:tc>
          <w:tcPr>
            <w:tcW w:type="dxa" w:w="2500"/>
            <w:tcMar>
              <w:top w:w="80" w:type="dxa"/>
              <w:bottom w:w="80" w:type="dxa"/>
              <w:start w:w="120" w:type="dxa"/>
              <w:end w:w="120" w:type="dxa"/>
            </w:tcMar>
          </w:tcPr>
          <w:p>
            <w:pPr>
              <w:pStyle w:val="TableText"/>
            </w:pPr>
            <w:r>
              <w:t>Cross-home ID / removed caregiver</w:t>
            </w:r>
          </w:p>
        </w:tc>
        <w:tc>
          <w:tcPr>
            <w:tcW w:type="dxa" w:w="4510"/>
            <w:tcMar>
              <w:top w:w="80" w:type="dxa"/>
              <w:bottom w:w="80" w:type="dxa"/>
              <w:start w:w="120" w:type="dxa"/>
              <w:end w:w="120" w:type="dxa"/>
            </w:tcMar>
          </w:tcPr>
          <w:p>
            <w:pPr>
              <w:pStyle w:val="TableText"/>
            </w:pPr>
            <w:r>
              <w:t>Access denied across all paths; queued future routing cancelled.</w:t>
            </w:r>
          </w:p>
        </w:tc>
        <w:tc>
          <w:tcPr>
            <w:tcW w:type="dxa" w:w="2350"/>
            <w:tcMar>
              <w:top w:w="80" w:type="dxa"/>
              <w:bottom w:w="80" w:type="dxa"/>
              <w:start w:w="120" w:type="dxa"/>
              <w:end w:w="120" w:type="dxa"/>
            </w:tcMar>
          </w:tcPr>
          <w:p>
            <w:pPr>
              <w:pStyle w:val="TableText"/>
            </w:pPr>
            <w:r>
              <w:t>F01, E08</w:t>
            </w:r>
          </w:p>
        </w:tc>
      </w:tr>
      <w:tr>
        <w:trPr>
          <w:cantSplit/>
        </w:trPr>
        <w:tc>
          <w:tcPr>
            <w:tcW w:type="dxa" w:w="2500"/>
            <w:tcMar>
              <w:top w:w="80" w:type="dxa"/>
              <w:bottom w:w="80" w:type="dxa"/>
              <w:start w:w="120" w:type="dxa"/>
              <w:end w:w="120" w:type="dxa"/>
            </w:tcMar>
          </w:tcPr>
          <w:p>
            <w:pPr>
              <w:pStyle w:val="TableText"/>
            </w:pPr>
            <w:r>
              <w:t>Hub replacement / restored backup</w:t>
            </w:r>
          </w:p>
        </w:tc>
        <w:tc>
          <w:tcPr>
            <w:tcW w:type="dxa" w:w="4510"/>
            <w:tcMar>
              <w:top w:w="80" w:type="dxa"/>
              <w:bottom w:w="80" w:type="dxa"/>
              <w:start w:w="120" w:type="dxa"/>
              <w:end w:w="120" w:type="dxa"/>
            </w:tcMar>
          </w:tcPr>
          <w:p>
            <w:pPr>
              <w:pStyle w:val="TableText"/>
            </w:pPr>
            <w:r>
              <w:t>Old authority fenced; deletions re-applied; no event identity collision.</w:t>
            </w:r>
          </w:p>
        </w:tc>
        <w:tc>
          <w:tcPr>
            <w:tcW w:type="dxa" w:w="2350"/>
            <w:tcMar>
              <w:top w:w="80" w:type="dxa"/>
              <w:bottom w:w="80" w:type="dxa"/>
              <w:start w:w="120" w:type="dxa"/>
              <w:end w:w="120" w:type="dxa"/>
            </w:tcMar>
          </w:tcPr>
          <w:p>
            <w:pPr>
              <w:pStyle w:val="TableText"/>
            </w:pPr>
            <w:r>
              <w:t>F03, E05, E08</w:t>
            </w:r>
          </w:p>
        </w:tc>
      </w:tr>
    </w:tbl>
    <w:p>
      <w:pPr>
        <w:pStyle w:val="TableSpacer"/>
      </w:pPr>
    </w:p>
    <w:p>
      <w:pPr>
        <w:pStyle w:val="Heading2"/>
      </w:pPr>
      <w:r>
        <w:t>Human validation before buying more hardware</w:t>
      </w:r>
    </w:p>
    <w:p>
      <w:pPr>
        <w:pStyle w:val="SpecBody"/>
      </w:pPr>
      <w:r>
        <w:t>Use one hub, simulated nodes and three mocked alert screens with three prospective caregiver buyers plus consenting residents. Ask: “What happened?”, “What is unknown?” and “What would you do next?” Test observed activity, missing evidence with good coverage, and sensor-offline/unknown. Any confusion between inactivity and lost observation is a P0 design defect. Then validate a physical check-in and Call family button without implying actual emergency coverage.</w:t>
      </w:r>
    </w:p>
    <w:p>
      <w:pPr>
        <w:pStyle w:val="Heading2"/>
        <w:pageBreakBefore/>
      </w:pPr>
      <w:r>
        <w:t>Prototype, pilot and commercial exit gates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320"/>
        <w:gridCol w:w="4940"/>
        <w:gridCol w:w="3100"/>
      </w:tblGrid>
      <w:tr>
        <w:trPr>
          <w:cantSplit/>
          <w:tblHeader/>
        </w:trPr>
        <w:tc>
          <w:tcPr>
            <w:tcW w:type="dxa" w:w="1320"/>
            <w:tcMar>
              <w:top w:w="80" w:type="dxa"/>
              <w:bottom w:w="80" w:type="dxa"/>
              <w:start w:w="120" w:type="dxa"/>
              <w:end w:w="120" w:type="dxa"/>
            </w:tcMar>
            <w:shd w:fill="E8EEF5"/>
          </w:tcPr>
          <w:p>
            <w:pPr>
              <w:pStyle w:val="TableText"/>
            </w:pPr>
            <w:r>
              <w:rPr>
                <w:b/>
              </w:rPr>
              <w:t>Gate</w:t>
            </w:r>
          </w:p>
        </w:tc>
        <w:tc>
          <w:tcPr>
            <w:tcW w:type="dxa" w:w="4940"/>
            <w:tcMar>
              <w:top w:w="80" w:type="dxa"/>
              <w:bottom w:w="80" w:type="dxa"/>
              <w:start w:w="120" w:type="dxa"/>
              <w:end w:w="120" w:type="dxa"/>
            </w:tcMar>
            <w:shd w:fill="E8EEF5"/>
          </w:tcPr>
          <w:p>
            <w:pPr>
              <w:pStyle w:val="TableText"/>
            </w:pPr>
            <w:r>
              <w:rPr>
                <w:b/>
              </w:rPr>
              <w:t>Exit criterion</w:t>
            </w:r>
          </w:p>
        </w:tc>
        <w:tc>
          <w:tcPr>
            <w:tcW w:type="dxa" w:w="3100"/>
            <w:tcMar>
              <w:top w:w="80" w:type="dxa"/>
              <w:bottom w:w="80" w:type="dxa"/>
              <w:start w:w="120" w:type="dxa"/>
              <w:end w:w="120" w:type="dxa"/>
            </w:tcMar>
            <w:shd w:fill="E8EEF5"/>
          </w:tcPr>
          <w:p>
            <w:pPr>
              <w:pStyle w:val="TableText"/>
            </w:pPr>
            <w:r>
              <w:rPr>
                <w:b/>
              </w:rPr>
              <w:t>Do not proceed if…</w:t>
            </w:r>
          </w:p>
        </w:tc>
      </w:tr>
      <w:tr>
        <w:trPr>
          <w:cantSplit/>
        </w:trPr>
        <w:tc>
          <w:tcPr>
            <w:tcW w:type="dxa" w:w="1320"/>
            <w:tcMar>
              <w:top w:w="80" w:type="dxa"/>
              <w:bottom w:w="80" w:type="dxa"/>
              <w:start w:w="120" w:type="dxa"/>
              <w:end w:w="120" w:type="dxa"/>
            </w:tcMar>
          </w:tcPr>
          <w:p>
            <w:pPr>
              <w:pStyle w:val="TableText"/>
            </w:pPr>
            <w:r>
              <w:t>G0 Design/bench setup</w:t>
            </w:r>
          </w:p>
        </w:tc>
        <w:tc>
          <w:tcPr>
            <w:tcW w:type="dxa" w:w="4940"/>
            <w:tcMar>
              <w:top w:w="80" w:type="dxa"/>
              <w:bottom w:w="80" w:type="dxa"/>
              <w:start w:w="120" w:type="dxa"/>
              <w:end w:w="120" w:type="dxa"/>
            </w:tcMar>
          </w:tcPr>
          <w:p>
            <w:pPr>
              <w:pStyle w:val="TableText"/>
            </w:pPr>
            <w:r>
              <w:t>Confirm exact boards/sensor/pack specifications; freeze IO profile, threat model and supported claims. Establish one test home with two caregiver accounts.</w:t>
            </w:r>
          </w:p>
        </w:tc>
        <w:tc>
          <w:tcPr>
            <w:tcW w:type="dxa" w:w="3100"/>
            <w:tcMar>
              <w:top w:w="80" w:type="dxa"/>
              <w:bottom w:w="80" w:type="dxa"/>
              <w:start w:w="120" w:type="dxa"/>
              <w:end w:w="120" w:type="dxa"/>
            </w:tcMar>
          </w:tcPr>
          <w:p>
            <w:pPr>
              <w:pStyle w:val="TableText"/>
            </w:pPr>
            <w:r>
              <w:t>Battery/charger specification unknown; no safe power-path review.</w:t>
            </w:r>
          </w:p>
        </w:tc>
      </w:tr>
      <w:tr>
        <w:trPr>
          <w:cantSplit/>
        </w:trPr>
        <w:tc>
          <w:tcPr>
            <w:tcW w:type="dxa" w:w="1320"/>
            <w:tcMar>
              <w:top w:w="80" w:type="dxa"/>
              <w:bottom w:w="80" w:type="dxa"/>
              <w:start w:w="120" w:type="dxa"/>
              <w:end w:w="120" w:type="dxa"/>
            </w:tcMar>
          </w:tcPr>
          <w:p>
            <w:pPr>
              <w:pStyle w:val="TableText"/>
            </w:pPr>
            <w:r>
              <w:t>G1 Complete prototype</w:t>
            </w:r>
          </w:p>
        </w:tc>
        <w:tc>
          <w:tcPr>
            <w:tcW w:type="dxa" w:w="4940"/>
            <w:tcMar>
              <w:top w:w="80" w:type="dxa"/>
              <w:bottom w:w="80" w:type="dxa"/>
              <w:start w:w="120" w:type="dxa"/>
              <w:end w:w="120" w:type="dxa"/>
            </w:tcMar>
          </w:tcPr>
          <w:p>
            <w:pPr>
              <w:pStyle w:val="TableText"/>
            </w:pPr>
            <w:r>
              <w:t>All 24 P0 designs implemented at bench scope; per-feature tests pass; 7-day soak; 72-hour offline replay; schema/security/OTA recovery tests.</w:t>
            </w:r>
          </w:p>
        </w:tc>
        <w:tc>
          <w:tcPr>
            <w:tcW w:type="dxa" w:w="3100"/>
            <w:tcMar>
              <w:top w:w="80" w:type="dxa"/>
              <w:bottom w:w="80" w:type="dxa"/>
              <w:start w:w="120" w:type="dxa"/>
              <w:end w:w="120" w:type="dxa"/>
            </w:tcMar>
          </w:tcPr>
          <w:p>
            <w:pPr>
              <w:pStyle w:val="TableText"/>
            </w:pPr>
            <w:r>
              <w:t>Acknowledged events lost; unknown coverage looks normal; contact requests silently disappear.</w:t>
            </w:r>
          </w:p>
        </w:tc>
      </w:tr>
      <w:tr>
        <w:trPr>
          <w:cantSplit/>
        </w:trPr>
        <w:tc>
          <w:tcPr>
            <w:tcW w:type="dxa" w:w="1320"/>
            <w:tcMar>
              <w:top w:w="80" w:type="dxa"/>
              <w:bottom w:w="80" w:type="dxa"/>
              <w:start w:w="120" w:type="dxa"/>
              <w:end w:w="120" w:type="dxa"/>
            </w:tcMar>
          </w:tcPr>
          <w:p>
            <w:pPr>
              <w:pStyle w:val="TableText"/>
            </w:pPr>
            <w:r>
              <w:t>G2 Two-home assisted pilot</w:t>
            </w:r>
          </w:p>
        </w:tc>
        <w:tc>
          <w:tcPr>
            <w:tcW w:type="dxa" w:w="4940"/>
            <w:tcMar>
              <w:top w:w="80" w:type="dxa"/>
              <w:bottom w:w="80" w:type="dxa"/>
              <w:start w:w="120" w:type="dxa"/>
              <w:end w:w="120" w:type="dxa"/>
            </w:tcMar>
          </w:tcPr>
          <w:p>
            <w:pPr>
              <w:pStyle w:val="TableText"/>
            </w:pPr>
            <w:r>
              <w:t>Resident consent, physical controls, installation/push tests, primary/backup contacts and written non-emergency limits. Review daily for two weeks.</w:t>
            </w:r>
          </w:p>
        </w:tc>
        <w:tc>
          <w:tcPr>
            <w:tcW w:type="dxa" w:w="3100"/>
            <w:tcMar>
              <w:top w:w="80" w:type="dxa"/>
              <w:bottom w:w="80" w:type="dxa"/>
              <w:start w:w="120" w:type="dxa"/>
              <w:end w:w="120" w:type="dxa"/>
            </w:tcMar>
          </w:tcPr>
          <w:p>
            <w:pPr>
              <w:pStyle w:val="TableText"/>
            </w:pPr>
            <w:r>
              <w:t>User cannot explain uncertainty or use controls; routing/power behavior not understood.</w:t>
            </w:r>
          </w:p>
        </w:tc>
      </w:tr>
      <w:tr>
        <w:trPr>
          <w:cantSplit/>
        </w:trPr>
        <w:tc>
          <w:tcPr>
            <w:tcW w:type="dxa" w:w="1320"/>
            <w:tcMar>
              <w:top w:w="80" w:type="dxa"/>
              <w:bottom w:w="80" w:type="dxa"/>
              <w:start w:w="120" w:type="dxa"/>
              <w:end w:w="120" w:type="dxa"/>
            </w:tcMar>
          </w:tcPr>
          <w:p>
            <w:pPr>
              <w:pStyle w:val="TableText"/>
            </w:pPr>
            <w:r>
              <w:t>G3 Ten-home learning pilot</w:t>
            </w:r>
          </w:p>
        </w:tc>
        <w:tc>
          <w:tcPr>
            <w:tcW w:type="dxa" w:w="4940"/>
            <w:tcMar>
              <w:top w:w="80" w:type="dxa"/>
              <w:bottom w:w="80" w:type="dxa"/>
              <w:start w:w="120" w:type="dxa"/>
              <w:end w:w="120" w:type="dxa"/>
            </w:tcMar>
          </w:tcPr>
          <w:p>
            <w:pPr>
              <w:pStyle w:val="TableText"/>
            </w:pPr>
            <w:r>
              <w:t>Expand only after G2 fixes. Observe ≥30 days, record false/missed scripted scenarios, support minutes, battery use and continued-use intent separately by home.</w:t>
            </w:r>
          </w:p>
        </w:tc>
        <w:tc>
          <w:tcPr>
            <w:tcW w:type="dxa" w:w="3100"/>
            <w:tcMar>
              <w:top w:w="80" w:type="dxa"/>
              <w:bottom w:w="80" w:type="dxa"/>
              <w:start w:w="120" w:type="dxa"/>
              <w:end w:w="120" w:type="dxa"/>
            </w:tcMar>
          </w:tcPr>
          <w:p>
            <w:pPr>
              <w:pStyle w:val="TableText"/>
            </w:pPr>
            <w:r>
              <w:t>Nuisance burden or support cost exceeds agreed tolerance; no repeatable installation.</w:t>
            </w:r>
          </w:p>
        </w:tc>
      </w:tr>
      <w:tr>
        <w:trPr>
          <w:cantSplit/>
        </w:trPr>
        <w:tc>
          <w:tcPr>
            <w:tcW w:type="dxa" w:w="1320"/>
            <w:tcMar>
              <w:top w:w="80" w:type="dxa"/>
              <w:bottom w:w="80" w:type="dxa"/>
              <w:start w:w="120" w:type="dxa"/>
              <w:end w:w="120" w:type="dxa"/>
            </w:tcMar>
          </w:tcPr>
          <w:p>
            <w:pPr>
              <w:pStyle w:val="TableText"/>
            </w:pPr>
            <w:r>
              <w:t>G4 First paid launch</w:t>
            </w:r>
          </w:p>
        </w:tc>
        <w:tc>
          <w:tcPr>
            <w:tcW w:type="dxa" w:w="4940"/>
            <w:tcMar>
              <w:top w:w="80" w:type="dxa"/>
              <w:bottom w:w="80" w:type="dxa"/>
              <w:start w:w="120" w:type="dxa"/>
              <w:end w:w="120" w:type="dxa"/>
            </w:tcMar>
          </w:tcPr>
          <w:p>
            <w:pPr>
              <w:pStyle w:val="TableText"/>
            </w:pPr>
            <w:r>
              <w:t>All P0 tests + unresolved high-severity defect count zero; quoted BOM; relevant product/battery/radio/privacy/claims review; return/warranty/update/service terms; funded support capacity.</w:t>
            </w:r>
          </w:p>
        </w:tc>
        <w:tc>
          <w:tcPr>
            <w:tcW w:type="dxa" w:w="3100"/>
            <w:tcMar>
              <w:top w:w="80" w:type="dxa"/>
              <w:bottom w:w="80" w:type="dxa"/>
              <w:start w:w="120" w:type="dxa"/>
              <w:end w:w="120" w:type="dxa"/>
            </w:tcMar>
          </w:tcPr>
          <w:p>
            <w:pPr>
              <w:pStyle w:val="TableText"/>
            </w:pPr>
            <w:r>
              <w:t>No funded remote-service term, no response-boundary clarity, no secure update/decommission path.</w:t>
            </w:r>
          </w:p>
        </w:tc>
      </w:tr>
    </w:tbl>
    <w:p>
      <w:pPr>
        <w:pStyle w:val="TableSpacer"/>
      </w:pPr>
    </w:p>
    <w:p>
      <w:pPr>
        <w:pStyle w:val="SpecBody"/>
      </w:pPr>
      <w:r>
        <w:t>Proposed field learning thresholds, not safety claims: installation completed within 45 minutes after training; explainable non-actionable routine alerts ≤1 per home-week as an investigation trigger; support target ≤15 minutes/home/month after onboarding. A small cohort cannot establish rare-event safety or prove a clinical miss rate. Every missed scripted event must be investigated; reducing alerts by disabling coverage does not count as an improvement.</w:t>
      </w:r>
    </w:p>
    <w:p>
      <w:pPr>
        <w:pStyle w:val="SpecBody"/>
      </w:pPr>
      <w:r>
        <w:t>Paid launch is not the same as a working prototype. Treat a charging anomaly, unauthorized disclosure, lost contact request, false “normal” state from lost coverage or unrecoverable update as a stop-ship defect. Other unresolved limitations must be explicit in the release notes and customer terms.</w:t>
      </w:r>
    </w:p>
    <w:p>
      <w:bookmarkStart w:id="33" w:name="scale"/>
      <w:pPr>
        <w:pStyle w:val="Heading1"/>
        <w:pageBreakBefore/>
      </w:pPr>
      <w:r>
        <w:t>11. Scalability, deployment and operations</w:t>
      </w:r>
      <w:bookmarkEnd w:id="33"/>
    </w:p>
    <w:p>
      <w:pPr>
        <w:pStyle w:val="Heading2"/>
      </w:pPr>
      <w:r>
        <w:t>Capacity model: separate radio traffic from cloud storage</w:t>
      </w:r>
    </w:p>
    <w:p>
      <w:pPr>
        <w:pStyle w:val="SpecBody"/>
      </w:pPr>
      <w:r>
        <w:t>Planning workload per home: 4 nodes × 1 heartbeat/minute = 5,760 radio heartbeats/day. The hub sends 1 cloud heartbeat/minute = 1,440/day; add an assumed 500 business events/day. Cloud ingest is therefore 1,940 messages/home/day before ACKs, commands, retries and summaries because routine node heartbeats are locally coalesced rather than each being forwarded as a stored cloud event. Coalescing stored health snapshots to 5 minutes yields 288 hub health samples/day plus state changes. These are capacity assumptions, not measured household demand.</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850"/>
        <w:gridCol w:w="2280"/>
        <w:gridCol w:w="2290"/>
        <w:gridCol w:w="3940"/>
      </w:tblGrid>
      <w:tr>
        <w:trPr>
          <w:cantSplit/>
          <w:tblHeader/>
        </w:trPr>
        <w:tc>
          <w:tcPr>
            <w:tcW w:type="dxa" w:w="850"/>
            <w:tcMar>
              <w:top w:w="80" w:type="dxa"/>
              <w:bottom w:w="80" w:type="dxa"/>
              <w:start w:w="120" w:type="dxa"/>
              <w:end w:w="120" w:type="dxa"/>
            </w:tcMar>
            <w:shd w:fill="E8EEF5"/>
          </w:tcPr>
          <w:p>
            <w:pPr>
              <w:pStyle w:val="TableText"/>
            </w:pPr>
            <w:r>
              <w:rPr>
                <w:b/>
              </w:rPr>
              <w:t>Homes</w:t>
            </w:r>
          </w:p>
        </w:tc>
        <w:tc>
          <w:tcPr>
            <w:tcW w:type="dxa" w:w="2280"/>
            <w:tcMar>
              <w:top w:w="80" w:type="dxa"/>
              <w:bottom w:w="80" w:type="dxa"/>
              <w:start w:w="120" w:type="dxa"/>
              <w:end w:w="120" w:type="dxa"/>
            </w:tcMar>
            <w:shd w:fill="E8EEF5"/>
          </w:tcPr>
          <w:p>
            <w:pPr>
              <w:pStyle w:val="TableText"/>
            </w:pPr>
            <w:r>
              <w:rPr>
                <w:b/>
              </w:rPr>
              <w:t>Avg cloud ingress / second</w:t>
            </w:r>
          </w:p>
        </w:tc>
        <w:tc>
          <w:tcPr>
            <w:tcW w:type="dxa" w:w="2290"/>
            <w:tcMar>
              <w:top w:w="80" w:type="dxa"/>
              <w:bottom w:w="80" w:type="dxa"/>
              <w:start w:w="120" w:type="dxa"/>
              <w:end w:w="120" w:type="dxa"/>
            </w:tcMar>
            <w:shd w:fill="E8EEF5"/>
          </w:tcPr>
          <w:p>
            <w:pPr>
              <w:pStyle w:val="TableText"/>
            </w:pPr>
            <w:r>
              <w:rPr>
                <w:b/>
              </w:rPr>
              <w:t>Business rows / day</w:t>
            </w:r>
          </w:p>
        </w:tc>
        <w:tc>
          <w:tcPr>
            <w:tcW w:type="dxa" w:w="3940"/>
            <w:tcMar>
              <w:top w:w="80" w:type="dxa"/>
              <w:bottom w:w="80" w:type="dxa"/>
              <w:start w:w="120" w:type="dxa"/>
              <w:end w:w="120" w:type="dxa"/>
            </w:tcMar>
            <w:shd w:fill="E8EEF5"/>
          </w:tcPr>
          <w:p>
            <w:pPr>
              <w:pStyle w:val="TableText"/>
            </w:pPr>
            <w:r>
              <w:rPr>
                <w:b/>
              </w:rPr>
              <w:t>What to change</w:t>
            </w:r>
          </w:p>
        </w:tc>
      </w:tr>
      <w:tr>
        <w:trPr>
          <w:cantSplit/>
        </w:trPr>
        <w:tc>
          <w:tcPr>
            <w:tcW w:type="dxa" w:w="850"/>
            <w:tcMar>
              <w:top w:w="80" w:type="dxa"/>
              <w:bottom w:w="80" w:type="dxa"/>
              <w:start w:w="120" w:type="dxa"/>
              <w:end w:w="120" w:type="dxa"/>
            </w:tcMar>
          </w:tcPr>
          <w:p>
            <w:pPr>
              <w:pStyle w:val="TableText"/>
            </w:pPr>
            <w:r>
              <w:t>10</w:t>
            </w:r>
          </w:p>
        </w:tc>
        <w:tc>
          <w:tcPr>
            <w:tcW w:type="dxa" w:w="2280"/>
            <w:tcMar>
              <w:top w:w="80" w:type="dxa"/>
              <w:bottom w:w="80" w:type="dxa"/>
              <w:start w:w="120" w:type="dxa"/>
              <w:end w:w="120" w:type="dxa"/>
            </w:tcMar>
          </w:tcPr>
          <w:p>
            <w:pPr>
              <w:pStyle w:val="TableText"/>
            </w:pPr>
            <w:r>
              <w:t>0.22</w:t>
            </w:r>
          </w:p>
        </w:tc>
        <w:tc>
          <w:tcPr>
            <w:tcW w:type="dxa" w:w="2290"/>
            <w:tcMar>
              <w:top w:w="80" w:type="dxa"/>
              <w:bottom w:w="80" w:type="dxa"/>
              <w:start w:w="120" w:type="dxa"/>
              <w:end w:w="120" w:type="dxa"/>
            </w:tcMar>
          </w:tcPr>
          <w:p>
            <w:pPr>
              <w:pStyle w:val="TableText"/>
            </w:pPr>
            <w:r>
              <w:t>5,000</w:t>
            </w:r>
          </w:p>
        </w:tc>
        <w:tc>
          <w:tcPr>
            <w:tcW w:type="dxa" w:w="3940"/>
            <w:tcMar>
              <w:top w:w="80" w:type="dxa"/>
              <w:bottom w:w="80" w:type="dxa"/>
              <w:start w:w="120" w:type="dxa"/>
              <w:end w:w="120" w:type="dxa"/>
            </w:tcMar>
          </w:tcPr>
          <w:p>
            <w:pPr>
              <w:pStyle w:val="TableText"/>
            </w:pPr>
            <w:r>
              <w:t>One small deployment; validate correctness and support first.</w:t>
            </w:r>
          </w:p>
        </w:tc>
      </w:tr>
      <w:tr>
        <w:trPr>
          <w:cantSplit/>
        </w:trPr>
        <w:tc>
          <w:tcPr>
            <w:tcW w:type="dxa" w:w="850"/>
            <w:tcMar>
              <w:top w:w="80" w:type="dxa"/>
              <w:bottom w:w="80" w:type="dxa"/>
              <w:start w:w="120" w:type="dxa"/>
              <w:end w:w="120" w:type="dxa"/>
            </w:tcMar>
          </w:tcPr>
          <w:p>
            <w:pPr>
              <w:pStyle w:val="TableText"/>
            </w:pPr>
            <w:r>
              <w:t>1,000</w:t>
            </w:r>
          </w:p>
        </w:tc>
        <w:tc>
          <w:tcPr>
            <w:tcW w:type="dxa" w:w="2280"/>
            <w:tcMar>
              <w:top w:w="80" w:type="dxa"/>
              <w:bottom w:w="80" w:type="dxa"/>
              <w:start w:w="120" w:type="dxa"/>
              <w:end w:w="120" w:type="dxa"/>
            </w:tcMar>
          </w:tcPr>
          <w:p>
            <w:pPr>
              <w:pStyle w:val="TableText"/>
            </w:pPr>
            <w:r>
              <w:t>22.5</w:t>
            </w:r>
          </w:p>
        </w:tc>
        <w:tc>
          <w:tcPr>
            <w:tcW w:type="dxa" w:w="2290"/>
            <w:tcMar>
              <w:top w:w="80" w:type="dxa"/>
              <w:bottom w:w="80" w:type="dxa"/>
              <w:start w:w="120" w:type="dxa"/>
              <w:end w:w="120" w:type="dxa"/>
            </w:tcMar>
          </w:tcPr>
          <w:p>
            <w:pPr>
              <w:pStyle w:val="TableText"/>
            </w:pPr>
            <w:r>
              <w:t>500,000</w:t>
            </w:r>
          </w:p>
        </w:tc>
        <w:tc>
          <w:tcPr>
            <w:tcW w:type="dxa" w:w="3940"/>
            <w:tcMar>
              <w:top w:w="80" w:type="dxa"/>
              <w:bottom w:w="80" w:type="dxa"/>
              <w:start w:w="120" w:type="dxa"/>
              <w:end w:w="120" w:type="dxa"/>
            </w:tcMar>
          </w:tcPr>
          <w:p>
            <w:pPr>
              <w:pStyle w:val="TableText"/>
            </w:pPr>
            <w:r>
              <w:t>Replicated stateless API/worker, managed/operated DB backup/HA as budget allows; benchmark burst/replay.</w:t>
            </w:r>
          </w:p>
        </w:tc>
      </w:tr>
      <w:tr>
        <w:trPr>
          <w:cantSplit/>
        </w:trPr>
        <w:tc>
          <w:tcPr>
            <w:tcW w:type="dxa" w:w="850"/>
            <w:tcMar>
              <w:top w:w="80" w:type="dxa"/>
              <w:bottom w:w="80" w:type="dxa"/>
              <w:start w:w="120" w:type="dxa"/>
              <w:end w:w="120" w:type="dxa"/>
            </w:tcMar>
          </w:tcPr>
          <w:p>
            <w:pPr>
              <w:pStyle w:val="TableText"/>
            </w:pPr>
            <w:r>
              <w:t>10,000</w:t>
            </w:r>
          </w:p>
        </w:tc>
        <w:tc>
          <w:tcPr>
            <w:tcW w:type="dxa" w:w="2280"/>
            <w:tcMar>
              <w:top w:w="80" w:type="dxa"/>
              <w:bottom w:w="80" w:type="dxa"/>
              <w:start w:w="120" w:type="dxa"/>
              <w:end w:w="120" w:type="dxa"/>
            </w:tcMar>
          </w:tcPr>
          <w:p>
            <w:pPr>
              <w:pStyle w:val="TableText"/>
            </w:pPr>
            <w:r>
              <w:t>224.5</w:t>
            </w:r>
          </w:p>
        </w:tc>
        <w:tc>
          <w:tcPr>
            <w:tcW w:type="dxa" w:w="2290"/>
            <w:tcMar>
              <w:top w:w="80" w:type="dxa"/>
              <w:bottom w:w="80" w:type="dxa"/>
              <w:start w:w="120" w:type="dxa"/>
              <w:end w:w="120" w:type="dxa"/>
            </w:tcMar>
          </w:tcPr>
          <w:p>
            <w:pPr>
              <w:pStyle w:val="TableText"/>
            </w:pPr>
            <w:r>
              <w:t>5,000,000</w:t>
            </w:r>
          </w:p>
        </w:tc>
        <w:tc>
          <w:tcPr>
            <w:tcW w:type="dxa" w:w="3940"/>
            <w:tcMar>
              <w:top w:w="80" w:type="dxa"/>
              <w:bottom w:w="80" w:type="dxa"/>
              <w:start w:w="120" w:type="dxa"/>
              <w:end w:w="120" w:type="dxa"/>
            </w:tcMar>
          </w:tcPr>
          <w:p>
            <w:pPr>
              <w:pStyle w:val="TableText"/>
            </w:pPr>
            <w:r>
              <w:t>Partition/retention strategy, broker/DB capacity review, regional tenancy and operational staffing.</w:t>
            </w:r>
          </w:p>
        </w:tc>
      </w:tr>
    </w:tbl>
    <w:p>
      <w:pPr>
        <w:pStyle w:val="TableSpacer"/>
      </w:pPr>
    </w:p>
    <w:p>
      <w:pPr>
        <w:pStyle w:val="SpecBody"/>
      </w:pPr>
      <w:r>
        <w:t>At 1,000 homes, 30 days of 500 business events/day = 15 million retained activity rows. At an illustrative 1 KB per stored row before indexes/backups, that is approximately 15 GB; measure actual tuple/index/replica overhead. Reserve headroom for at least a 10× average reconnect burst. Do not size solely from the low average rate.</w:t>
      </w:r>
    </w:p>
    <w:p>
      <w:pPr>
        <w:pStyle w:val="Heading2"/>
      </w:pPr>
      <w:r>
        <w:t>Scale path without premature microservices</w:t>
      </w:r>
    </w:p>
    <w:p>
      <w:pPr>
        <w:pStyle w:val="ListBullet"/>
        <w:numPr>
          <w:ilvl w:val="0"/>
          <w:numId w:val="50"/>
        </w:numPr>
      </w:pPr>
      <w:r>
        <w:t>Pilot: FastAPI process, MQTT ingest/delivery worker roles and PostgreSQL/Mosquitto on a small deployment. One codebase and shared domain model; independent process restart is allowed.</w:t>
      </w:r>
    </w:p>
    <w:p>
      <w:pPr>
        <w:pStyle w:val="ListBullet"/>
        <w:numPr>
          <w:ilvl w:val="0"/>
          <w:numId w:val="50"/>
        </w:numPr>
      </w:pPr>
      <w:r>
        <w:t>First growth: add API replicas behind TLS termination; keep mutations idempotent. Job workers take database leases so multiple replicas cannot own one job. Set per-home quotas and priority for contact/service incidents.</w:t>
      </w:r>
    </w:p>
    <w:p>
      <w:pPr>
        <w:pStyle w:val="ListBullet"/>
        <w:numPr>
          <w:ilvl w:val="0"/>
          <w:numId w:val="50"/>
        </w:numPr>
      </w:pPr>
      <w:r>
        <w:t>Measured bottlenecks: partition event history by time; move bulky diagnostic exports to encrypted object storage; scale ingest and notification workers separately. Keep transactions/outbox semantics intact.</w:t>
      </w:r>
    </w:p>
    <w:p>
      <w:pPr>
        <w:pStyle w:val="ListBullet"/>
        <w:numPr>
          <w:ilvl w:val="0"/>
          <w:numId w:val="50"/>
        </w:numPr>
      </w:pPr>
      <w:r>
        <w:t>Later regional scale: pin each home to a region and one active hub-authority epoch. Isolate regional outages and data residency. Split a module into a service only for measured load, independent ownership or regulatory isolation.</w:t>
      </w:r>
    </w:p>
    <w:p>
      <w:pPr>
        <w:pStyle w:val="SpecBody"/>
      </w:pPr>
      <w:r>
        <w:t>The P0 four-node kit is not designed to become a 100-node ESP-NOW mesh. More room nodes require measured radio duty-cycle/peer limits and possibly a new gateway/transport. The stable event contract can survive that replacement.</w:t>
      </w:r>
    </w:p>
    <w:p>
      <w:pPr>
        <w:pStyle w:val="Heading2"/>
        <w:pageBreakBefore/>
      </w:pPr>
      <w:r>
        <w:t>Operational ownership, deployment and cost envelope</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760"/>
        <w:gridCol w:w="4000"/>
        <w:gridCol w:w="3600"/>
      </w:tblGrid>
      <w:tr>
        <w:trPr>
          <w:cantSplit/>
          <w:tblHeader/>
        </w:trPr>
        <w:tc>
          <w:tcPr>
            <w:tcW w:type="dxa" w:w="1760"/>
            <w:tcMar>
              <w:top w:w="80" w:type="dxa"/>
              <w:bottom w:w="80" w:type="dxa"/>
              <w:start w:w="120" w:type="dxa"/>
              <w:end w:w="120" w:type="dxa"/>
            </w:tcMar>
            <w:shd w:fill="E8EEF5"/>
          </w:tcPr>
          <w:p>
            <w:pPr>
              <w:pStyle w:val="TableText"/>
            </w:pPr>
            <w:r>
              <w:rPr>
                <w:b/>
              </w:rPr>
              <w:t>Concern</w:t>
            </w:r>
          </w:p>
        </w:tc>
        <w:tc>
          <w:tcPr>
            <w:tcW w:type="dxa" w:w="4000"/>
            <w:tcMar>
              <w:top w:w="80" w:type="dxa"/>
              <w:bottom w:w="80" w:type="dxa"/>
              <w:start w:w="120" w:type="dxa"/>
              <w:end w:w="120" w:type="dxa"/>
            </w:tcMar>
            <w:shd w:fill="E8EEF5"/>
          </w:tcPr>
          <w:p>
            <w:pPr>
              <w:pStyle w:val="TableText"/>
            </w:pPr>
            <w:r>
              <w:rPr>
                <w:b/>
              </w:rPr>
              <w:t>P0 design</w:t>
            </w:r>
          </w:p>
        </w:tc>
        <w:tc>
          <w:tcPr>
            <w:tcW w:type="dxa" w:w="3600"/>
            <w:tcMar>
              <w:top w:w="80" w:type="dxa"/>
              <w:bottom w:w="80" w:type="dxa"/>
              <w:start w:w="120" w:type="dxa"/>
              <w:end w:w="120" w:type="dxa"/>
            </w:tcMar>
            <w:shd w:fill="E8EEF5"/>
          </w:tcPr>
          <w:p>
            <w:pPr>
              <w:pStyle w:val="TableText"/>
            </w:pPr>
            <w:r>
              <w:rPr>
                <w:b/>
              </w:rPr>
              <w:t>Operational exit evidence</w:t>
            </w:r>
          </w:p>
        </w:tc>
      </w:tr>
      <w:tr>
        <w:trPr>
          <w:cantSplit/>
        </w:trPr>
        <w:tc>
          <w:tcPr>
            <w:tcW w:type="dxa" w:w="1760"/>
            <w:tcMar>
              <w:top w:w="80" w:type="dxa"/>
              <w:bottom w:w="80" w:type="dxa"/>
              <w:start w:w="120" w:type="dxa"/>
              <w:end w:w="120" w:type="dxa"/>
            </w:tcMar>
          </w:tcPr>
          <w:p>
            <w:pPr>
              <w:pStyle w:val="TableText"/>
            </w:pPr>
            <w:r>
              <w:t>Deployment/release</w:t>
            </w:r>
          </w:p>
        </w:tc>
        <w:tc>
          <w:tcPr>
            <w:tcW w:type="dxa" w:w="4000"/>
            <w:tcMar>
              <w:top w:w="80" w:type="dxa"/>
              <w:bottom w:w="80" w:type="dxa"/>
              <w:start w:w="120" w:type="dxa"/>
              <w:end w:w="120" w:type="dxa"/>
            </w:tcMar>
          </w:tcPr>
          <w:p>
            <w:pPr>
              <w:pStyle w:val="TableText"/>
            </w:pPr>
            <w:r>
              <w:t>Pinned dependency locks, schema migrations, config/secrets injection, staging and production separation.</w:t>
            </w:r>
          </w:p>
        </w:tc>
        <w:tc>
          <w:tcPr>
            <w:tcW w:type="dxa" w:w="3600"/>
            <w:tcMar>
              <w:top w:w="80" w:type="dxa"/>
              <w:bottom w:w="80" w:type="dxa"/>
              <w:start w:w="120" w:type="dxa"/>
              <w:end w:w="120" w:type="dxa"/>
            </w:tcMar>
          </w:tcPr>
          <w:p>
            <w:pPr>
              <w:pStyle w:val="TableText"/>
            </w:pPr>
            <w:r>
              <w:t>Reproduce build; migrate forward/backward-compatible schema; rollback app without corrupting events.</w:t>
            </w:r>
          </w:p>
        </w:tc>
      </w:tr>
      <w:tr>
        <w:trPr>
          <w:cantSplit/>
        </w:trPr>
        <w:tc>
          <w:tcPr>
            <w:tcW w:type="dxa" w:w="1760"/>
            <w:tcMar>
              <w:top w:w="80" w:type="dxa"/>
              <w:bottom w:w="80" w:type="dxa"/>
              <w:start w:w="120" w:type="dxa"/>
              <w:end w:w="120" w:type="dxa"/>
            </w:tcMar>
          </w:tcPr>
          <w:p>
            <w:pPr>
              <w:pStyle w:val="TableText"/>
            </w:pPr>
            <w:r>
              <w:t>Monitoring</w:t>
            </w:r>
          </w:p>
        </w:tc>
        <w:tc>
          <w:tcPr>
            <w:tcW w:type="dxa" w:w="4000"/>
            <w:tcMar>
              <w:top w:w="80" w:type="dxa"/>
              <w:bottom w:w="80" w:type="dxa"/>
              <w:start w:w="120" w:type="dxa"/>
              <w:end w:w="120" w:type="dxa"/>
            </w:tcMar>
          </w:tcPr>
          <w:p>
            <w:pPr>
              <w:pStyle w:val="TableText"/>
            </w:pPr>
            <w:r>
              <w:t>Hub lease expiry, queue age/depth, DB errors, delivery failure, job lease stalls, boot loops and firmware spread.</w:t>
            </w:r>
          </w:p>
        </w:tc>
        <w:tc>
          <w:tcPr>
            <w:tcW w:type="dxa" w:w="3600"/>
            <w:tcMar>
              <w:top w:w="80" w:type="dxa"/>
              <w:bottom w:w="80" w:type="dxa"/>
              <w:start w:w="120" w:type="dxa"/>
              <w:end w:w="120" w:type="dxa"/>
            </w:tcMar>
          </w:tcPr>
          <w:p>
            <w:pPr>
              <w:pStyle w:val="TableText"/>
            </w:pPr>
            <w:r>
              <w:t>External independent uptime check detects full deployment loss; alert reaches the operator.</w:t>
            </w:r>
          </w:p>
        </w:tc>
      </w:tr>
      <w:tr>
        <w:trPr>
          <w:cantSplit/>
        </w:trPr>
        <w:tc>
          <w:tcPr>
            <w:tcW w:type="dxa" w:w="1760"/>
            <w:tcMar>
              <w:top w:w="80" w:type="dxa"/>
              <w:bottom w:w="80" w:type="dxa"/>
              <w:start w:w="120" w:type="dxa"/>
              <w:end w:w="120" w:type="dxa"/>
            </w:tcMar>
          </w:tcPr>
          <w:p>
            <w:pPr>
              <w:pStyle w:val="TableText"/>
            </w:pPr>
            <w:r>
              <w:t>Recovery</w:t>
            </w:r>
          </w:p>
        </w:tc>
        <w:tc>
          <w:tcPr>
            <w:tcW w:type="dxa" w:w="4000"/>
            <w:tcMar>
              <w:top w:w="80" w:type="dxa"/>
              <w:bottom w:w="80" w:type="dxa"/>
              <w:start w:w="120" w:type="dxa"/>
              <w:end w:w="120" w:type="dxa"/>
            </w:tcMar>
          </w:tcPr>
          <w:p>
            <w:pPr>
              <w:pStyle w:val="TableText"/>
            </w:pPr>
            <w:r>
              <w:t>Encrypted daily backup plus a stated recovery-point target; restore drill before paid launch.</w:t>
            </w:r>
          </w:p>
        </w:tc>
        <w:tc>
          <w:tcPr>
            <w:tcW w:type="dxa" w:w="3600"/>
            <w:tcMar>
              <w:top w:w="80" w:type="dxa"/>
              <w:bottom w:w="80" w:type="dxa"/>
              <w:start w:w="120" w:type="dxa"/>
              <w:end w:w="120" w:type="dxa"/>
            </w:tcMar>
          </w:tcPr>
          <w:p>
            <w:pPr>
              <w:pStyle w:val="TableText"/>
            </w:pPr>
            <w:r>
              <w:t>Proposed cloud RPO ≤24 h / RTO ≤4 h; these allow data/service loss and are not high-availability claims.</w:t>
            </w:r>
          </w:p>
        </w:tc>
      </w:tr>
      <w:tr>
        <w:trPr>
          <w:cantSplit/>
        </w:trPr>
        <w:tc>
          <w:tcPr>
            <w:tcW w:type="dxa" w:w="1760"/>
            <w:tcMar>
              <w:top w:w="80" w:type="dxa"/>
              <w:bottom w:w="80" w:type="dxa"/>
              <w:start w:w="120" w:type="dxa"/>
              <w:end w:w="120" w:type="dxa"/>
            </w:tcMar>
          </w:tcPr>
          <w:p>
            <w:pPr>
              <w:pStyle w:val="TableText"/>
            </w:pPr>
            <w:r>
              <w:t>Logs/metrics</w:t>
            </w:r>
          </w:p>
        </w:tc>
        <w:tc>
          <w:tcPr>
            <w:tcW w:type="dxa" w:w="4000"/>
            <w:tcMar>
              <w:top w:w="80" w:type="dxa"/>
              <w:bottom w:w="80" w:type="dxa"/>
              <w:start w:w="120" w:type="dxa"/>
              <w:end w:w="120" w:type="dxa"/>
            </w:tcMar>
          </w:tcPr>
          <w:p>
            <w:pPr>
              <w:pStyle w:val="TableText"/>
            </w:pPr>
            <w:r>
              <w:t>Bounded structured logs; request/event/incident IDs; redaction; per-home quotas.</w:t>
            </w:r>
          </w:p>
        </w:tc>
        <w:tc>
          <w:tcPr>
            <w:tcW w:type="dxa" w:w="3600"/>
            <w:tcMar>
              <w:top w:w="80" w:type="dxa"/>
              <w:bottom w:w="80" w:type="dxa"/>
              <w:start w:w="120" w:type="dxa"/>
              <w:end w:w="120" w:type="dxa"/>
            </w:tcMar>
          </w:tcPr>
          <w:p>
            <w:pPr>
              <w:pStyle w:val="TableText"/>
            </w:pPr>
            <w:r>
              <w:t>No secrets; floods do not starve critical input; debug logging expires automatically.</w:t>
            </w:r>
          </w:p>
        </w:tc>
      </w:tr>
      <w:tr>
        <w:trPr>
          <w:cantSplit/>
        </w:trPr>
        <w:tc>
          <w:tcPr>
            <w:tcW w:type="dxa" w:w="1760"/>
            <w:tcMar>
              <w:top w:w="80" w:type="dxa"/>
              <w:bottom w:w="80" w:type="dxa"/>
              <w:start w:w="120" w:type="dxa"/>
              <w:end w:w="120" w:type="dxa"/>
            </w:tcMar>
          </w:tcPr>
          <w:p>
            <w:pPr>
              <w:pStyle w:val="TableText"/>
            </w:pPr>
            <w:r>
              <w:t>Support</w:t>
            </w:r>
          </w:p>
        </w:tc>
        <w:tc>
          <w:tcPr>
            <w:tcW w:type="dxa" w:w="4000"/>
            <w:tcMar>
              <w:top w:w="80" w:type="dxa"/>
              <w:bottom w:w="80" w:type="dxa"/>
              <w:start w:w="120" w:type="dxa"/>
              <w:end w:w="120" w:type="dxa"/>
            </w:tcMar>
          </w:tcPr>
          <w:p>
            <w:pPr>
              <w:pStyle w:val="TableText"/>
            </w:pPr>
            <w:r>
              <w:t>Assisted installation checklist, local troubleshooting guide, explicit founder support hours.</w:t>
            </w:r>
          </w:p>
        </w:tc>
        <w:tc>
          <w:tcPr>
            <w:tcW w:type="dxa" w:w="3600"/>
            <w:tcMar>
              <w:top w:w="80" w:type="dxa"/>
              <w:bottom w:w="80" w:type="dxa"/>
              <w:start w:w="120" w:type="dxa"/>
              <w:end w:w="120" w:type="dxa"/>
            </w:tcMar>
          </w:tcPr>
          <w:p>
            <w:pPr>
              <w:pStyle w:val="TableText"/>
            </w:pPr>
            <w:r>
              <w:t>Owner for each open defect/incident; no implied 24/7 resident response service.</w:t>
            </w:r>
          </w:p>
        </w:tc>
      </w:tr>
      <w:tr>
        <w:trPr>
          <w:cantSplit/>
        </w:trPr>
        <w:tc>
          <w:tcPr>
            <w:tcW w:type="dxa" w:w="1760"/>
            <w:tcMar>
              <w:top w:w="80" w:type="dxa"/>
              <w:bottom w:w="80" w:type="dxa"/>
              <w:start w:w="120" w:type="dxa"/>
              <w:end w:w="120" w:type="dxa"/>
            </w:tcMar>
          </w:tcPr>
          <w:p>
            <w:pPr>
              <w:pStyle w:val="TableText"/>
            </w:pPr>
            <w:r>
              <w:t>Service interruption</w:t>
            </w:r>
          </w:p>
        </w:tc>
        <w:tc>
          <w:tcPr>
            <w:tcW w:type="dxa" w:w="4000"/>
            <w:tcMar>
              <w:top w:w="80" w:type="dxa"/>
              <w:bottom w:w="80" w:type="dxa"/>
              <w:start w:w="120" w:type="dxa"/>
              <w:end w:w="120" w:type="dxa"/>
            </w:tcMar>
          </w:tcPr>
          <w:p>
            <w:pPr>
              <w:pStyle w:val="TableText"/>
            </w:pPr>
            <w:r>
              <w:t>Local rules continue while powered; remote path clearly unavailable.</w:t>
            </w:r>
          </w:p>
        </w:tc>
        <w:tc>
          <w:tcPr>
            <w:tcW w:type="dxa" w:w="3600"/>
            <w:tcMar>
              <w:top w:w="80" w:type="dxa"/>
              <w:bottom w:w="80" w:type="dxa"/>
              <w:start w:w="120" w:type="dxa"/>
              <w:end w:w="120" w:type="dxa"/>
            </w:tcMar>
          </w:tcPr>
          <w:p>
            <w:pPr>
              <w:pStyle w:val="TableText"/>
            </w:pPr>
            <w:r>
              <w:t>Customers understand funded included-service term, renewal and shutdown/export plan.</w:t>
            </w:r>
          </w:p>
        </w:tc>
      </w:tr>
    </w:tbl>
    <w:p>
      <w:pPr>
        <w:pStyle w:val="TableSpacer"/>
      </w:pPr>
    </w:p>
    <w:p>
      <w:pPr>
        <w:pStyle w:val="SpecBody"/>
      </w:pPr>
      <w:r>
        <w:t>P0 has no LLM-token, speech-recognition or cloud-inference bill. It still has hosting/database, domain/certificate operations, identity, notification integration, backup, logging, security maintenance and customer support costs. Web Push does not eliminate operating cost. SMS/voice is excluded so there is no hidden per-message fallback bill.</w:t>
      </w:r>
    </w:p>
    <w:p>
      <w:pPr>
        <w:pStyle w:val="SpecBody"/>
      </w:pPr>
      <w:r>
        <w:t>Budget hypothesis only, not a supplier quote: allow roughly ₹1,500–₹5,000/month for a small engineering cloud deployment and backups, excluding support labor, taxes, excess traffic, premium identity features and any messaging add-ons. Quote the selected providers before commitment. Do not sell “lifetime free cloud monitoring”. The earlier hardware offer of approximately ₹9,999–₹11,999 and optional ₹299/month service remains a validation hypothesis, not a verified price customers will accept.</w:t>
      </w:r>
    </w:p>
    <w:p>
      <w:pPr>
        <w:pStyle w:val="SpecBody"/>
      </w:pPr>
      <w:r>
        <w:t>Operational scalability can dominate server load: even 15 minutes/home/month is 250 hours/month at 1,000 homes. Self-service diagnosis, partner installation and/or funded support capacity are necessary before that scale; adding backend replicas does not solve the human workload.</w:t>
      </w:r>
    </w:p>
    <w:p>
      <w:bookmarkStart w:id="34" w:name="roadmap"/>
      <w:pPr>
        <w:pStyle w:val="Heading1"/>
        <w:pageBreakBefore/>
      </w:pPr>
      <w:r>
        <w:t>12. Implementation roadmap and enhancement scope</w:t>
      </w:r>
      <w:bookmarkEnd w:id="34"/>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340"/>
        <w:gridCol w:w="4700"/>
        <w:gridCol w:w="3320"/>
      </w:tblGrid>
      <w:tr>
        <w:trPr>
          <w:cantSplit/>
          <w:tblHeader/>
        </w:trPr>
        <w:tc>
          <w:tcPr>
            <w:tcW w:type="dxa" w:w="1340"/>
            <w:tcMar>
              <w:top w:w="80" w:type="dxa"/>
              <w:bottom w:w="80" w:type="dxa"/>
              <w:start w:w="120" w:type="dxa"/>
              <w:end w:w="120" w:type="dxa"/>
            </w:tcMar>
            <w:shd w:fill="E8EEF5"/>
          </w:tcPr>
          <w:p>
            <w:pPr>
              <w:pStyle w:val="TableText"/>
            </w:pPr>
            <w:r>
              <w:rPr>
                <w:b/>
              </w:rPr>
              <w:t>Slice</w:t>
            </w:r>
          </w:p>
        </w:tc>
        <w:tc>
          <w:tcPr>
            <w:tcW w:type="dxa" w:w="4700"/>
            <w:tcMar>
              <w:top w:w="80" w:type="dxa"/>
              <w:bottom w:w="80" w:type="dxa"/>
              <w:start w:w="120" w:type="dxa"/>
              <w:end w:w="120" w:type="dxa"/>
            </w:tcMar>
            <w:shd w:fill="E8EEF5"/>
          </w:tcPr>
          <w:p>
            <w:pPr>
              <w:pStyle w:val="TableText"/>
            </w:pPr>
            <w:r>
              <w:rPr>
                <w:b/>
              </w:rPr>
              <w:t>Modules / deliverable</w:t>
            </w:r>
          </w:p>
        </w:tc>
        <w:tc>
          <w:tcPr>
            <w:tcW w:type="dxa" w:w="3320"/>
            <w:tcMar>
              <w:top w:w="80" w:type="dxa"/>
              <w:bottom w:w="80" w:type="dxa"/>
              <w:start w:w="120" w:type="dxa"/>
              <w:end w:w="120" w:type="dxa"/>
            </w:tcMar>
            <w:shd w:fill="E8EEF5"/>
          </w:tcPr>
          <w:p>
            <w:pPr>
              <w:pStyle w:val="TableText"/>
            </w:pPr>
            <w:r>
              <w:rPr>
                <w:b/>
              </w:rPr>
              <w:t>Exit and effort assumption</w:t>
            </w:r>
          </w:p>
        </w:tc>
      </w:tr>
      <w:tr>
        <w:trPr>
          <w:cantSplit/>
        </w:trPr>
        <w:tc>
          <w:tcPr>
            <w:tcW w:type="dxa" w:w="1340"/>
            <w:tcMar>
              <w:top w:w="80" w:type="dxa"/>
              <w:bottom w:w="80" w:type="dxa"/>
              <w:start w:w="120" w:type="dxa"/>
              <w:end w:w="120" w:type="dxa"/>
            </w:tcMar>
          </w:tcPr>
          <w:p>
            <w:pPr>
              <w:pStyle w:val="TableText"/>
            </w:pPr>
            <w:r>
              <w:t>1. Contracts + vertical slice</w:t>
            </w:r>
          </w:p>
        </w:tc>
        <w:tc>
          <w:tcPr>
            <w:tcW w:type="dxa" w:w="4700"/>
            <w:tcMar>
              <w:top w:w="80" w:type="dxa"/>
              <w:bottom w:w="80" w:type="dxa"/>
              <w:start w:w="120" w:type="dxa"/>
              <w:end w:w="120" w:type="dxa"/>
            </w:tcMar>
          </w:tcPr>
          <w:p>
            <w:pPr>
              <w:pStyle w:val="TableText"/>
            </w:pPr>
            <w:r>
              <w:t>S01/S02, N01/N02, H01/H02, B03/B07, A02: one motion event end to end.</w:t>
            </w:r>
          </w:p>
        </w:tc>
        <w:tc>
          <w:tcPr>
            <w:tcW w:type="dxa" w:w="3320"/>
            <w:tcMar>
              <w:top w:w="80" w:type="dxa"/>
              <w:bottom w:w="80" w:type="dxa"/>
              <w:start w:w="120" w:type="dxa"/>
              <w:end w:w="120" w:type="dxa"/>
            </w:tcMar>
          </w:tcPr>
          <w:p>
            <w:pPr>
              <w:pStyle w:val="TableText"/>
            </w:pPr>
            <w:r>
              <w:t>40–60 hours; verified IDs, time and commit ACK.</w:t>
            </w:r>
          </w:p>
        </w:tc>
      </w:tr>
      <w:tr>
        <w:trPr>
          <w:cantSplit/>
        </w:trPr>
        <w:tc>
          <w:tcPr>
            <w:tcW w:type="dxa" w:w="1340"/>
            <w:tcMar>
              <w:top w:w="80" w:type="dxa"/>
              <w:bottom w:w="80" w:type="dxa"/>
              <w:start w:w="120" w:type="dxa"/>
              <w:end w:w="120" w:type="dxa"/>
            </w:tcMar>
          </w:tcPr>
          <w:p>
            <w:pPr>
              <w:pStyle w:val="TableText"/>
            </w:pPr>
            <w:r>
              <w:t>2. Routine + local interface</w:t>
            </w:r>
          </w:p>
        </w:tc>
        <w:tc>
          <w:tcPr>
            <w:tcW w:type="dxa" w:w="4700"/>
            <w:tcMar>
              <w:top w:w="80" w:type="dxa"/>
              <w:bottom w:w="80" w:type="dxa"/>
              <w:start w:w="120" w:type="dxa"/>
              <w:end w:w="120" w:type="dxa"/>
            </w:tcMar>
          </w:tcPr>
          <w:p>
            <w:pPr>
              <w:pStyle w:val="TableText"/>
            </w:pPr>
            <w:r>
              <w:t>H03–H07, F02/F04–F10, E01: rules, buttons, privacy and coverage.</w:t>
            </w:r>
          </w:p>
        </w:tc>
        <w:tc>
          <w:tcPr>
            <w:tcW w:type="dxa" w:w="3320"/>
            <w:tcMar>
              <w:top w:w="80" w:type="dxa"/>
              <w:bottom w:w="80" w:type="dxa"/>
              <w:start w:w="120" w:type="dxa"/>
              <w:end w:w="120" w:type="dxa"/>
            </w:tcMar>
          </w:tcPr>
          <w:p>
            <w:pPr>
              <w:pStyle w:val="TableText"/>
            </w:pPr>
            <w:r>
              <w:t>Deterministic replay and local failure behavior; 60–90 hours.</w:t>
            </w:r>
          </w:p>
        </w:tc>
      </w:tr>
      <w:tr>
        <w:trPr>
          <w:cantSplit/>
        </w:trPr>
        <w:tc>
          <w:tcPr>
            <w:tcW w:type="dxa" w:w="1340"/>
            <w:tcMar>
              <w:top w:w="80" w:type="dxa"/>
              <w:bottom w:w="80" w:type="dxa"/>
              <w:start w:w="120" w:type="dxa"/>
              <w:end w:w="120" w:type="dxa"/>
            </w:tcMar>
          </w:tcPr>
          <w:p>
            <w:pPr>
              <w:pStyle w:val="TableText"/>
            </w:pPr>
            <w:r>
              <w:t>3. Caregiver workflow</w:t>
            </w:r>
          </w:p>
        </w:tc>
        <w:tc>
          <w:tcPr>
            <w:tcW w:type="dxa" w:w="4700"/>
            <w:tcMar>
              <w:top w:w="80" w:type="dxa"/>
              <w:bottom w:w="80" w:type="dxa"/>
              <w:start w:w="120" w:type="dxa"/>
              <w:end w:w="120" w:type="dxa"/>
            </w:tcMar>
          </w:tcPr>
          <w:p>
            <w:pPr>
              <w:pStyle w:val="TableText"/>
            </w:pPr>
            <w:r>
              <w:t>B01/B02/B04/B05, A01/A03–A05: roles, push, human claims and backup.</w:t>
            </w:r>
          </w:p>
        </w:tc>
        <w:tc>
          <w:tcPr>
            <w:tcW w:type="dxa" w:w="3320"/>
            <w:tcMar>
              <w:top w:w="80" w:type="dxa"/>
              <w:bottom w:w="80" w:type="dxa"/>
              <w:start w:w="120" w:type="dxa"/>
              <w:end w:w="120" w:type="dxa"/>
            </w:tcMar>
          </w:tcPr>
          <w:p>
            <w:pPr>
              <w:pStyle w:val="TableText"/>
            </w:pPr>
            <w:r>
              <w:t>Real phone tests + failure visibility; 60–90 hours.</w:t>
            </w:r>
          </w:p>
        </w:tc>
      </w:tr>
      <w:tr>
        <w:trPr>
          <w:cantSplit/>
        </w:trPr>
        <w:tc>
          <w:tcPr>
            <w:tcW w:type="dxa" w:w="1340"/>
            <w:tcMar>
              <w:top w:w="80" w:type="dxa"/>
              <w:bottom w:w="80" w:type="dxa"/>
              <w:start w:w="120" w:type="dxa"/>
              <w:end w:w="120" w:type="dxa"/>
            </w:tcMar>
          </w:tcPr>
          <w:p>
            <w:pPr>
              <w:pStyle w:val="TableText"/>
            </w:pPr>
            <w:r>
              <w:t>4. Reliability + power</w:t>
            </w:r>
          </w:p>
        </w:tc>
        <w:tc>
          <w:tcPr>
            <w:tcW w:type="dxa" w:w="4700"/>
            <w:tcMar>
              <w:top w:w="80" w:type="dxa"/>
              <w:bottom w:w="80" w:type="dxa"/>
              <w:start w:w="120" w:type="dxa"/>
              <w:end w:w="120" w:type="dxa"/>
            </w:tcMar>
          </w:tcPr>
          <w:p>
            <w:pPr>
              <w:pStyle w:val="TableText"/>
            </w:pPr>
            <w:r>
              <w:t>N03–N05, S03, E02–E09, hardware power path and jig.</w:t>
            </w:r>
          </w:p>
        </w:tc>
        <w:tc>
          <w:tcPr>
            <w:tcW w:type="dxa" w:w="3320"/>
            <w:tcMar>
              <w:top w:w="80" w:type="dxa"/>
              <w:bottom w:w="80" w:type="dxa"/>
              <w:start w:w="120" w:type="dxa"/>
              <w:end w:w="120" w:type="dxa"/>
            </w:tcMar>
          </w:tcPr>
          <w:p>
            <w:pPr>
              <w:pStyle w:val="TableText"/>
            </w:pPr>
            <w:r>
              <w:t>Outage/reboot/OTA/privacy/power tests; 80–120 hours.</w:t>
            </w:r>
          </w:p>
        </w:tc>
      </w:tr>
      <w:tr>
        <w:trPr>
          <w:cantSplit/>
        </w:trPr>
        <w:tc>
          <w:tcPr>
            <w:tcW w:type="dxa" w:w="1340"/>
            <w:tcMar>
              <w:top w:w="80" w:type="dxa"/>
              <w:bottom w:w="80" w:type="dxa"/>
              <w:start w:w="120" w:type="dxa"/>
              <w:end w:w="120" w:type="dxa"/>
            </w:tcMar>
          </w:tcPr>
          <w:p>
            <w:pPr>
              <w:pStyle w:val="TableText"/>
            </w:pPr>
            <w:r>
              <w:t>5. Pilot readiness</w:t>
            </w:r>
          </w:p>
        </w:tc>
        <w:tc>
          <w:tcPr>
            <w:tcW w:type="dxa" w:w="4700"/>
            <w:tcMar>
              <w:top w:w="80" w:type="dxa"/>
              <w:bottom w:w="80" w:type="dxa"/>
              <w:start w:w="120" w:type="dxa"/>
              <w:end w:w="120" w:type="dxa"/>
            </w:tcMar>
          </w:tcPr>
          <w:p>
            <w:pPr>
              <w:pStyle w:val="TableText"/>
            </w:pPr>
            <w:r>
              <w:t>B08, T01–T03, installation and diagnostic evidence.</w:t>
            </w:r>
          </w:p>
        </w:tc>
        <w:tc>
          <w:tcPr>
            <w:tcW w:type="dxa" w:w="3320"/>
            <w:tcMar>
              <w:top w:w="80" w:type="dxa"/>
              <w:bottom w:w="80" w:type="dxa"/>
              <w:start w:w="120" w:type="dxa"/>
              <w:end w:w="120" w:type="dxa"/>
            </w:tcMar>
          </w:tcPr>
          <w:p>
            <w:pPr>
              <w:pStyle w:val="TableText"/>
            </w:pPr>
            <w:r>
              <w:t>G1 complete and G2 prepared; 40–60 hours.</w:t>
            </w:r>
          </w:p>
        </w:tc>
      </w:tr>
    </w:tbl>
    <w:p>
      <w:pPr>
        <w:pStyle w:val="TableSpacer"/>
      </w:pPr>
    </w:p>
    <w:p>
      <w:pPr>
        <w:pStyle w:val="SpecBody"/>
      </w:pPr>
      <w:r>
        <w:t>Total planning range: 280–420 focused engineering hours, approximately 19–42 weeks at 10–15 hours/week, before supplier delays, professional hardware/compliance review and extended field fixes. These are bottom-up planning estimates, not commitments. A one-room bench demo can precede complete P0; it shall not be labeled launch-ready. Two-home/ten-home observation time is an additional calendar constraint and must not be compressed into simulated success.</w:t>
      </w:r>
    </w:p>
    <w:p>
      <w:pPr>
        <w:pStyle w:val="Heading2"/>
        <w:pageBreakBefore/>
      </w:pPr>
      <w:r>
        <w:t>Future features: preserve the boundaries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900"/>
        <w:gridCol w:w="3000"/>
        <w:gridCol w:w="5460"/>
      </w:tblGrid>
      <w:tr>
        <w:trPr>
          <w:cantSplit/>
          <w:tblHeader/>
        </w:trPr>
        <w:tc>
          <w:tcPr>
            <w:tcW w:type="dxa" w:w="900"/>
            <w:tcMar>
              <w:top w:w="80" w:type="dxa"/>
              <w:bottom w:w="80" w:type="dxa"/>
              <w:start w:w="120" w:type="dxa"/>
              <w:end w:w="120" w:type="dxa"/>
            </w:tcMar>
            <w:shd w:fill="E8EEF5"/>
          </w:tcPr>
          <w:p>
            <w:pPr>
              <w:pStyle w:val="TableText"/>
            </w:pPr>
            <w:r>
              <w:rPr>
                <w:b/>
              </w:rPr>
              <w:t>Priority</w:t>
            </w:r>
          </w:p>
        </w:tc>
        <w:tc>
          <w:tcPr>
            <w:tcW w:type="dxa" w:w="3000"/>
            <w:tcMar>
              <w:top w:w="80" w:type="dxa"/>
              <w:bottom w:w="80" w:type="dxa"/>
              <w:start w:w="120" w:type="dxa"/>
              <w:end w:w="120" w:type="dxa"/>
            </w:tcMar>
            <w:shd w:fill="E8EEF5"/>
          </w:tcPr>
          <w:p>
            <w:pPr>
              <w:pStyle w:val="TableText"/>
            </w:pPr>
            <w:r>
              <w:rPr>
                <w:b/>
              </w:rPr>
              <w:t>Candidate</w:t>
            </w:r>
          </w:p>
        </w:tc>
        <w:tc>
          <w:tcPr>
            <w:tcW w:type="dxa" w:w="5460"/>
            <w:tcMar>
              <w:top w:w="80" w:type="dxa"/>
              <w:bottom w:w="80" w:type="dxa"/>
              <w:start w:w="120" w:type="dxa"/>
              <w:end w:w="120" w:type="dxa"/>
            </w:tcMar>
            <w:shd w:fill="E8EEF5"/>
          </w:tcPr>
          <w:p>
            <w:pPr>
              <w:pStyle w:val="TableText"/>
            </w:pPr>
            <w:r>
              <w:rPr>
                <w:b/>
              </w:rPr>
              <w:t>Prerequisite / reason not P0</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Secure self-service BLE/SoftAP provisioning</w:t>
            </w:r>
          </w:p>
        </w:tc>
        <w:tc>
          <w:tcPr>
            <w:tcW w:type="dxa" w:w="5460"/>
            <w:tcMar>
              <w:top w:w="80" w:type="dxa"/>
              <w:bottom w:w="80" w:type="dxa"/>
              <w:start w:w="120" w:type="dxa"/>
              <w:end w:w="120" w:type="dxa"/>
            </w:tcMar>
          </w:tcPr>
          <w:p>
            <w:pPr>
              <w:pStyle w:val="TableText"/>
            </w:pPr>
            <w:r>
              <w:t>First prove assisted installation; reduce support without weakening ownership proof.</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Remote low-power node OTA</w:t>
            </w:r>
          </w:p>
        </w:tc>
        <w:tc>
          <w:tcPr>
            <w:tcW w:type="dxa" w:w="5460"/>
            <w:tcMar>
              <w:top w:w="80" w:type="dxa"/>
              <w:bottom w:w="80" w:type="dxa"/>
              <w:start w:w="120" w:type="dxa"/>
              <w:end w:w="120" w:type="dxa"/>
            </w:tcMar>
          </w:tcPr>
          <w:p>
            <w:pPr>
              <w:pStyle w:val="TableText"/>
            </w:pPr>
            <w:r>
              <w:t>Measured energy margin, safe receiver window, resumable signed transport and rollback/recovery.</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Leak or humidity nodes; second door</w:t>
            </w:r>
          </w:p>
        </w:tc>
        <w:tc>
          <w:tcPr>
            <w:tcW w:type="dxa" w:w="5460"/>
            <w:tcMar>
              <w:top w:w="80" w:type="dxa"/>
              <w:bottom w:w="80" w:type="dxa"/>
              <w:start w:w="120" w:type="dxa"/>
              <w:end w:w="120" w:type="dxa"/>
            </w:tcMar>
          </w:tcPr>
          <w:p>
            <w:pPr>
              <w:pStyle w:val="TableText"/>
            </w:pPr>
            <w:r>
              <w:t>A new sensor driver/contract and hazard-specific claims/testing; no automatic shutoff.</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Optional SMS/voice delivery</w:t>
            </w:r>
          </w:p>
        </w:tc>
        <w:tc>
          <w:tcPr>
            <w:tcW w:type="dxa" w:w="5460"/>
            <w:tcMar>
              <w:top w:w="80" w:type="dxa"/>
              <w:bottom w:w="80" w:type="dxa"/>
              <w:start w:w="120" w:type="dxa"/>
              <w:end w:w="120" w:type="dxa"/>
            </w:tcMar>
          </w:tcPr>
          <w:p>
            <w:pPr>
              <w:pStyle w:val="TableText"/>
            </w:pPr>
            <w:r>
              <w:t>Opt-in recipients, metered regional costs, provider status and service boundary.</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Suggested routine adaptation</w:t>
            </w:r>
          </w:p>
        </w:tc>
        <w:tc>
          <w:tcPr>
            <w:tcW w:type="dxa" w:w="5460"/>
            <w:tcMar>
              <w:top w:w="80" w:type="dxa"/>
              <w:bottom w:w="80" w:type="dxa"/>
              <w:start w:w="120" w:type="dxa"/>
              <w:end w:w="120" w:type="dxa"/>
            </w:tcMar>
          </w:tcPr>
          <w:p>
            <w:pPr>
              <w:pStyle w:val="TableText"/>
            </w:pPr>
            <w:r>
              <w:t>Labeled history, measurable advantage over rules, resident approval and explainability.</w:t>
            </w:r>
          </w:p>
        </w:tc>
      </w:tr>
      <w:tr>
        <w:trPr>
          <w:cantSplit/>
        </w:trPr>
        <w:tc>
          <w:tcPr>
            <w:tcW w:type="dxa" w:w="900"/>
            <w:tcMar>
              <w:top w:w="80" w:type="dxa"/>
              <w:bottom w:w="80" w:type="dxa"/>
              <w:start w:w="120" w:type="dxa"/>
              <w:end w:w="120" w:type="dxa"/>
            </w:tcMar>
          </w:tcPr>
          <w:p>
            <w:pPr>
              <w:pStyle w:val="TableText"/>
            </w:pPr>
            <w:r>
              <w:t>P2</w:t>
            </w:r>
          </w:p>
        </w:tc>
        <w:tc>
          <w:tcPr>
            <w:tcW w:type="dxa" w:w="3000"/>
            <w:tcMar>
              <w:top w:w="80" w:type="dxa"/>
              <w:bottom w:w="80" w:type="dxa"/>
              <w:start w:w="120" w:type="dxa"/>
              <w:end w:w="120" w:type="dxa"/>
            </w:tcMar>
          </w:tcPr>
          <w:p>
            <w:pPr>
              <w:pStyle w:val="TableText"/>
            </w:pPr>
            <w:r>
              <w:t>Cellular fallback / router power bundle</w:t>
            </w:r>
          </w:p>
        </w:tc>
        <w:tc>
          <w:tcPr>
            <w:tcW w:type="dxa" w:w="5460"/>
            <w:tcMar>
              <w:top w:w="80" w:type="dxa"/>
              <w:bottom w:w="80" w:type="dxa"/>
              <w:start w:w="120" w:type="dxa"/>
              <w:end w:w="120" w:type="dxa"/>
            </w:tcMar>
          </w:tcPr>
          <w:p>
            <w:pPr>
              <w:pStyle w:val="TableText"/>
            </w:pPr>
            <w:r>
              <w:t>Power budget, SIM recurring cost, independent outage tests and maintenance.</w:t>
            </w:r>
          </w:p>
        </w:tc>
      </w:tr>
      <w:tr>
        <w:trPr>
          <w:cantSplit/>
        </w:trPr>
        <w:tc>
          <w:tcPr>
            <w:tcW w:type="dxa" w:w="900"/>
            <w:tcMar>
              <w:top w:w="80" w:type="dxa"/>
              <w:bottom w:w="80" w:type="dxa"/>
              <w:start w:w="120" w:type="dxa"/>
              <w:end w:w="120" w:type="dxa"/>
            </w:tcMar>
          </w:tcPr>
          <w:p>
            <w:pPr>
              <w:pStyle w:val="TableText"/>
            </w:pPr>
            <w:r>
              <w:t>P2</w:t>
            </w:r>
          </w:p>
        </w:tc>
        <w:tc>
          <w:tcPr>
            <w:tcW w:type="dxa" w:w="3000"/>
            <w:tcMar>
              <w:top w:w="80" w:type="dxa"/>
              <w:bottom w:w="80" w:type="dxa"/>
              <w:start w:w="120" w:type="dxa"/>
              <w:end w:w="120" w:type="dxa"/>
            </w:tcMar>
          </w:tcPr>
          <w:p>
            <w:pPr>
              <w:pStyle w:val="TableText"/>
            </w:pPr>
            <w:r>
              <w:t>Care-provider/partner portal</w:t>
            </w:r>
          </w:p>
        </w:tc>
        <w:tc>
          <w:tcPr>
            <w:tcW w:type="dxa" w:w="5460"/>
            <w:tcMar>
              <w:top w:w="80" w:type="dxa"/>
              <w:bottom w:w="80" w:type="dxa"/>
              <w:start w:w="120" w:type="dxa"/>
              <w:end w:w="120" w:type="dxa"/>
            </w:tcMar>
          </w:tcPr>
          <w:p>
            <w:pPr>
              <w:pStyle w:val="TableText"/>
            </w:pPr>
            <w:r>
              <w:t>Multi-tenant team permissions, contracts, service hours and response ownership.</w:t>
            </w:r>
          </w:p>
        </w:tc>
      </w:tr>
      <w:tr>
        <w:trPr>
          <w:cantSplit/>
        </w:trPr>
        <w:tc>
          <w:tcPr>
            <w:tcW w:type="dxa" w:w="900"/>
            <w:tcMar>
              <w:top w:w="80" w:type="dxa"/>
              <w:bottom w:w="80" w:type="dxa"/>
              <w:start w:w="120" w:type="dxa"/>
              <w:end w:w="120" w:type="dxa"/>
            </w:tcMar>
          </w:tcPr>
          <w:p>
            <w:pPr>
              <w:pStyle w:val="TableText"/>
            </w:pPr>
            <w:r>
              <w:t>P2</w:t>
            </w:r>
          </w:p>
        </w:tc>
        <w:tc>
          <w:tcPr>
            <w:tcW w:type="dxa" w:w="3000"/>
            <w:tcMar>
              <w:top w:w="80" w:type="dxa"/>
              <w:bottom w:w="80" w:type="dxa"/>
              <w:start w:w="120" w:type="dxa"/>
              <w:end w:w="120" w:type="dxa"/>
            </w:tcMar>
          </w:tcPr>
          <w:p>
            <w:pPr>
              <w:pStyle w:val="TableText"/>
            </w:pPr>
            <w:r>
              <w:t>Europe/US commercial expansion</w:t>
            </w:r>
          </w:p>
        </w:tc>
        <w:tc>
          <w:tcPr>
            <w:tcW w:type="dxa" w:w="5460"/>
            <w:tcMar>
              <w:top w:w="80" w:type="dxa"/>
              <w:bottom w:w="80" w:type="dxa"/>
              <w:start w:w="120" w:type="dxa"/>
              <w:end w:w="120" w:type="dxa"/>
            </w:tcMar>
          </w:tcPr>
          <w:p>
            <w:pPr>
              <w:pStyle w:val="TableText"/>
            </w:pPr>
            <w:r>
              <w:t>Regional legal/radio/battery/privacy/accessibility and service support review; no implied certification transfer.</w:t>
            </w:r>
          </w:p>
        </w:tc>
      </w:tr>
      <w:tr>
        <w:trPr>
          <w:cantSplit/>
        </w:trPr>
        <w:tc>
          <w:tcPr>
            <w:tcW w:type="dxa" w:w="900"/>
            <w:tcMar>
              <w:top w:w="80" w:type="dxa"/>
              <w:bottom w:w="80" w:type="dxa"/>
              <w:start w:w="120" w:type="dxa"/>
              <w:end w:w="120" w:type="dxa"/>
            </w:tcMar>
          </w:tcPr>
          <w:p>
            <w:pPr>
              <w:pStyle w:val="TableText"/>
            </w:pPr>
            <w:r>
              <w:t>Separate product</w:t>
            </w:r>
          </w:p>
        </w:tc>
        <w:tc>
          <w:tcPr>
            <w:tcW w:type="dxa" w:w="3000"/>
            <w:tcMar>
              <w:top w:w="80" w:type="dxa"/>
              <w:bottom w:w="80" w:type="dxa"/>
              <w:start w:w="120" w:type="dxa"/>
              <w:end w:w="120" w:type="dxa"/>
            </w:tcMar>
          </w:tcPr>
          <w:p>
            <w:pPr>
              <w:pStyle w:val="TableText"/>
            </w:pPr>
            <w:r>
              <w:t>Kids camera/chatbot/activity device</w:t>
            </w:r>
          </w:p>
        </w:tc>
        <w:tc>
          <w:tcPr>
            <w:tcW w:type="dxa" w:w="5460"/>
            <w:tcMar>
              <w:top w:w="80" w:type="dxa"/>
              <w:bottom w:w="80" w:type="dxa"/>
              <w:start w:w="120" w:type="dxa"/>
              <w:end w:w="120" w:type="dxa"/>
            </w:tcMar>
          </w:tcPr>
          <w:p>
            <w:pPr>
              <w:pStyle w:val="TableText"/>
            </w:pPr>
            <w:r>
              <w:t>Different privacy, safeguarding, AI/cloud cost and product-safety design; do not insert into Family Check-in P0.</w:t>
            </w:r>
          </w:p>
        </w:tc>
      </w:tr>
    </w:tbl>
    <w:p>
      <w:pPr>
        <w:pStyle w:val="TableSpacer"/>
      </w:pPr>
    </w:p>
    <w:p>
      <w:pPr>
        <w:pStyle w:val="SpecBody"/>
      </w:pPr>
      <w:r>
        <w:t>Market context, checked 3 September 2026: Home Assistant’s 2 September release adds security-dashboard severity/activity improvements and an experimental cloud speech option [S10]. This reinforces the hypothesis that generic dashboards and voice are weak differentiation. It does not establish sales or willingness to pay for this kit. The stronger hypotheses remain resident control, explainable uncertainty, simple installation and reliable caregiver ownership. Validate those with interviews and field evidence, not marketing attention.</w:t>
      </w:r>
    </w:p>
    <w:p>
      <w:pPr>
        <w:pStyle w:val="Heading1"/>
        <w:pageBreakBefore/>
      </w:pPr>
      <w:r>
        <w:t>Appendix A. Implemented repository/module manifest</w:t>
      </w:r>
    </w:p>
    <w:p>
      <w:pPr>
        <w:pStyle w:val="SpecBody"/>
      </w:pPr>
      <w:r>
        <w:t>Exactly 32 logical modules remain. The accompanying reference package contains 83 tracked source, contract, test, application, tooling and operations files (excluding build output and caches). Each module has executable host logic or an explicit adapter seam; hardware- and provider-dependent work is not presented as complete.</w:t>
      </w:r>
    </w:p>
    <w:p>
      <w:pPr>
        <w:pStyle w:val="SpecBody"/>
      </w:pPr>
      <w:r>
        <w:t>Every detailed feature names its owner module IDs; this manifest resolves those IDs to exact proposed paths. Module-local tests may be added as implementation grows, without creating another deployable service. Files under ops and tools contain no committed production secrets.</w:t>
      </w:r>
    </w:p>
    <w:p>
      <w:pPr>
        <w:pStyle w:val="Heading2"/>
      </w:pPr>
      <w:r>
        <w:t>Node firmware</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N01 — Node sensing</w:t>
              <w:br/>
              <w:t>GPIO sampling, debounce and sensor drivers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firmware/node/components/sensing/sensing.hpp</w:t>
              <w:br/>
              <w:t>sensing.cpp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N02 — Node radio</w:t>
              <w:br/>
              <w:t>Encrypted peer transport, retries and channel recovery</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firmware/node/components/radio/node_radio.hpp</w:t>
              <w:br/>
              <w:t>node_radio.cpp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N03 — Node power</w:t>
              <w:br/>
              <w:t>Sleep, wake sources, battery sampling and charge status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firmware/node/components/power/power.hpp</w:t>
              <w:br/>
              <w:t>power.cpp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N04 — Node lifecycle</w:t>
              <w:br/>
              <w:t>Provisioning, configuration and service-mode update</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firmware/node/components/lifecycle/lifecycle.hpp</w:t>
              <w:br/>
              <w:t>lifecycle.cpp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N05 — Node storage</w:t>
              <w:br/>
              <w:t>Retained state and bounded event journal</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firmware/node/components/storage/node_store.hpp</w:t>
              <w:br/>
              <w:t>node_store.cpp</w:t>
            </w:r>
          </w:p>
        </w:tc>
      </w:tr>
    </w:tbl>
    <w:p>
      <w:pPr>
        <w:pStyle w:val="TableSpacer"/>
      </w:pPr>
    </w:p>
    <w:p>
      <w:pPr>
        <w:pStyle w:val="Heading2"/>
      </w:pPr>
      <w:r>
        <w:t>Hub firmware</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H01 — Hub ingest</w:t>
              <w:br/>
              <w:t>Radio callback queue, authentication and admission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firmware/hub/components/ingest/ingest.hpp</w:t>
              <w:br/>
              <w:t>ingest.cpp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H02 — Hub persistence</w:t>
              <w:br/>
              <w:t>Journal, deduplication, replay and cloud outbox</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firmware/hub/components/storage/journal.hpp</w:t>
              <w:br/>
              <w:t>journal.cpp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H03 — Hub time</w:t>
              <w:br/>
              <w:t>Clock trust, monotonic timers and window boundaries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firmware/hub/components/time/clock.hpp</w:t>
              <w:br/>
              <w:t>clock.cpp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H04 — Hub coverage</w:t>
              <w:br/>
              <w:t>Node leases, interval coverage and fault reasons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firmware/hub/components/coverage/coverage.hpp</w:t>
              <w:br/>
              <w:t>coverage.cpp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H05 — Hub rules adapter</w:t>
              <w:br/>
              <w:t>Routine state, door policy and incident generation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firmware/hub/components/rules/routine_service.hpp</w:t>
              <w:br/>
              <w:t>routine_service.cpp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H06 — Hub resident interface</w:t>
              <w:br/>
              <w:t>Two buttons, privacy switch, display and fixed prompts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firmware/hub/components/ui/resident_ui.hpp</w:t>
              <w:br/>
              <w:t>resident_ui.cpp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H07 — Hub lifecycle/config</w:t>
              <w:br/>
              <w:t>Provisioning, atomic config application and update orchestration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firmware/hub/components/lifecycle/config_service.hpp</w:t>
              <w:br/>
              <w:t>config_service.cpp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H08 — Hub cloud link</w:t>
              <w:br/>
              <w:t>MQTT session, application acknowledgements and command inbox</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firmware/hub/components/cloud/cloud_sync.hpp</w:t>
              <w:br/>
              <w:t>cloud_sync.cpp</w:t>
            </w:r>
          </w:p>
        </w:tc>
      </w:tr>
    </w:tbl>
    <w:p>
      <w:pPr>
        <w:pStyle w:val="TableSpacer"/>
      </w:pPr>
    </w:p>
    <w:p>
      <w:pPr>
        <w:pStyle w:val="Heading2"/>
      </w:pPr>
      <w:r>
        <w:t>Backend</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B01 — Identity/access</w:t>
              <w:br/>
              <w:t>OIDC verification, home membership and authorization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backend/ghar_sajag/identity.py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B02 — Home/consent</w:t>
              <w:br/>
              <w:t>Household settings, resident consent and mode requests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backend/ghar_sajag/homes.py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B03 — Event ingestion</w:t>
              <w:br/>
              <w:t>Schema validation, deduplication and transactional outbox</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backend/ghar_sajag/ingest.py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B04 — Incident workflow</w:t>
              <w:br/>
              <w:t>Human acknowledgement, ownership lease and resolution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backend/ghar_sajag/incidents.py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B05 — Notification routing</w:t>
              <w:br/>
              <w:t>Push adapter, retry, backup routing and summaries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backend/ghar_sajag/notifications.py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B06 — Fleet/config</w:t>
              <w:br/>
              <w:t>Device registry, desired config and signed update manifests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backend/ghar_sajag/fleet.py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B07 — Read models/API</w:t>
              <w:br/>
              <w:t>Dashboard projection, timeline, snapshots and SSE</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backend/ghar_sajag/queries.py</w:t>
              <w:br/>
              <w:t>http_api.py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B08 — Operations/data</w:t>
              <w:br/>
              <w:t>Health leases, retention, exports and support audit</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backend/ghar_sajag/operations.py</w:t>
              <w:br/>
              <w:t>store.py</w:t>
            </w:r>
          </w:p>
        </w:tc>
      </w:tr>
    </w:tbl>
    <w:p>
      <w:pPr>
        <w:pStyle w:val="TableSpacer"/>
      </w:pPr>
    </w:p>
    <w:p>
      <w:pPr>
        <w:pStyle w:val="Heading2"/>
      </w:pPr>
      <w:r>
        <w:t>Caregiver app</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A01 — App onboarding</w:t>
              <w:br/>
              <w:t>Login, consent, kit claim and installation wizard</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app/src/features/onboarding/index.mjs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A02 — App home</w:t>
              <w:br/>
              <w:t>Evidence cards, freshness, node health and timeline</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app/src/features/home/index.mjs</w:t>
              <w:br/>
              <w:t>app/public/*</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A03 — App routines</w:t>
              <w:br/>
              <w:t>Schedule, away/visitor modes and desired/applied settings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app/src/features/routines/index.mjs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A04 — App incidents</w:t>
              <w:br/>
              <w:t>Alert detail, contact action, acknowledgement and resolution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app/src/features/incidents/index.mjs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A05 — App platform</w:t>
              <w:br/>
              <w:t>API client, offline cache, service worker and push setup</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app/src/platform/index.mjs</w:t>
              <w:br/>
              <w:t>app/public/service-worker.mjs</w:t>
            </w:r>
          </w:p>
        </w:tc>
      </w:tr>
    </w:tbl>
    <w:p>
      <w:pPr>
        <w:pStyle w:val="TableSpacer"/>
      </w:pPr>
    </w:p>
    <w:p>
      <w:pPr>
        <w:pStyle w:val="Heading2"/>
      </w:pPr>
      <w:r>
        <w:t>Shared libraries/contracts</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S01 — Shared contracts</w:t>
              <w:br/>
              <w:t>Canonical wire schemas, API contract and generated types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contracts/node.schema.json</w:t>
              <w:br/>
              <w:t>cloud.schema.json</w:t>
              <w:br/>
              <w:t>config.schema.json</w:t>
              <w:br/>
              <w:t>openapi.yaml; scripts/verify_contracts.py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S02 — Deterministic rules core</w:t>
              <w:br/>
              <w:t>Pure C++ state reducer without hardware or network I/O</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shared/include/gs/rules.hpp</w:t>
              <w:br/>
              <w:t>shared/src/rules.cpp</w:t>
              <w:br/>
              <w:t>domain.hpp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S03 — Firmware security/update</w:t>
              <w:br/>
              <w:t>Credential storage, signed image validation and boot checks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firmware/common/security/security.hpp</w:t>
              <w:br/>
              <w:t>security.cpp</w:t>
            </w:r>
          </w:p>
        </w:tc>
      </w:tr>
    </w:tbl>
    <w:p>
      <w:pPr>
        <w:pStyle w:val="TableSpacer"/>
      </w:pPr>
    </w:p>
    <w:p>
      <w:pPr>
        <w:pStyle w:val="Heading2"/>
      </w:pPr>
      <w:r>
        <w:t>Test and operations</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T01 — Simulation/CI</w:t>
              <w:br/>
              <w:t>Scenario fixtures, replay, API contract and tenant-isolation tests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Makefile</w:t>
              <w:br/>
              <w:t>tests/cpp/test_main.cpp</w:t>
              <w:br/>
              <w:t>tests/python/test_backend.py</w:t>
              <w:br/>
              <w:t>tests/js/app.test.mjs</w:t>
              <w:br/>
              <w:t>tests/scenarios.json</w:t>
              <w:br/>
              <w:t>host/simulator/main.cpp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T02 — Hardware-in-loop tools</w:t>
              <w:br/>
              <w:t>Provisioning jig, fault injection and power measurements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tools/hil/provision.py</w:t>
              <w:br/>
              <w:t>runner.py</w:t>
              <w:br/>
              <w:t>power_profile.py</w:t>
              <w:br/>
              <w:t>installation_checklist.md</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T03 — Deployment/operations</w:t>
              <w:br/>
              <w:t>Container deployment, broker ACLs, metrics and recovery runbook</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ops/compose.yaml</w:t>
              <w:br/>
              <w:t>mosquitto.conf</w:t>
              <w:br/>
              <w:t>broker_acl.conf</w:t>
              <w:br/>
              <w:t>alerts.yaml</w:t>
              <w:br/>
              <w:t>runbook.md</w:t>
            </w:r>
          </w:p>
        </w:tc>
      </w:tr>
    </w:tbl>
    <w:p>
      <w:pPr>
        <w:pStyle w:val="TableSpacer"/>
      </w:pPr>
    </w:p>
    <w:p>
      <w:pPr>
        <w:pStyle w:val="Heading2"/>
      </w:pPr>
      <w:r>
        <w:t>Build/bootstrap file responsibilities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5370"/>
        <w:gridCol w:w="3990"/>
      </w:tblGrid>
      <w:tr>
        <w:trPr>
          <w:cantSplit/>
          <w:tblHeader/>
        </w:trPr>
        <w:tc>
          <w:tcPr>
            <w:tcW w:type="dxa" w:w="5370"/>
            <w:tcMar>
              <w:top w:w="80" w:type="dxa"/>
              <w:bottom w:w="80" w:type="dxa"/>
              <w:start w:w="120" w:type="dxa"/>
              <w:end w:w="120" w:type="dxa"/>
            </w:tcMar>
            <w:shd w:fill="E8EEF5"/>
          </w:tcPr>
          <w:p>
            <w:pPr>
              <w:pStyle w:val="TableText"/>
            </w:pPr>
            <w:r>
              <w:rPr>
                <w:b/>
              </w:rPr>
              <w:t>Files</w:t>
            </w:r>
          </w:p>
        </w:tc>
        <w:tc>
          <w:tcPr>
            <w:tcW w:type="dxa" w:w="3990"/>
            <w:tcMar>
              <w:top w:w="80" w:type="dxa"/>
              <w:bottom w:w="80" w:type="dxa"/>
              <w:start w:w="120" w:type="dxa"/>
              <w:end w:w="120" w:type="dxa"/>
            </w:tcMar>
            <w:shd w:fill="E8EEF5"/>
          </w:tcPr>
          <w:p>
            <w:pPr>
              <w:pStyle w:val="TableText"/>
            </w:pPr>
            <w:r>
              <w:rPr>
                <w:b/>
              </w:rPr>
              <w:t>Role</w:t>
            </w:r>
          </w:p>
        </w:tc>
      </w:tr>
      <w:tr>
        <w:trPr>
          <w:cantSplit/>
        </w:trPr>
        <w:tc>
          <w:tcPr>
            <w:tcW w:type="dxa" w:w="5370"/>
            <w:tcMar>
              <w:top w:w="80" w:type="dxa"/>
              <w:bottom w:w="80" w:type="dxa"/>
              <w:start w:w="120" w:type="dxa"/>
              <w:end w:w="120" w:type="dxa"/>
            </w:tcMar>
          </w:tcPr>
          <w:p>
            <w:pPr>
              <w:pStyle w:val="TableText"/>
            </w:pPr>
            <w:r>
              <w:t>README.md; CMakeLists.txt</w:t>
            </w:r>
          </w:p>
        </w:tc>
        <w:tc>
          <w:tcPr>
            <w:tcW w:type="dxa" w:w="3990"/>
            <w:tcMar>
              <w:top w:w="80" w:type="dxa"/>
              <w:bottom w:w="80" w:type="dxa"/>
              <w:start w:w="120" w:type="dxa"/>
              <w:end w:w="120" w:type="dxa"/>
            </w:tcMar>
          </w:tcPr>
          <w:p>
            <w:pPr>
              <w:pStyle w:val="TableText"/>
            </w:pPr>
            <w:r>
              <w:t>Development setup, architecture map and host rule-core build.</w:t>
            </w:r>
          </w:p>
        </w:tc>
      </w:tr>
      <w:tr>
        <w:trPr>
          <w:cantSplit/>
        </w:trPr>
        <w:tc>
          <w:tcPr>
            <w:tcW w:type="dxa" w:w="5370"/>
            <w:tcMar>
              <w:top w:w="80" w:type="dxa"/>
              <w:bottom w:w="80" w:type="dxa"/>
              <w:start w:w="120" w:type="dxa"/>
              <w:end w:w="120" w:type="dxa"/>
            </w:tcMar>
          </w:tcPr>
          <w:p>
            <w:pPr>
              <w:pStyle w:val="TableText"/>
            </w:pPr>
            <w:r>
              <w:t>firmware/{node,hub}/CMakeLists.txt; main/app_main.cpp; sdkconfig.defaults; partitions.csv</w:t>
            </w:r>
          </w:p>
        </w:tc>
        <w:tc>
          <w:tcPr>
            <w:tcW w:type="dxa" w:w="3990"/>
            <w:tcMar>
              <w:top w:w="80" w:type="dxa"/>
              <w:bottom w:w="80" w:type="dxa"/>
              <w:start w:w="120" w:type="dxa"/>
              <w:end w:w="120" w:type="dxa"/>
            </w:tcMar>
          </w:tcPr>
          <w:p>
            <w:pPr>
              <w:pStyle w:val="TableText"/>
            </w:pPr>
            <w:r>
              <w:t>Entry points, component wiring, reproducible target settings and board-verified flash layout.</w:t>
            </w:r>
          </w:p>
        </w:tc>
      </w:tr>
      <w:tr>
        <w:trPr>
          <w:cantSplit/>
        </w:trPr>
        <w:tc>
          <w:tcPr>
            <w:tcW w:type="dxa" w:w="5370"/>
            <w:tcMar>
              <w:top w:w="80" w:type="dxa"/>
              <w:bottom w:w="80" w:type="dxa"/>
              <w:start w:w="120" w:type="dxa"/>
              <w:end w:w="120" w:type="dxa"/>
            </w:tcMar>
          </w:tcPr>
          <w:p>
            <w:pPr>
              <w:pStyle w:val="TableText"/>
            </w:pPr>
            <w:r>
              <w:t>Each N01–N05 / H01–H08 directory: CMakeLists.txt</w:t>
            </w:r>
          </w:p>
        </w:tc>
        <w:tc>
          <w:tcPr>
            <w:tcW w:type="dxa" w:w="3990"/>
            <w:tcMar>
              <w:top w:w="80" w:type="dxa"/>
              <w:bottom w:w="80" w:type="dxa"/>
              <w:start w:w="120" w:type="dxa"/>
              <w:end w:w="120" w:type="dxa"/>
            </w:tcMar>
          </w:tcPr>
          <w:p>
            <w:pPr>
              <w:pStyle w:val="TableText"/>
            </w:pPr>
            <w:r>
              <w:t>13 explicit firmware component manifests; dependencies point inward to contracts/core.</w:t>
            </w:r>
          </w:p>
        </w:tc>
      </w:tr>
      <w:tr>
        <w:trPr>
          <w:cantSplit/>
        </w:trPr>
        <w:tc>
          <w:tcPr>
            <w:tcW w:type="dxa" w:w="5370"/>
            <w:tcMar>
              <w:top w:w="80" w:type="dxa"/>
              <w:bottom w:w="80" w:type="dxa"/>
              <w:start w:w="120" w:type="dxa"/>
              <w:end w:w="120" w:type="dxa"/>
            </w:tcMar>
          </w:tcPr>
          <w:p>
            <w:pPr>
              <w:pStyle w:val="TableText"/>
            </w:pPr>
            <w:r>
              <w:t>backend/pyproject.toml; uv.lock; app/main.py; app/db.py; migrations/001_initial.sql</w:t>
            </w:r>
          </w:p>
        </w:tc>
        <w:tc>
          <w:tcPr>
            <w:tcW w:type="dxa" w:w="3990"/>
            <w:tcMar>
              <w:top w:w="80" w:type="dxa"/>
              <w:bottom w:w="80" w:type="dxa"/>
              <w:start w:w="120" w:type="dxa"/>
              <w:end w:w="120" w:type="dxa"/>
            </w:tcMar>
          </w:tcPr>
          <w:p>
            <w:pPr>
              <w:pStyle w:val="TableText"/>
            </w:pPr>
            <w:r>
              <w:t>Backend dependency lock, process startup, transaction/tenant context and initial schema.</w:t>
            </w:r>
          </w:p>
        </w:tc>
      </w:tr>
      <w:tr>
        <w:trPr>
          <w:cantSplit/>
        </w:trPr>
        <w:tc>
          <w:tcPr>
            <w:tcW w:type="dxa" w:w="5370"/>
            <w:tcMar>
              <w:top w:w="80" w:type="dxa"/>
              <w:bottom w:w="80" w:type="dxa"/>
              <w:start w:w="120" w:type="dxa"/>
              <w:end w:w="120" w:type="dxa"/>
            </w:tcMar>
          </w:tcPr>
          <w:p>
            <w:pPr>
              <w:pStyle w:val="TableText"/>
            </w:pPr>
            <w:r>
              <w:t>app/package.json; package-lock.json; src/main.tsx; public/manifest.webmanifest</w:t>
            </w:r>
          </w:p>
        </w:tc>
        <w:tc>
          <w:tcPr>
            <w:tcW w:type="dxa" w:w="3990"/>
            <w:tcMar>
              <w:top w:w="80" w:type="dxa"/>
              <w:bottom w:w="80" w:type="dxa"/>
              <w:start w:w="120" w:type="dxa"/>
              <w:end w:w="120" w:type="dxa"/>
            </w:tcMar>
          </w:tcPr>
          <w:p>
            <w:pPr>
              <w:pStyle w:val="TableText"/>
            </w:pPr>
            <w:r>
              <w:t>App dependency lock, bootstrapping and installable-PWA metadata.</w:t>
            </w:r>
          </w:p>
        </w:tc>
      </w:tr>
      <w:tr>
        <w:trPr>
          <w:cantSplit/>
        </w:trPr>
        <w:tc>
          <w:tcPr>
            <w:tcW w:type="dxa" w:w="5370"/>
            <w:tcMar>
              <w:top w:w="80" w:type="dxa"/>
              <w:bottom w:w="80" w:type="dxa"/>
              <w:start w:w="120" w:type="dxa"/>
              <w:end w:w="120" w:type="dxa"/>
            </w:tcMar>
          </w:tcPr>
          <w:p>
            <w:pPr>
              <w:pStyle w:val="TableText"/>
            </w:pPr>
            <w:r>
              <w:t>.github/workflows/ci.yml</w:t>
            </w:r>
          </w:p>
        </w:tc>
        <w:tc>
          <w:tcPr>
            <w:tcW w:type="dxa" w:w="3990"/>
            <w:tcMar>
              <w:top w:w="80" w:type="dxa"/>
              <w:bottom w:w="80" w:type="dxa"/>
              <w:start w:w="120" w:type="dxa"/>
              <w:end w:w="120" w:type="dxa"/>
            </w:tcMar>
          </w:tcPr>
          <w:p>
            <w:pPr>
              <w:pStyle w:val="TableText"/>
            </w:pPr>
            <w:r>
              <w:t>Build, lint, unit/replay/contract/security tests, artifact checks and signed-release approval boundary.</w:t>
            </w:r>
          </w:p>
        </w:tc>
      </w:tr>
    </w:tbl>
    <w:p>
      <w:pPr>
        <w:pStyle w:val="TableSpacer"/>
      </w:pPr>
    </w:p>
    <w:p>
      <w:pPr>
        <w:pStyle w:val="SpecBody"/>
      </w:pPr>
      <w:r>
        <w:t>Keep board-specific GPIO mappings in an explicit profile generated/checked during G0; add its file only after the exact PCB schematic is known. Firmware UI prompt assets, translations and generated contract types are intentionally outside the core-file count. Private keys, Wi-Fi credentials and resident data shall never be committed.</w:t>
      </w:r>
    </w:p>
    <w:p>
      <w:bookmarkStart w:id="36" w:name="sources"/>
      <w:pPr>
        <w:pStyle w:val="Heading1"/>
        <w:pageBreakBefore/>
      </w:pPr>
      <w:r>
        <w:t>Appendix B. Decisions, glossary and research sources</w:t>
      </w:r>
      <w:bookmarkEnd w:id="36"/>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3650"/>
        <w:gridCol w:w="5710"/>
      </w:tblGrid>
      <w:tr>
        <w:trPr>
          <w:cantSplit/>
          <w:tblHeader/>
        </w:trPr>
        <w:tc>
          <w:tcPr>
            <w:tcW w:type="dxa" w:w="3650"/>
            <w:tcMar>
              <w:top w:w="80" w:type="dxa"/>
              <w:bottom w:w="80" w:type="dxa"/>
              <w:start w:w="120" w:type="dxa"/>
              <w:end w:w="120" w:type="dxa"/>
            </w:tcMar>
            <w:shd w:fill="E8EEF5"/>
          </w:tcPr>
          <w:p>
            <w:pPr>
              <w:pStyle w:val="TableText"/>
            </w:pPr>
            <w:r>
              <w:rPr>
                <w:b/>
              </w:rPr>
              <w:t>Architecture decision</w:t>
            </w:r>
          </w:p>
        </w:tc>
        <w:tc>
          <w:tcPr>
            <w:tcW w:type="dxa" w:w="5710"/>
            <w:tcMar>
              <w:top w:w="80" w:type="dxa"/>
              <w:bottom w:w="80" w:type="dxa"/>
              <w:start w:w="120" w:type="dxa"/>
              <w:end w:w="120" w:type="dxa"/>
            </w:tcMar>
            <w:shd w:fill="E8EEF5"/>
          </w:tcPr>
          <w:p>
            <w:pPr>
              <w:pStyle w:val="TableText"/>
            </w:pPr>
            <w:r>
              <w:rPr>
                <w:b/>
              </w:rPr>
              <w:t>Why / consequence</w:t>
            </w:r>
          </w:p>
        </w:tc>
      </w:tr>
      <w:tr>
        <w:trPr>
          <w:cantSplit/>
        </w:trPr>
        <w:tc>
          <w:tcPr>
            <w:tcW w:type="dxa" w:w="3650"/>
            <w:tcMar>
              <w:top w:w="80" w:type="dxa"/>
              <w:bottom w:w="80" w:type="dxa"/>
              <w:start w:w="120" w:type="dxa"/>
              <w:end w:w="120" w:type="dxa"/>
            </w:tcMar>
          </w:tcPr>
          <w:p>
            <w:pPr>
              <w:pStyle w:val="TableText"/>
            </w:pPr>
            <w:r>
              <w:t>ADR-01: Local deterministic rules</w:t>
            </w:r>
          </w:p>
        </w:tc>
        <w:tc>
          <w:tcPr>
            <w:tcW w:type="dxa" w:w="5710"/>
            <w:tcMar>
              <w:top w:w="80" w:type="dxa"/>
              <w:bottom w:w="80" w:type="dxa"/>
              <w:start w:w="120" w:type="dxa"/>
              <w:end w:w="120" w:type="dxa"/>
            </w:tcMar>
          </w:tcPr>
          <w:p>
            <w:pPr>
              <w:pStyle w:val="TableText"/>
            </w:pPr>
            <w:r>
              <w:t>Works offline and is host-testable; local clock/storage correctness becomes essential.</w:t>
            </w:r>
          </w:p>
        </w:tc>
      </w:tr>
      <w:tr>
        <w:trPr>
          <w:cantSplit/>
        </w:trPr>
        <w:tc>
          <w:tcPr>
            <w:tcW w:type="dxa" w:w="3650"/>
            <w:tcMar>
              <w:top w:w="80" w:type="dxa"/>
              <w:bottom w:w="80" w:type="dxa"/>
              <w:start w:w="120" w:type="dxa"/>
              <w:end w:w="120" w:type="dxa"/>
            </w:tcMar>
          </w:tcPr>
          <w:p>
            <w:pPr>
              <w:pStyle w:val="TableText"/>
            </w:pPr>
            <w:r>
              <w:t>ADR-02: One hub authority/home</w:t>
            </w:r>
          </w:p>
        </w:tc>
        <w:tc>
          <w:tcPr>
            <w:tcW w:type="dxa" w:w="5710"/>
            <w:tcMar>
              <w:top w:w="80" w:type="dxa"/>
              <w:bottom w:w="80" w:type="dxa"/>
              <w:start w:w="120" w:type="dxa"/>
              <w:end w:w="120" w:type="dxa"/>
            </w:tcMar>
          </w:tcPr>
          <w:p>
            <w:pPr>
              <w:pStyle w:val="TableText"/>
            </w:pPr>
            <w:r>
              <w:t>Avoids duplicate routine decisions; replacement needs an epoch fence and revalidation.</w:t>
            </w:r>
          </w:p>
        </w:tc>
      </w:tr>
      <w:tr>
        <w:trPr>
          <w:cantSplit/>
        </w:trPr>
        <w:tc>
          <w:tcPr>
            <w:tcW w:type="dxa" w:w="3650"/>
            <w:tcMar>
              <w:top w:w="80" w:type="dxa"/>
              <w:bottom w:w="80" w:type="dxa"/>
              <w:start w:w="120" w:type="dxa"/>
              <w:end w:w="120" w:type="dxa"/>
            </w:tcMar>
          </w:tcPr>
          <w:p>
            <w:pPr>
              <w:pStyle w:val="TableText"/>
            </w:pPr>
            <w:r>
              <w:t>ADR-03: Modular monolith + outbox</w:t>
            </w:r>
          </w:p>
        </w:tc>
        <w:tc>
          <w:tcPr>
            <w:tcW w:type="dxa" w:w="5710"/>
            <w:tcMar>
              <w:top w:w="80" w:type="dxa"/>
              <w:bottom w:w="80" w:type="dxa"/>
              <w:start w:w="120" w:type="dxa"/>
              <w:end w:w="120" w:type="dxa"/>
            </w:tcMar>
          </w:tcPr>
          <w:p>
            <w:pPr>
              <w:pStyle w:val="TableText"/>
            </w:pPr>
            <w:r>
              <w:t>Small operational surface for one engineer; use process scaling and clear interfaces before services.</w:t>
            </w:r>
          </w:p>
        </w:tc>
      </w:tr>
      <w:tr>
        <w:trPr>
          <w:cantSplit/>
        </w:trPr>
        <w:tc>
          <w:tcPr>
            <w:tcW w:type="dxa" w:w="3650"/>
            <w:tcMar>
              <w:top w:w="80" w:type="dxa"/>
              <w:bottom w:w="80" w:type="dxa"/>
              <w:start w:w="120" w:type="dxa"/>
              <w:end w:w="120" w:type="dxa"/>
            </w:tcMar>
          </w:tcPr>
          <w:p>
            <w:pPr>
              <w:pStyle w:val="TableText"/>
            </w:pPr>
            <w:r>
              <w:t>ADR-04: At-least-once + idempotency</w:t>
            </w:r>
          </w:p>
        </w:tc>
        <w:tc>
          <w:tcPr>
            <w:tcW w:type="dxa" w:w="5710"/>
            <w:tcMar>
              <w:top w:w="80" w:type="dxa"/>
              <w:bottom w:w="80" w:type="dxa"/>
              <w:start w:w="120" w:type="dxa"/>
              <w:end w:w="120" w:type="dxa"/>
            </w:tcMar>
          </w:tcPr>
          <w:p>
            <w:pPr>
              <w:pStyle w:val="TableText"/>
            </w:pPr>
            <w:r>
              <w:t>Honest transport semantics; adds stable IDs, durable ACKs and unique constraints.</w:t>
            </w:r>
          </w:p>
        </w:tc>
      </w:tr>
      <w:tr>
        <w:trPr>
          <w:cantSplit/>
        </w:trPr>
        <w:tc>
          <w:tcPr>
            <w:tcW w:type="dxa" w:w="3650"/>
            <w:tcMar>
              <w:top w:w="80" w:type="dxa"/>
              <w:bottom w:w="80" w:type="dxa"/>
              <w:start w:w="120" w:type="dxa"/>
              <w:end w:w="120" w:type="dxa"/>
            </w:tcMar>
          </w:tcPr>
          <w:p>
            <w:pPr>
              <w:pStyle w:val="TableText"/>
            </w:pPr>
            <w:r>
              <w:t>ADR-05: Assisted provisioning + PWA</w:t>
            </w:r>
          </w:p>
        </w:tc>
        <w:tc>
          <w:tcPr>
            <w:tcW w:type="dxa" w:w="5710"/>
            <w:tcMar>
              <w:top w:w="80" w:type="dxa"/>
              <w:bottom w:w="80" w:type="dxa"/>
              <w:start w:w="120" w:type="dxa"/>
              <w:end w:w="120" w:type="dxa"/>
            </w:tcMar>
          </w:tcPr>
          <w:p>
            <w:pPr>
              <w:pStyle w:val="TableText"/>
            </w:pPr>
            <w:r>
              <w:t>Reduces first-release mobile/backend scope; installation and push-platform limitations become explicit gates.</w:t>
            </w:r>
          </w:p>
        </w:tc>
      </w:tr>
      <w:tr>
        <w:trPr>
          <w:cantSplit/>
        </w:trPr>
        <w:tc>
          <w:tcPr>
            <w:tcW w:type="dxa" w:w="3650"/>
            <w:tcMar>
              <w:top w:w="80" w:type="dxa"/>
              <w:bottom w:w="80" w:type="dxa"/>
              <w:start w:w="120" w:type="dxa"/>
              <w:end w:w="120" w:type="dxa"/>
            </w:tcMar>
          </w:tcPr>
          <w:p>
            <w:pPr>
              <w:pStyle w:val="TableText"/>
            </w:pPr>
            <w:r>
              <w:t>ADR-06: USB hub + battery backup proposal</w:t>
            </w:r>
          </w:p>
        </w:tc>
        <w:tc>
          <w:tcPr>
            <w:tcW w:type="dxa" w:w="5710"/>
            <w:tcMar>
              <w:top w:w="80" w:type="dxa"/>
              <w:bottom w:w="80" w:type="dxa"/>
              <w:start w:w="120" w:type="dxa"/>
              <w:end w:w="120" w:type="dxa"/>
            </w:tcMar>
          </w:tcPr>
          <w:p>
            <w:pPr>
              <w:pStyle w:val="TableText"/>
            </w:pPr>
            <w:r>
              <w:t>Supports an always-listening hub; battery-only preference needs a measured trade-off decision.</w:t>
            </w:r>
          </w:p>
        </w:tc>
      </w:tr>
      <w:tr>
        <w:trPr>
          <w:cantSplit/>
        </w:trPr>
        <w:tc>
          <w:tcPr>
            <w:tcW w:type="dxa" w:w="3650"/>
            <w:tcMar>
              <w:top w:w="80" w:type="dxa"/>
              <w:bottom w:w="80" w:type="dxa"/>
              <w:start w:w="120" w:type="dxa"/>
              <w:end w:w="120" w:type="dxa"/>
            </w:tcMar>
          </w:tcPr>
          <w:p>
            <w:pPr>
              <w:pStyle w:val="TableText"/>
            </w:pPr>
            <w:r>
              <w:t>ADR-07: No P0 AI inference</w:t>
            </w:r>
          </w:p>
        </w:tc>
        <w:tc>
          <w:tcPr>
            <w:tcW w:type="dxa" w:w="5710"/>
            <w:tcMar>
              <w:top w:w="80" w:type="dxa"/>
              <w:bottom w:w="80" w:type="dxa"/>
              <w:start w:w="120" w:type="dxa"/>
              <w:end w:w="120" w:type="dxa"/>
            </w:tcMar>
          </w:tcPr>
          <w:p>
            <w:pPr>
              <w:pStyle w:val="TableText"/>
            </w:pPr>
            <w:r>
              <w:t>Avoids unvalidated behavior and cloud-inference cost; differentiate through workflow and reliability.</w:t>
            </w:r>
          </w:p>
        </w:tc>
      </w:tr>
      <w:tr>
        <w:trPr>
          <w:cantSplit/>
        </w:trPr>
        <w:tc>
          <w:tcPr>
            <w:tcW w:type="dxa" w:w="3650"/>
            <w:tcMar>
              <w:top w:w="80" w:type="dxa"/>
              <w:bottom w:w="80" w:type="dxa"/>
              <w:start w:w="120" w:type="dxa"/>
              <w:end w:w="120" w:type="dxa"/>
            </w:tcMar>
          </w:tcPr>
          <w:p>
            <w:pPr>
              <w:pStyle w:val="TableText"/>
            </w:pPr>
            <w:r>
              <w:t>ADR-08: Physical privacy authority</w:t>
            </w:r>
          </w:p>
        </w:tc>
        <w:tc>
          <w:tcPr>
            <w:tcW w:type="dxa" w:w="5710"/>
            <w:tcMar>
              <w:top w:w="80" w:type="dxa"/>
              <w:bottom w:w="80" w:type="dxa"/>
              <w:start w:w="120" w:type="dxa"/>
              <w:end w:w="120" w:type="dxa"/>
            </w:tcMar>
          </w:tcPr>
          <w:p>
            <w:pPr>
              <w:pStyle w:val="TableText"/>
            </w:pPr>
            <w:r>
              <w:t>Resident can stop passive observation offline; remote mode changes cannot override it.</w:t>
            </w:r>
          </w:p>
        </w:tc>
      </w:tr>
    </w:tbl>
    <w:p>
      <w:pPr>
        <w:pStyle w:val="TableSpacer"/>
      </w:pPr>
    </w:p>
    <w:p>
      <w:pPr>
        <w:pStyle w:val="Heading2"/>
      </w:pPr>
      <w:r>
        <w:t>Glossary</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350"/>
        <w:gridCol w:w="7010"/>
      </w:tblGrid>
      <w:tr>
        <w:trPr>
          <w:cantSplit/>
          <w:tblHeader/>
        </w:trPr>
        <w:tc>
          <w:tcPr>
            <w:tcW w:type="dxa" w:w="2350"/>
            <w:tcMar>
              <w:top w:w="80" w:type="dxa"/>
              <w:bottom w:w="80" w:type="dxa"/>
              <w:start w:w="120" w:type="dxa"/>
              <w:end w:w="120" w:type="dxa"/>
            </w:tcMar>
            <w:shd w:fill="E8EEF5"/>
          </w:tcPr>
          <w:p>
            <w:pPr>
              <w:pStyle w:val="TableText"/>
            </w:pPr>
            <w:r>
              <w:rPr>
                <w:b/>
              </w:rPr>
              <w:t>Term</w:t>
            </w:r>
          </w:p>
        </w:tc>
        <w:tc>
          <w:tcPr>
            <w:tcW w:type="dxa" w:w="7010"/>
            <w:tcMar>
              <w:top w:w="80" w:type="dxa"/>
              <w:bottom w:w="80" w:type="dxa"/>
              <w:start w:w="120" w:type="dxa"/>
              <w:end w:w="120" w:type="dxa"/>
            </w:tcMar>
            <w:shd w:fill="E8EEF5"/>
          </w:tcPr>
          <w:p>
            <w:pPr>
              <w:pStyle w:val="TableText"/>
            </w:pPr>
            <w:r>
              <w:rPr>
                <w:b/>
              </w:rPr>
              <w:t>Meaning in this specification</w:t>
            </w:r>
          </w:p>
        </w:tc>
      </w:tr>
      <w:tr>
        <w:trPr>
          <w:cantSplit/>
        </w:trPr>
        <w:tc>
          <w:tcPr>
            <w:tcW w:type="dxa" w:w="2350"/>
            <w:tcMar>
              <w:top w:w="80" w:type="dxa"/>
              <w:bottom w:w="80" w:type="dxa"/>
              <w:start w:w="120" w:type="dxa"/>
              <w:end w:w="120" w:type="dxa"/>
            </w:tcMar>
          </w:tcPr>
          <w:p>
            <w:pPr>
              <w:pStyle w:val="TableText"/>
            </w:pPr>
            <w:r>
              <w:t>P0 / P1 / P2</w:t>
            </w:r>
          </w:p>
        </w:tc>
        <w:tc>
          <w:tcPr>
            <w:tcW w:type="dxa" w:w="7010"/>
            <w:tcMar>
              <w:top w:w="80" w:type="dxa"/>
              <w:bottom w:w="80" w:type="dxa"/>
              <w:start w:w="120" w:type="dxa"/>
              <w:end w:w="120" w:type="dxa"/>
            </w:tcMar>
          </w:tcPr>
          <w:p>
            <w:pPr>
              <w:pStyle w:val="TableText"/>
            </w:pPr>
            <w:r>
              <w:t>Required first-release scope / next enhancement / later expansion.</w:t>
            </w:r>
          </w:p>
        </w:tc>
      </w:tr>
      <w:tr>
        <w:trPr>
          <w:cantSplit/>
        </w:trPr>
        <w:tc>
          <w:tcPr>
            <w:tcW w:type="dxa" w:w="2350"/>
            <w:tcMar>
              <w:top w:w="80" w:type="dxa"/>
              <w:bottom w:w="80" w:type="dxa"/>
              <w:start w:w="120" w:type="dxa"/>
              <w:end w:w="120" w:type="dxa"/>
            </w:tcMar>
          </w:tcPr>
          <w:p>
            <w:pPr>
              <w:pStyle w:val="TableText"/>
            </w:pPr>
            <w:r>
              <w:t>Evidence / coverage</w:t>
            </w:r>
          </w:p>
        </w:tc>
        <w:tc>
          <w:tcPr>
            <w:tcW w:type="dxa" w:w="7010"/>
            <w:tcMar>
              <w:top w:w="80" w:type="dxa"/>
              <w:bottom w:w="80" w:type="dxa"/>
              <w:start w:w="120" w:type="dxa"/>
              <w:end w:w="120" w:type="dxa"/>
            </w:tcMar>
          </w:tcPr>
          <w:p>
            <w:pPr>
              <w:pStyle w:val="TableText"/>
            </w:pPr>
            <w:r>
              <w:t>An observed event / the availability and limitations of the observation path.</w:t>
            </w:r>
          </w:p>
        </w:tc>
      </w:tr>
      <w:tr>
        <w:trPr>
          <w:cantSplit/>
        </w:trPr>
        <w:tc>
          <w:tcPr>
            <w:tcW w:type="dxa" w:w="2350"/>
            <w:tcMar>
              <w:top w:w="80" w:type="dxa"/>
              <w:bottom w:w="80" w:type="dxa"/>
              <w:start w:w="120" w:type="dxa"/>
              <w:end w:w="120" w:type="dxa"/>
            </w:tcMar>
          </w:tcPr>
          <w:p>
            <w:pPr>
              <w:pStyle w:val="TableText"/>
            </w:pPr>
            <w:r>
              <w:t>ACK / commit ACK</w:t>
            </w:r>
          </w:p>
        </w:tc>
        <w:tc>
          <w:tcPr>
            <w:tcW w:type="dxa" w:w="7010"/>
            <w:tcMar>
              <w:top w:w="80" w:type="dxa"/>
              <w:bottom w:w="80" w:type="dxa"/>
              <w:start w:w="120" w:type="dxa"/>
              <w:end w:w="120" w:type="dxa"/>
            </w:tcMar>
          </w:tcPr>
          <w:p>
            <w:pPr>
              <w:pStyle w:val="TableText"/>
            </w:pPr>
            <w:r>
              <w:t>Acknowledgement; commit ACK means the specified application store has durably accepted the event, not that a human acted.</w:t>
            </w:r>
          </w:p>
        </w:tc>
      </w:tr>
      <w:tr>
        <w:trPr>
          <w:cantSplit/>
        </w:trPr>
        <w:tc>
          <w:tcPr>
            <w:tcW w:type="dxa" w:w="2350"/>
            <w:tcMar>
              <w:top w:w="80" w:type="dxa"/>
              <w:bottom w:w="80" w:type="dxa"/>
              <w:start w:w="120" w:type="dxa"/>
              <w:end w:w="120" w:type="dxa"/>
            </w:tcMar>
          </w:tcPr>
          <w:p>
            <w:pPr>
              <w:pStyle w:val="TableText"/>
            </w:pPr>
            <w:r>
              <w:t>Idempotency</w:t>
            </w:r>
          </w:p>
        </w:tc>
        <w:tc>
          <w:tcPr>
            <w:tcW w:type="dxa" w:w="7010"/>
            <w:tcMar>
              <w:top w:w="80" w:type="dxa"/>
              <w:bottom w:w="80" w:type="dxa"/>
              <w:start w:w="120" w:type="dxa"/>
              <w:end w:w="120" w:type="dxa"/>
            </w:tcMar>
          </w:tcPr>
          <w:p>
            <w:pPr>
              <w:pStyle w:val="TableText"/>
            </w:pPr>
            <w:r>
              <w:t>Repeating the same operation ID has one business effect.</w:t>
            </w:r>
          </w:p>
        </w:tc>
      </w:tr>
      <w:tr>
        <w:trPr>
          <w:cantSplit/>
        </w:trPr>
        <w:tc>
          <w:tcPr>
            <w:tcW w:type="dxa" w:w="2350"/>
            <w:tcMar>
              <w:top w:w="80" w:type="dxa"/>
              <w:bottom w:w="80" w:type="dxa"/>
              <w:start w:w="120" w:type="dxa"/>
              <w:end w:w="120" w:type="dxa"/>
            </w:tcMar>
          </w:tcPr>
          <w:p>
            <w:pPr>
              <w:pStyle w:val="TableText"/>
            </w:pPr>
            <w:r>
              <w:t>Outbox / lease</w:t>
            </w:r>
          </w:p>
        </w:tc>
        <w:tc>
          <w:tcPr>
            <w:tcW w:type="dxa" w:w="7010"/>
            <w:tcMar>
              <w:top w:w="80" w:type="dxa"/>
              <w:bottom w:w="80" w:type="dxa"/>
              <w:start w:w="120" w:type="dxa"/>
              <w:end w:w="120" w:type="dxa"/>
            </w:tcMar>
          </w:tcPr>
          <w:p>
            <w:pPr>
              <w:pStyle w:val="TableText"/>
            </w:pPr>
            <w:r>
              <w:t>Durable pending message intent / time-limited ownership or reachability validity.</w:t>
            </w:r>
          </w:p>
        </w:tc>
      </w:tr>
      <w:tr>
        <w:trPr>
          <w:cantSplit/>
        </w:trPr>
        <w:tc>
          <w:tcPr>
            <w:tcW w:type="dxa" w:w="2350"/>
            <w:tcMar>
              <w:top w:w="80" w:type="dxa"/>
              <w:bottom w:w="80" w:type="dxa"/>
              <w:start w:w="120" w:type="dxa"/>
              <w:end w:w="120" w:type="dxa"/>
            </w:tcMar>
          </w:tcPr>
          <w:p>
            <w:pPr>
              <w:pStyle w:val="TableText"/>
            </w:pPr>
            <w:r>
              <w:t>RPO / RTO</w:t>
            </w:r>
          </w:p>
        </w:tc>
        <w:tc>
          <w:tcPr>
            <w:tcW w:type="dxa" w:w="7010"/>
            <w:tcMar>
              <w:top w:w="80" w:type="dxa"/>
              <w:bottom w:w="80" w:type="dxa"/>
              <w:start w:w="120" w:type="dxa"/>
              <w:end w:w="120" w:type="dxa"/>
            </w:tcMar>
          </w:tcPr>
          <w:p>
            <w:pPr>
              <w:pStyle w:val="TableText"/>
            </w:pPr>
            <w:r>
              <w:t>Maximum intended data-loss window / intended recovery time; neither is a demonstrated guarantee here.</w:t>
            </w:r>
          </w:p>
        </w:tc>
      </w:tr>
      <w:tr>
        <w:trPr>
          <w:cantSplit/>
        </w:trPr>
        <w:tc>
          <w:tcPr>
            <w:tcW w:type="dxa" w:w="2350"/>
            <w:tcMar>
              <w:top w:w="80" w:type="dxa"/>
              <w:bottom w:w="80" w:type="dxa"/>
              <w:start w:w="120" w:type="dxa"/>
              <w:end w:w="120" w:type="dxa"/>
            </w:tcMar>
          </w:tcPr>
          <w:p>
            <w:pPr>
              <w:pStyle w:val="TableText"/>
            </w:pPr>
            <w:r>
              <w:t>OIDC / RLS / SSE</w:t>
            </w:r>
          </w:p>
        </w:tc>
        <w:tc>
          <w:tcPr>
            <w:tcW w:type="dxa" w:w="7010"/>
            <w:tcMar>
              <w:top w:w="80" w:type="dxa"/>
              <w:bottom w:w="80" w:type="dxa"/>
              <w:start w:w="120" w:type="dxa"/>
              <w:end w:w="120" w:type="dxa"/>
            </w:tcMar>
          </w:tcPr>
          <w:p>
            <w:pPr>
              <w:pStyle w:val="TableText"/>
            </w:pPr>
            <w:r>
              <w:t>OpenID Connect authentication / database row-level security / server-sent foreground change events.</w:t>
            </w:r>
          </w:p>
        </w:tc>
      </w:tr>
      <w:tr>
        <w:trPr>
          <w:cantSplit/>
        </w:trPr>
        <w:tc>
          <w:tcPr>
            <w:tcW w:type="dxa" w:w="2350"/>
            <w:tcMar>
              <w:top w:w="80" w:type="dxa"/>
              <w:bottom w:w="80" w:type="dxa"/>
              <w:start w:w="120" w:type="dxa"/>
              <w:end w:w="120" w:type="dxa"/>
            </w:tcMar>
          </w:tcPr>
          <w:p>
            <w:pPr>
              <w:pStyle w:val="TableText"/>
            </w:pPr>
            <w:r>
              <w:t>Time uncertainty</w:t>
            </w:r>
          </w:p>
        </w:tc>
        <w:tc>
          <w:tcPr>
            <w:tcW w:type="dxa" w:w="7010"/>
            <w:tcMar>
              <w:top w:w="80" w:type="dxa"/>
              <w:bottom w:w="80" w:type="dxa"/>
              <w:start w:w="120" w:type="dxa"/>
              <w:end w:w="120" w:type="dxa"/>
            </w:tcMar>
          </w:tcPr>
          <w:p>
            <w:pPr>
              <w:pStyle w:val="TableText"/>
            </w:pPr>
            <w:r>
              <w:t>Bound on when an event may have occurred; not silently replaced by upload time.</w:t>
            </w:r>
          </w:p>
        </w:tc>
      </w:tr>
    </w:tbl>
    <w:p>
      <w:pPr>
        <w:pStyle w:val="TableSpacer"/>
      </w:pPr>
    </w:p>
    <w:p>
      <w:pPr>
        <w:pStyle w:val="Heading2"/>
        <w:pageBreakBefore/>
      </w:pPr>
      <w:r>
        <w:t>Source register and research boundary</w:t>
      </w:r>
    </w:p>
    <w:p>
      <w:pPr>
        <w:pStyle w:val="SpecBody"/>
      </w:pPr>
      <w:r>
        <w:t>Technical and competitor sources checked through 7 September 2026. Numbered references support platform or competitor facts; thresholds, architecture choices, effort, capacity, pricing and battery calculations remain proposed engineering assumptions. The startup blueprint and field-layout conversation provide product context, not evidence of working hardware, clinical performance or validated demand.</w:t>
      </w:r>
    </w:p>
    <w:p>
      <w:pPr>
        <w:pStyle w:val="SpecBody"/>
      </w:pPr>
      <w:r>
        <w:rPr>
          <w:b/>
        </w:rPr>
        <w:t xml:space="preserve">[S1] </w:t>
      </w:r>
      <w:hyperlink r:id="rId12">
        <w:r>
          <w:rPr>
            <w:color w:val="2E74B5"/>
          </w:rPr>
          <w:t>Espressif — ESP-NOW, ESP32-C3</w:t>
        </w:r>
      </w:hyperlink>
    </w:p>
    <w:p>
      <w:pPr>
        <w:pStyle w:val="Micro"/>
      </w:pPr>
      <w:r>
        <w:t>Packet compatibility, encrypted peers, channels and MAC versus application acknowledgement.</w:t>
      </w:r>
    </w:p>
    <w:p>
      <w:pPr>
        <w:pStyle w:val="SpecBody"/>
      </w:pPr>
      <w:r>
        <w:rPr>
          <w:b/>
        </w:rPr>
        <w:t xml:space="preserve">[S2] </w:t>
      </w:r>
      <w:hyperlink r:id="rId13">
        <w:r>
          <w:rPr>
            <w:color w:val="2E74B5"/>
          </w:rPr>
          <w:t>Espressif — ESP-IDF OTA, ESP32</w:t>
        </w:r>
      </w:hyperlink>
    </w:p>
    <w:p>
      <w:pPr>
        <w:pStyle w:val="Micro"/>
      </w:pPr>
      <w:r>
        <w:t>Signed-image/update mechanisms and pending verification/rollback behavior.</w:t>
      </w:r>
    </w:p>
    <w:p>
      <w:pPr>
        <w:pStyle w:val="SpecBody"/>
      </w:pPr>
      <w:r>
        <w:rPr>
          <w:b/>
        </w:rPr>
        <w:t xml:space="preserve">[S3] </w:t>
      </w:r>
      <w:hyperlink r:id="rId14">
        <w:r>
          <w:rPr>
            <w:color w:val="2E74B5"/>
          </w:rPr>
          <w:t>Espressif — Non-Volatile Storage</w:t>
        </w:r>
      </w:hyperlink>
    </w:p>
    <w:p>
      <w:pPr>
        <w:pStyle w:val="Micro"/>
      </w:pPr>
      <w:r>
        <w:t>Small key-value persistence and storage behavior. The bounded host journal and ACK semantics are implemented; the ESP-IDF flash-partition adapter, CRC/commit marker, wear measurements and interrupted-write qualification remain hardware work.</w:t>
      </w:r>
    </w:p>
    <w:p>
      <w:pPr>
        <w:pStyle w:val="SpecBody"/>
      </w:pPr>
      <w:r>
        <w:rPr>
          <w:b/>
        </w:rPr>
        <w:t xml:space="preserve">[S4] </w:t>
      </w:r>
      <w:hyperlink r:id="rId15">
        <w:r>
          <w:rPr>
            <w:color w:val="2E74B5"/>
          </w:rPr>
          <w:t>WebKit — Web Push for iOS and iPadOS</w:t>
        </w:r>
      </w:hyperlink>
    </w:p>
    <w:p>
      <w:pPr>
        <w:pStyle w:val="Micro"/>
      </w:pPr>
      <w:r>
        <w:t>Home Screen web apps, user-gesture permission and platform support constraints; not a delivery SLA.</w:t>
      </w:r>
    </w:p>
    <w:p>
      <w:pPr>
        <w:pStyle w:val="SpecBody"/>
      </w:pPr>
      <w:r>
        <w:rPr>
          <w:b/>
        </w:rPr>
        <w:t xml:space="preserve">[S5] </w:t>
      </w:r>
      <w:hyperlink r:id="rId16">
        <w:r>
          <w:rPr>
            <w:color w:val="2E74B5"/>
          </w:rPr>
          <w:t>OASIS — MQTT 3.1.1 specification</w:t>
        </w:r>
      </w:hyperlink>
    </w:p>
    <w:p>
      <w:pPr>
        <w:pStyle w:val="Micro"/>
      </w:pPr>
      <w:r>
        <w:t>QoS 1, persistent sessions and Last Will; broker delivery is not a business database commit.</w:t>
      </w:r>
    </w:p>
    <w:p>
      <w:pPr>
        <w:pStyle w:val="SpecBody"/>
      </w:pPr>
      <w:r>
        <w:rPr>
          <w:b/>
        </w:rPr>
        <w:t xml:space="preserve">[S6] </w:t>
      </w:r>
      <w:hyperlink r:id="rId17">
        <w:r>
          <w:rPr>
            <w:color w:val="2E74B5"/>
          </w:rPr>
          <w:t>Espressif — ESP32 security overview</w:t>
        </w:r>
      </w:hyperlink>
    </w:p>
    <w:p>
      <w:pPr>
        <w:pStyle w:val="Micro"/>
      </w:pPr>
      <w:r>
        <w:t>Secure boot, flash encryption and development/production lifecycle considerations.</w:t>
      </w:r>
    </w:p>
    <w:p>
      <w:pPr>
        <w:pStyle w:val="SpecBody"/>
      </w:pPr>
      <w:r>
        <w:rPr>
          <w:b/>
        </w:rPr>
        <w:t xml:space="preserve">[S7] </w:t>
      </w:r>
      <w:hyperlink r:id="rId18">
        <w:r>
          <w:rPr>
            <w:color w:val="2E74B5"/>
          </w:rPr>
          <w:t>PostgreSQL — Row security policies</w:t>
        </w:r>
      </w:hyperlink>
    </w:p>
    <w:p>
      <w:pPr>
        <w:pStyle w:val="Micro"/>
      </w:pPr>
      <w:r>
        <w:t>Tenant-isolation defense in depth and role/owner bypass considerations.</w:t>
      </w:r>
    </w:p>
    <w:p>
      <w:pPr>
        <w:pStyle w:val="SpecBody"/>
      </w:pPr>
      <w:r>
        <w:rPr>
          <w:b/>
        </w:rPr>
        <w:t xml:space="preserve">[S8] </w:t>
      </w:r>
      <w:hyperlink r:id="rId19">
        <w:r>
          <w:rPr>
            <w:color w:val="2E74B5"/>
          </w:rPr>
          <w:t>Texas Instruments — TPS63020</w:t>
        </w:r>
      </w:hyperlink>
    </w:p>
    <w:p>
      <w:pPr>
        <w:pStyle w:val="Micro"/>
      </w:pPr>
      <w:r>
        <w:t>Buck-boost converter, not a charger; IC specifications do not validate an unknown purchased module.</w:t>
      </w:r>
    </w:p>
    <w:p>
      <w:pPr>
        <w:pStyle w:val="SpecBody"/>
      </w:pPr>
      <w:r>
        <w:rPr>
          <w:b/>
        </w:rPr>
        <w:t xml:space="preserve">[S9] </w:t>
      </w:r>
      <w:hyperlink r:id="rId20">
        <w:r>
          <w:rPr>
            <w:color w:val="2E74B5"/>
          </w:rPr>
          <w:t>Texas Instruments — BQ24074</w:t>
        </w:r>
      </w:hyperlink>
    </w:p>
    <w:p>
      <w:pPr>
        <w:pStyle w:val="Micro"/>
      </w:pPr>
      <w:r>
        <w:t>Example single-cell charger with power-path management; candidate, not an approved battery BOM.</w:t>
      </w:r>
    </w:p>
    <w:p>
      <w:pPr>
        <w:pStyle w:val="SpecBody"/>
      </w:pPr>
      <w:r>
        <w:rPr>
          <w:b/>
        </w:rPr>
        <w:t xml:space="preserve">[S10] </w:t>
      </w:r>
      <w:hyperlink r:id="rId21">
        <w:r>
          <w:rPr>
            <w:color w:val="2E74B5"/>
          </w:rPr>
          <w:t>Home Assistant — 2026.9 release, 2 September 2026</w:t>
        </w:r>
      </w:hyperlink>
    </w:p>
    <w:p>
      <w:pPr>
        <w:pStyle w:val="Micro"/>
      </w:pPr>
      <w:r>
        <w:t>Current smart-home software context; not demand or sales evidence for this proposed product.</w:t>
      </w:r>
    </w:p>
    <w:p>
      <w:r>
        <w:rPr>
          <w:b/>
          <w:color w:val="1F4D78"/>
        </w:rPr>
        <w:t>[S11] Nomo Smart Care — Essential Care Kit, FAQs, app and privacy policy</w:t>
      </w:r>
    </w:p>
    <w:p>
      <w:r>
        <w:t>Reference for hub/satellite/tag packaging, caregiver workflow, routine goals, installation/test expectations and claim/privacy boundaries. Hardware and service facts are competitor evidence, not proof of Ghar Sajag demand.</w:t>
      </w:r>
    </w:p>
    <w:p>
      <w:pPr>
        <w:spacing w:after="100"/>
      </w:pPr>
      <w:r>
        <w:rPr>
          <w:color w:val="2E74B5"/>
          <w:sz w:val="18"/>
        </w:rPr>
        <w:t>https://nomosmartcare.com/products/essential-care-kit | https://nomosmartcare.com/pages/faqs | https://nomosmartcare.com/pages/the-nomo-app | https://nomosmartcare.com/pages/privacy-policy</w:t>
      </w:r>
    </w:p>
    <w:p>
      <w:r>
        <w:rPr>
          <w:b/>
          <w:color w:val="1F4D78"/>
        </w:rPr>
        <w:t>[S12] I’m Alive — Personal Safety &amp; Fall Detection App</w:t>
      </w:r>
    </w:p>
    <w:p>
      <w:r>
        <w:t>Reference for phone/app-only check-in positioning. It is a software-led competitor and does not establish distributed household sensing or recipient independence.</w:t>
      </w:r>
    </w:p>
    <w:p>
      <w:pPr>
        <w:spacing w:after="100"/>
      </w:pPr>
      <w:r>
        <w:rPr>
          <w:color w:val="2E74B5"/>
          <w:sz w:val="18"/>
        </w:rPr>
        <w:t>https://imalive.co/</w:t>
      </w:r>
    </w:p>
    <w:p>
      <w:pPr>
        <w:pStyle w:val="SpecBody"/>
      </w:pPr>
      <w:r>
        <w:t>Research limits: competitor websites describe marketed behavior and pricing, not verified sales, clinical accuracy or sustained household outcomes. No exact battery-pack specification, supplier BOM quotation, installed-phone performance, measured radio/battery profile, implemented software, security audit, clinical validation or paid-demand data was available for this specification. Do not treat a reference-board, IC or competitor claim as verification of a purchased module or Ghar Sajag capability. All implementation and release tests remain to be executed.</w:t>
      </w:r>
    </w:p>
    <w:p>
      <w:pPr>
        <w:pStyle w:val="SpecBody"/>
      </w:pPr>
      <w:r>
        <w:t>Next engineering action: complete the contract-driven one-event vertical slice with one ESP32 DevKit V1 hub and one C3+PIR node, then add the remaining nodes and run the v1.1 Test alert drill on a real caregiver phone. Do not begin fall detection, medicine claims, custom PCBs or professional-response integration before the P0 evidence and coverage semantics pass the release-delta tests above.</w:t>
      </w:r>
    </w:p>
    <w:p>
      <w:pPr>
        <w:pStyle w:val="Heading1"/>
      </w:pPr>
      <w:r>
        <w:t>Appendix C. v1.2 implementation handoff</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9360"/>
      </w:tblGrid>
      <w:tr>
        <w:trPr>
          <w:cantSplit/>
        </w:trPr>
        <w:tc>
          <w:tcPr>
            <w:tcW w:type="dxa" w:w="9360"/>
            <w:tcMar>
              <w:top w:w="80" w:type="dxa"/>
              <w:start w:w="120" w:type="dxa"/>
              <w:bottom w:w="80" w:type="dxa"/>
              <w:end w:w="120" w:type="dxa"/>
            </w:tcMar>
            <w:vAlign w:val="center"/>
            <w:shd w:fill="F4F6F9"/>
          </w:tcPr>
          <w:p>
            <w:pPr>
              <w:spacing w:before="0" w:after="60" w:line="240" w:lineRule="auto"/>
            </w:pPr>
            <w:r>
              <w:rPr>
                <w:rFonts w:ascii="Calibri" w:hAnsi="Calibri"/>
                <w:b/>
                <w:color w:val="1F4D78"/>
                <w:sz w:val="19"/>
              </w:rPr>
              <w:t>Delivered boundary: host-executable reference implementation for all 32 module responsibilities. Not delivered: hardware-qualified ESP-IDF firmware, production cryptography, durable PostgreSQL deployment, real OIDC/Web Push integrations or field evidence.</w:t>
            </w:r>
          </w:p>
        </w:tc>
      </w:tr>
    </w:tbl>
    <w:p>
      <w:pPr>
        <w:pStyle w:val="Heading2"/>
      </w:pPr>
      <w:r>
        <w:t>Verification evidence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800"/>
        <w:gridCol w:w="2700"/>
        <w:gridCol w:w="4860"/>
      </w:tblGrid>
      <w:tr>
        <w:trPr>
          <w:cantSplit/>
          <w:tblHeader w:val="true"/>
        </w:trPr>
        <w:tc>
          <w:tcPr>
            <w:tcW w:type="dxa" w:w="18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Check</w:t>
            </w:r>
          </w:p>
        </w:tc>
        <w:tc>
          <w:tcPr>
            <w:tcW w:type="dxa" w:w="2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Result on 7 September 2026</w:t>
            </w:r>
          </w:p>
        </w:tc>
        <w:tc>
          <w:tcPr>
            <w:tcW w:type="dxa" w:w="48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Meaning</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7"/>
              </w:rPr>
              <w:t>Contracts</w:t>
            </w:r>
          </w:p>
        </w:tc>
        <w:tc>
          <w:tcPr>
            <w:tcW w:type="dxa" w:w="2700"/>
            <w:tcMar>
              <w:top w:w="80" w:type="dxa"/>
              <w:start w:w="120" w:type="dxa"/>
              <w:bottom w:w="80" w:type="dxa"/>
              <w:end w:w="120" w:type="dxa"/>
            </w:tcMar>
            <w:vAlign w:val="center"/>
          </w:tcPr>
          <w:p>
            <w:pPr>
              <w:keepNext/>
              <w:spacing w:before="0" w:after="60" w:line="240" w:lineRule="auto"/>
            </w:pPr>
            <w:r>
              <w:rPr>
                <w:rFonts w:ascii="Calibri" w:hAnsi="Calibri"/>
                <w:sz w:val="17"/>
              </w:rPr>
              <w:t>3 JSON schemas + OpenAPI surface passed</w:t>
            </w:r>
          </w:p>
        </w:tc>
        <w:tc>
          <w:tcPr>
            <w:tcW w:type="dxa" w:w="4860"/>
            <w:tcMar>
              <w:top w:w="80" w:type="dxa"/>
              <w:start w:w="120" w:type="dxa"/>
              <w:bottom w:w="80" w:type="dxa"/>
              <w:end w:w="120" w:type="dxa"/>
            </w:tcMar>
            <w:vAlign w:val="center"/>
          </w:tcPr>
          <w:p>
            <w:pPr>
              <w:keepNext/>
              <w:spacing w:before="0" w:after="60" w:line="240" w:lineRule="auto"/>
            </w:pPr>
            <w:r>
              <w:rPr>
                <w:rFonts w:ascii="Calibri" w:hAnsi="Calibri"/>
                <w:sz w:val="17"/>
              </w:rPr>
              <w:t>Required fields/version boundary are structurally present.</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7"/>
              </w:rPr>
              <w:t>Portable C++</w:t>
            </w:r>
          </w:p>
        </w:tc>
        <w:tc>
          <w:tcPr>
            <w:tcW w:type="dxa" w:w="2700"/>
            <w:tcMar>
              <w:top w:w="80" w:type="dxa"/>
              <w:start w:w="120" w:type="dxa"/>
              <w:bottom w:w="80" w:type="dxa"/>
              <w:end w:w="120" w:type="dxa"/>
            </w:tcMar>
            <w:vAlign w:val="center"/>
          </w:tcPr>
          <w:p>
            <w:pPr>
              <w:keepNext/>
              <w:spacing w:before="0" w:after="60" w:line="240" w:lineRule="auto"/>
            </w:pPr>
            <w:r>
              <w:rPr>
                <w:rFonts w:ascii="Calibri" w:hAnsi="Calibri"/>
                <w:sz w:val="17"/>
              </w:rPr>
              <w:t>Strict C++17 build; 52 assertions passed</w:t>
            </w:r>
          </w:p>
        </w:tc>
        <w:tc>
          <w:tcPr>
            <w:tcW w:type="dxa" w:w="4860"/>
            <w:tcMar>
              <w:top w:w="80" w:type="dxa"/>
              <w:start w:w="120" w:type="dxa"/>
              <w:bottom w:w="80" w:type="dxa"/>
              <w:end w:w="120" w:type="dxa"/>
            </w:tcMar>
            <w:vAlign w:val="center"/>
          </w:tcPr>
          <w:p>
            <w:pPr>
              <w:keepNext/>
              <w:spacing w:before="0" w:after="60" w:line="240" w:lineRule="auto"/>
            </w:pPr>
            <w:r>
              <w:rPr>
                <w:rFonts w:ascii="Calibri" w:hAnsi="Calibri"/>
                <w:sz w:val="17"/>
              </w:rPr>
              <w:t>Node/hub/shared algorithms and runtime composition executed on host.</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7"/>
              </w:rPr>
              <w:t>Simulator</w:t>
            </w:r>
          </w:p>
        </w:tc>
        <w:tc>
          <w:tcPr>
            <w:tcW w:type="dxa" w:w="2700"/>
            <w:tcMar>
              <w:top w:w="80" w:type="dxa"/>
              <w:start w:w="120" w:type="dxa"/>
              <w:bottom w:w="80" w:type="dxa"/>
              <w:end w:w="120" w:type="dxa"/>
            </w:tcMar>
            <w:vAlign w:val="center"/>
          </w:tcPr>
          <w:p>
            <w:pPr>
              <w:keepNext/>
              <w:spacing w:before="0" w:after="60" w:line="240" w:lineRule="auto"/>
            </w:pPr>
            <w:r>
              <w:rPr>
                <w:rFonts w:ascii="Calibri" w:hAnsi="Calibri"/>
                <w:sz w:val="17"/>
              </w:rPr>
              <w:t>1 motion event persisted/replayed; no false missing incident</w:t>
            </w:r>
          </w:p>
        </w:tc>
        <w:tc>
          <w:tcPr>
            <w:tcW w:type="dxa" w:w="4860"/>
            <w:tcMar>
              <w:top w:w="80" w:type="dxa"/>
              <w:start w:w="120" w:type="dxa"/>
              <w:bottom w:w="80" w:type="dxa"/>
              <w:end w:w="120" w:type="dxa"/>
            </w:tcMar>
            <w:vAlign w:val="center"/>
          </w:tcPr>
          <w:p>
            <w:pPr>
              <w:keepNext/>
              <w:spacing w:before="0" w:after="60" w:line="240" w:lineRule="auto"/>
            </w:pPr>
            <w:r>
              <w:rPr>
                <w:rFonts w:ascii="Calibri" w:hAnsi="Calibri"/>
                <w:sz w:val="17"/>
              </w:rPr>
              <w:t>One local-first vertical slice executed without hardware.</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7"/>
              </w:rPr>
              <w:t>Backend</w:t>
            </w:r>
          </w:p>
        </w:tc>
        <w:tc>
          <w:tcPr>
            <w:tcW w:type="dxa" w:w="2700"/>
            <w:tcMar>
              <w:top w:w="80" w:type="dxa"/>
              <w:start w:w="120" w:type="dxa"/>
              <w:bottom w:w="80" w:type="dxa"/>
              <w:end w:w="120" w:type="dxa"/>
            </w:tcMar>
            <w:vAlign w:val="center"/>
          </w:tcPr>
          <w:p>
            <w:pPr>
              <w:keepNext/>
              <w:spacing w:before="0" w:after="60" w:line="240" w:lineRule="auto"/>
            </w:pPr>
            <w:r>
              <w:rPr>
                <w:rFonts w:ascii="Calibri" w:hAnsi="Calibri"/>
                <w:sz w:val="17"/>
              </w:rPr>
              <w:t>10 Python unittest cases passed</w:t>
            </w:r>
          </w:p>
        </w:tc>
        <w:tc>
          <w:tcPr>
            <w:tcW w:type="dxa" w:w="4860"/>
            <w:tcMar>
              <w:top w:w="80" w:type="dxa"/>
              <w:start w:w="120" w:type="dxa"/>
              <w:bottom w:w="80" w:type="dxa"/>
              <w:end w:w="120" w:type="dxa"/>
            </w:tcMar>
            <w:vAlign w:val="center"/>
          </w:tcPr>
          <w:p>
            <w:pPr>
              <w:keepNext/>
              <w:spacing w:before="0" w:after="60" w:line="240" w:lineRule="auto"/>
            </w:pPr>
            <w:r>
              <w:rPr>
                <w:rFonts w:ascii="Calibri" w:hAnsi="Calibri"/>
                <w:sz w:val="17"/>
              </w:rPr>
              <w:t>Roles, consent, idempotency, incident/routing, summary and projections executed.</w:t>
            </w:r>
          </w:p>
        </w:tc>
      </w:tr>
      <w:tr>
        <w:trPr>
          <w:cantSplit/>
        </w:trPr>
        <w:tc>
          <w:tcPr>
            <w:tcW w:type="dxa" w:w="1800"/>
            <w:tcMar>
              <w:top w:w="80" w:type="dxa"/>
              <w:start w:w="120" w:type="dxa"/>
              <w:bottom w:w="80" w:type="dxa"/>
              <w:end w:w="120" w:type="dxa"/>
            </w:tcMar>
            <w:vAlign w:val="center"/>
          </w:tcPr>
          <w:p>
            <w:pPr>
              <w:spacing w:before="0" w:after="60" w:line="240" w:lineRule="auto"/>
            </w:pPr>
            <w:r>
              <w:rPr>
                <w:rFonts w:ascii="Calibri" w:hAnsi="Calibri"/>
                <w:sz w:val="17"/>
              </w:rPr>
              <w:t>App domain</w:t>
            </w:r>
          </w:p>
        </w:tc>
        <w:tc>
          <w:tcPr>
            <w:tcW w:type="dxa" w:w="2700"/>
            <w:tcMar>
              <w:top w:w="80" w:type="dxa"/>
              <w:start w:w="120" w:type="dxa"/>
              <w:bottom w:w="80" w:type="dxa"/>
              <w:end w:w="120" w:type="dxa"/>
            </w:tcMar>
            <w:vAlign w:val="center"/>
          </w:tcPr>
          <w:p>
            <w:pPr>
              <w:spacing w:before="0" w:after="60" w:line="240" w:lineRule="auto"/>
            </w:pPr>
            <w:r>
              <w:rPr>
                <w:rFonts w:ascii="Calibri" w:hAnsi="Calibri"/>
                <w:sz w:val="17"/>
              </w:rPr>
              <w:t>6 Node.js tests passed</w:t>
            </w:r>
          </w:p>
        </w:tc>
        <w:tc>
          <w:tcPr>
            <w:tcW w:type="dxa" w:w="4860"/>
            <w:tcMar>
              <w:top w:w="80" w:type="dxa"/>
              <w:start w:w="120" w:type="dxa"/>
              <w:bottom w:w="80" w:type="dxa"/>
              <w:end w:w="120" w:type="dxa"/>
            </w:tcMar>
            <w:vAlign w:val="center"/>
          </w:tcPr>
          <w:p>
            <w:pPr>
              <w:spacing w:before="0" w:after="60" w:line="240" w:lineRule="auto"/>
            </w:pPr>
            <w:r>
              <w:rPr>
                <w:rFonts w:ascii="Calibri" w:hAnsi="Calibri"/>
                <w:sz w:val="17"/>
              </w:rPr>
              <w:t>Validation, evidence/status display, actions, cache and push state executed.</w:t>
            </w:r>
          </w:p>
        </w:tc>
      </w:tr>
    </w:tbl>
    <w:p>
      <w:pPr>
        <w:pStyle w:val="Heading2"/>
      </w:pPr>
      <w:r>
        <w:t>Development flow from this baseline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700"/>
        <w:gridCol w:w="2900"/>
        <w:gridCol w:w="5760"/>
      </w:tblGrid>
      <w:tr>
        <w:trPr>
          <w:cantSplit/>
          <w:tblHeader w:val="true"/>
        </w:trPr>
        <w:tc>
          <w:tcPr>
            <w:tcW w:type="dxa" w:w="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Order</w:t>
            </w:r>
          </w:p>
        </w:tc>
        <w:tc>
          <w:tcPr>
            <w:tcW w:type="dxa" w:w="29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Work package</w:t>
            </w:r>
          </w:p>
        </w:tc>
        <w:tc>
          <w:tcPr>
            <w:tcW w:type="dxa" w:w="57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Exit before moving on</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1</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Run/understand host suite</w:t>
            </w:r>
          </w:p>
        </w:tc>
        <w:tc>
          <w:tcPr>
            <w:tcW w:type="dxa" w:w="5760"/>
            <w:tcMar>
              <w:top w:w="80" w:type="dxa"/>
              <w:start w:w="120" w:type="dxa"/>
              <w:bottom w:w="80" w:type="dxa"/>
              <w:end w:w="120" w:type="dxa"/>
            </w:tcMar>
            <w:vAlign w:val="center"/>
          </w:tcPr>
          <w:p>
            <w:pPr>
              <w:keepNext/>
              <w:spacing w:before="0" w:after="60" w:line="240" w:lineRule="auto"/>
            </w:pPr>
            <w:r>
              <w:rPr>
                <w:rFonts w:ascii="Calibri" w:hAnsi="Calibri"/>
                <w:sz w:val="17"/>
              </w:rPr>
              <w:t>Another engineer runs make verify and traces one event through NodeRuntime, HubRuntime, backend and app view.</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2</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ESP-IDF skeleton and board profiles</w:t>
            </w:r>
          </w:p>
        </w:tc>
        <w:tc>
          <w:tcPr>
            <w:tcW w:type="dxa" w:w="5760"/>
            <w:tcMar>
              <w:top w:w="80" w:type="dxa"/>
              <w:start w:w="120" w:type="dxa"/>
              <w:bottom w:w="80" w:type="dxa"/>
              <w:end w:w="120" w:type="dxa"/>
            </w:tcMar>
            <w:vAlign w:val="center"/>
          </w:tcPr>
          <w:p>
            <w:pPr>
              <w:keepNext/>
              <w:spacing w:before="0" w:after="60" w:line="240" w:lineRule="auto"/>
            </w:pPr>
            <w:r>
              <w:rPr>
                <w:rFonts w:ascii="Calibri" w:hAnsi="Calibri"/>
                <w:sz w:val="17"/>
              </w:rPr>
              <w:t>Pinned toolchain builds for exact DevKit V1/C3 variants; GPIO/power constraints documented.</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3</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One real motion vertical slice</w:t>
            </w:r>
          </w:p>
        </w:tc>
        <w:tc>
          <w:tcPr>
            <w:tcW w:type="dxa" w:w="5760"/>
            <w:tcMar>
              <w:top w:w="80" w:type="dxa"/>
              <w:start w:w="120" w:type="dxa"/>
              <w:bottom w:w="80" w:type="dxa"/>
              <w:end w:w="120" w:type="dxa"/>
            </w:tcMar>
            <w:vAlign w:val="center"/>
          </w:tcPr>
          <w:p>
            <w:pPr>
              <w:keepNext/>
              <w:spacing w:before="0" w:after="60" w:line="240" w:lineRule="auto"/>
            </w:pPr>
            <w:r>
              <w:rPr>
                <w:rFonts w:ascii="Calibri" w:hAnsi="Calibri"/>
                <w:sz w:val="17"/>
              </w:rPr>
              <w:t>PIR → C3 journal → ESP-NOW → hub flash → dashboard; power loss and duplicate injection pass.</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4</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Local routine + resident controls</w:t>
            </w:r>
          </w:p>
        </w:tc>
        <w:tc>
          <w:tcPr>
            <w:tcW w:type="dxa" w:w="5760"/>
            <w:tcMar>
              <w:top w:w="80" w:type="dxa"/>
              <w:start w:w="120" w:type="dxa"/>
              <w:bottom w:w="80" w:type="dxa"/>
              <w:end w:w="120" w:type="dxa"/>
            </w:tcMar>
            <w:vAlign w:val="center"/>
          </w:tcPr>
          <w:p>
            <w:pPr>
              <w:keepNext/>
              <w:spacing w:before="0" w:after="60" w:line="240" w:lineRule="auto"/>
            </w:pPr>
            <w:r>
              <w:rPr>
                <w:rFonts w:ascii="Calibri" w:hAnsi="Calibri"/>
                <w:sz w:val="17"/>
              </w:rPr>
              <w:t>Trusted time, coverage, OK/Call/Privacy and offline behavior pass on bench.</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5</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Real caregiver path</w:t>
            </w:r>
          </w:p>
        </w:tc>
        <w:tc>
          <w:tcPr>
            <w:tcW w:type="dxa" w:w="5760"/>
            <w:tcMar>
              <w:top w:w="80" w:type="dxa"/>
              <w:start w:w="120" w:type="dxa"/>
              <w:bottom w:w="80" w:type="dxa"/>
              <w:end w:w="120" w:type="dxa"/>
            </w:tcMar>
            <w:vAlign w:val="center"/>
          </w:tcPr>
          <w:p>
            <w:pPr>
              <w:keepNext/>
              <w:spacing w:before="0" w:after="60" w:line="240" w:lineRule="auto"/>
            </w:pPr>
            <w:r>
              <w:rPr>
                <w:rFonts w:ascii="Calibri" w:hAnsi="Calibri"/>
                <w:sz w:val="17"/>
              </w:rPr>
              <w:t>OIDC, PostgreSQL, MQTT/TLS and Web Push pass primary/backup and failure-visibility tests.</w:t>
            </w:r>
          </w:p>
        </w:tc>
      </w:tr>
      <w:tr>
        <w:trPr>
          <w:cantSplit/>
        </w:trPr>
        <w:tc>
          <w:tcPr>
            <w:tcW w:type="dxa" w:w="700"/>
            <w:tcMar>
              <w:top w:w="80" w:type="dxa"/>
              <w:start w:w="120" w:type="dxa"/>
              <w:bottom w:w="80" w:type="dxa"/>
              <w:end w:w="120" w:type="dxa"/>
            </w:tcMar>
            <w:vAlign w:val="center"/>
          </w:tcPr>
          <w:p>
            <w:pPr>
              <w:spacing w:before="0" w:after="60" w:line="240" w:lineRule="auto"/>
            </w:pPr>
            <w:r>
              <w:rPr>
                <w:rFonts w:ascii="Calibri" w:hAnsi="Calibri"/>
                <w:sz w:val="17"/>
              </w:rPr>
              <w:t>6</w:t>
            </w:r>
          </w:p>
        </w:tc>
        <w:tc>
          <w:tcPr>
            <w:tcW w:type="dxa" w:w="2900"/>
            <w:tcMar>
              <w:top w:w="80" w:type="dxa"/>
              <w:start w:w="120" w:type="dxa"/>
              <w:bottom w:w="80" w:type="dxa"/>
              <w:end w:w="120" w:type="dxa"/>
            </w:tcMar>
            <w:vAlign w:val="center"/>
          </w:tcPr>
          <w:p>
            <w:pPr>
              <w:spacing w:before="0" w:after="60" w:line="240" w:lineRule="auto"/>
            </w:pPr>
            <w:r>
              <w:rPr>
                <w:rFonts w:ascii="Calibri" w:hAnsi="Calibri"/>
                <w:sz w:val="17"/>
              </w:rPr>
              <w:t>Four-node installed-home gate</w:t>
            </w:r>
          </w:p>
        </w:tc>
        <w:tc>
          <w:tcPr>
            <w:tcW w:type="dxa" w:w="5760"/>
            <w:tcMar>
              <w:top w:w="80" w:type="dxa"/>
              <w:start w:w="120" w:type="dxa"/>
              <w:bottom w:w="80" w:type="dxa"/>
              <w:end w:w="120" w:type="dxa"/>
            </w:tcMar>
            <w:vAlign w:val="center"/>
          </w:tcPr>
          <w:p>
            <w:pPr>
              <w:spacing w:before="0" w:after="60" w:line="240" w:lineRule="auto"/>
            </w:pPr>
            <w:r>
              <w:rPr>
                <w:rFonts w:ascii="Calibri" w:hAnsi="Calibri"/>
                <w:sz w:val="17"/>
              </w:rPr>
              <w:t>Every source, power transition, 72-hour WAN outage, recovery and TEST drill has recorded evidence.</w:t>
            </w:r>
          </w:p>
        </w:tc>
      </w:tr>
    </w:tbl>
    <w:p>
      <w:pPr>
        <w:pStyle w:val="Heading2"/>
      </w:pPr>
      <w:r>
        <w:t>Implementation package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Root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ghar_sajag_reference/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Build</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make verify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Status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IMPLEMENTATION_STATUS.md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Evidence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VERIFICATION_REPORT.md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FreeRTOS binding</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firmware/hub/runtime/FREERTOS_BINDING.md</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Detailed code design</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Ghar_Sajag_Hardware_Independent_Low_Level_Design_v1.0.docx</w:t>
            </w:r>
          </w:p>
        </w:tc>
      </w:tr>
    </w:tbl>
    <w:p>
      <w:r>
        <w:br w:type="page"/>
      </w:r>
    </w:p>
    <w:p>
      <w:pPr>
        <w:pStyle w:val="Heading1"/>
      </w:pPr>
      <w:r>
        <w:t>Diagnostic logging requirements and implementation status</w:t>
      </w:r>
    </w:p>
    <w:p>
      <w:r>
        <w:t>Version 1.3 addendum · 8 September 2026</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rPr>
                <w:b/>
              </w:rPr>
              <w:t>ID</w:t>
            </w:r>
          </w:p>
        </w:tc>
        <w:tc>
          <w:tcPr>
            <w:tcW w:type="dxa" w:w="3120"/>
            <w:shd w:fill="D9EAF7"/>
          </w:tcPr>
          <w:p>
            <w:r>
              <w:rPr>
                <w:b/>
              </w:rPr>
              <w:t>P0 requirement</w:t>
            </w:r>
          </w:p>
        </w:tc>
        <w:tc>
          <w:tcPr>
            <w:tcW w:type="dxa" w:w="3120"/>
            <w:shd w:fill="D9EAF7"/>
          </w:tcPr>
          <w:p>
            <w:r>
              <w:rPr>
                <w:b/>
              </w:rPr>
              <w:t>Status / evidence</w:t>
            </w:r>
          </w:p>
        </w:tc>
      </w:tr>
      <w:tr>
        <w:tc>
          <w:tcPr>
            <w:tcW w:type="dxa" w:w="3120"/>
          </w:tcPr>
          <w:p>
            <w:r>
              <w:t>L01</w:t>
            </w:r>
          </w:p>
        </w:tc>
        <w:tc>
          <w:tcPr>
            <w:tcW w:type="dxa" w:w="3120"/>
          </w:tcPr>
          <w:p>
            <w:r>
              <w:t>ERROR logging shall remain available in commercial builds.</w:t>
            </w:r>
          </w:p>
        </w:tc>
        <w:tc>
          <w:tcPr>
            <w:tcW w:type="dxa" w:w="3120"/>
          </w:tcPr>
          <w:p>
            <w:r>
              <w:t>Implemented; production test confirms ERROR output.</w:t>
            </w:r>
          </w:p>
        </w:tc>
      </w:tr>
      <w:tr>
        <w:tc>
          <w:tcPr>
            <w:tcW w:type="dxa" w:w="3120"/>
          </w:tcPr>
          <w:p>
            <w:r>
              <w:t>L02</w:t>
            </w:r>
          </w:p>
        </w:tc>
        <w:tc>
          <w:tcPr>
            <w:tcW w:type="dxa" w:w="3120"/>
          </w:tcPr>
          <w:p>
            <w:r>
              <w:t>TRACE logging shall be disabled by default and build/deployment configurable.</w:t>
            </w:r>
          </w:p>
        </w:tc>
        <w:tc>
          <w:tcPr>
            <w:tcW w:type="dxa" w:w="3120"/>
          </w:tcPr>
          <w:p>
            <w:r>
              <w:t>Implemented; C++ compile gate, backend setting and app build flag.</w:t>
            </w:r>
          </w:p>
        </w:tc>
      </w:tr>
      <w:tr>
        <w:tc>
          <w:tcPr>
            <w:tcW w:type="dxa" w:w="3120"/>
          </w:tcPr>
          <w:p>
            <w:r>
              <w:t>L03</w:t>
            </w:r>
          </w:p>
        </w:tc>
        <w:tc>
          <w:tcPr>
            <w:tcW w:type="dxa" w:w="3120"/>
          </w:tcPr>
          <w:p>
            <w:r>
              <w:t>ERROR shall be reserved for critical flow breaks, not expected household states.</w:t>
            </w:r>
          </w:p>
        </w:tc>
        <w:tc>
          <w:tcPr>
            <w:tcW w:type="dxa" w:w="3120"/>
          </w:tcPr>
          <w:p>
            <w:r>
              <w:t>Implemented in selected capacity, authorization, credential and service failure paths.</w:t>
            </w:r>
          </w:p>
        </w:tc>
      </w:tr>
      <w:tr>
        <w:tc>
          <w:tcPr>
            <w:tcW w:type="dxa" w:w="3120"/>
          </w:tcPr>
          <w:p>
            <w:r>
              <w:t>L04</w:t>
            </w:r>
          </w:p>
        </w:tc>
        <w:tc>
          <w:tcPr>
            <w:tcW w:type="dxa" w:w="3120"/>
          </w:tcPr>
          <w:p>
            <w:r>
              <w:t>Records shall identify level, category, module, event and bounded detail.</w:t>
            </w:r>
          </w:p>
        </w:tc>
        <w:tc>
          <w:tcPr>
            <w:tcW w:type="dxa" w:w="3120"/>
          </w:tcPr>
          <w:p>
            <w:r>
              <w:t>Implemented with one-line text contract.</w:t>
            </w:r>
          </w:p>
        </w:tc>
      </w:tr>
      <w:tr>
        <w:tc>
          <w:tcPr>
            <w:tcW w:type="dxa" w:w="3120"/>
          </w:tcPr>
          <w:p>
            <w:r>
              <w:t>L05</w:t>
            </w:r>
          </w:p>
        </w:tc>
        <w:tc>
          <w:tcPr>
            <w:tcW w:type="dxa" w:w="3120"/>
          </w:tcPr>
          <w:p>
            <w:r>
              <w:t>Diagnostic storage shall be bounded.</w:t>
            </w:r>
          </w:p>
        </w:tc>
        <w:tc>
          <w:tcPr>
            <w:tcW w:type="dxa" w:w="3120"/>
          </w:tcPr>
          <w:p>
            <w:r>
              <w:t>Host/backend rotation and browser ring implemented; ESP32 sink pending.</w:t>
            </w:r>
          </w:p>
        </w:tc>
      </w:tr>
      <w:tr>
        <w:tc>
          <w:tcPr>
            <w:tcW w:type="dxa" w:w="3120"/>
          </w:tcPr>
          <w:p>
            <w:r>
              <w:t>L06</w:t>
            </w:r>
          </w:p>
        </w:tc>
        <w:tc>
          <w:tcPr>
            <w:tcW w:type="dxa" w:w="3120"/>
          </w:tcPr>
          <w:p>
            <w:r>
              <w:t>A logging failure shall not stop safety-related product logic.</w:t>
            </w:r>
          </w:p>
        </w:tc>
        <w:tc>
          <w:tcPr>
            <w:tcW w:type="dxa" w:w="3120"/>
          </w:tcPr>
          <w:p>
            <w:r>
              <w:t>Implemented by noexcept/best-effort C++ sink design; hardware fault-injection pending.</w:t>
            </w:r>
          </w:p>
        </w:tc>
      </w:tr>
      <w:tr>
        <w:tc>
          <w:tcPr>
            <w:tcW w:type="dxa" w:w="3120"/>
          </w:tcPr>
          <w:p>
            <w:r>
              <w:t>L07</w:t>
            </w:r>
          </w:p>
        </w:tc>
        <w:tc>
          <w:tcPr>
            <w:tcW w:type="dxa" w:w="3120"/>
          </w:tcPr>
          <w:p>
            <w:r>
              <w:t>Logs shall exclude secrets and resident activity payloads.</w:t>
            </w:r>
          </w:p>
        </w:tc>
        <w:tc>
          <w:tcPr>
            <w:tcW w:type="dxa" w:w="3120"/>
          </w:tcPr>
          <w:p>
            <w:r>
              <w:t>Policy implemented; release review remains mandatory.</w:t>
            </w:r>
          </w:p>
        </w:tc>
      </w:tr>
      <w:tr>
        <w:tc>
          <w:tcPr>
            <w:tcW w:type="dxa" w:w="3120"/>
          </w:tcPr>
          <w:p>
            <w:r>
              <w:t>L08</w:t>
            </w:r>
          </w:p>
        </w:tc>
        <w:tc>
          <w:tcPr>
            <w:tcW w:type="dxa" w:w="3120"/>
          </w:tcPr>
          <w:p>
            <w:r>
              <w:t>Development traces shall show module call flow.</w:t>
            </w:r>
          </w:p>
        </w:tc>
        <w:tc>
          <w:tcPr>
            <w:tcW w:type="dxa" w:w="3120"/>
          </w:tcPr>
          <w:p>
            <w:r>
              <w:t>Implemented across N, H, S, B and A module groups.</w:t>
            </w:r>
          </w:p>
        </w:tc>
      </w:tr>
      <w:tr>
        <w:tc>
          <w:tcPr>
            <w:tcW w:type="dxa" w:w="3120"/>
          </w:tcPr>
          <w:p>
            <w:r>
              <w:t>L09</w:t>
            </w:r>
          </w:p>
        </w:tc>
        <w:tc>
          <w:tcPr>
            <w:tcW w:type="dxa" w:w="3120"/>
          </w:tcPr>
          <w:p>
            <w:r>
              <w:t>Memory faults shall be tested with dedicated runtime tooling.</w:t>
            </w:r>
          </w:p>
        </w:tc>
        <w:tc>
          <w:tcPr>
            <w:tcW w:type="dxa" w:w="3120"/>
          </w:tcPr>
          <w:p>
            <w:r>
              <w:t>Host ASan/UBSan passed; ESP-IDF coredump/panic binding pending.</w:t>
            </w:r>
          </w:p>
        </w:tc>
      </w:tr>
      <w:tr>
        <w:tc>
          <w:tcPr>
            <w:tcW w:type="dxa" w:w="3120"/>
          </w:tcPr>
          <w:p>
            <w:r>
              <w:t>L10</w:t>
            </w:r>
          </w:p>
        </w:tc>
        <w:tc>
          <w:tcPr>
            <w:tcW w:type="dxa" w:w="3120"/>
          </w:tcPr>
          <w:p>
            <w:r>
              <w:t>Operators shall be able to export/analyse text diagnostics.</w:t>
            </w:r>
          </w:p>
        </w:tc>
        <w:tc>
          <w:tcPr>
            <w:tcW w:type="dxa" w:w="3120"/>
          </w:tcPr>
          <w:p>
            <w:r>
              <w:t>Analyzer and browser text export implemented.</w:t>
            </w:r>
          </w:p>
        </w:tc>
      </w:tr>
    </w:tbl>
    <w:p>
      <w:pPr>
        <w:pStyle w:val="Heading2"/>
      </w:pPr>
      <w:r>
        <w:t>Requirement-to-module mapping</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rPr>
                <w:b/>
              </w:rPr>
              <w:t>Requirements</w:t>
            </w:r>
          </w:p>
        </w:tc>
        <w:tc>
          <w:tcPr>
            <w:tcW w:type="dxa" w:w="3120"/>
            <w:shd w:fill="D9EAF7"/>
          </w:tcPr>
          <w:p>
            <w:r>
              <w:rPr>
                <w:b/>
              </w:rPr>
              <w:t>Modules</w:t>
            </w:r>
          </w:p>
        </w:tc>
        <w:tc>
          <w:tcPr>
            <w:tcW w:type="dxa" w:w="3120"/>
            <w:shd w:fill="D9EAF7"/>
          </w:tcPr>
          <w:p>
            <w:r>
              <w:rPr>
                <w:b/>
              </w:rPr>
              <w:t>Rationale</w:t>
            </w:r>
          </w:p>
        </w:tc>
      </w:tr>
      <w:tr>
        <w:tc>
          <w:tcPr>
            <w:tcW w:type="dxa" w:w="3120"/>
          </w:tcPr>
          <w:p>
            <w:r>
              <w:t>L01–L04</w:t>
            </w:r>
          </w:p>
        </w:tc>
        <w:tc>
          <w:tcPr>
            <w:tcW w:type="dxa" w:w="3120"/>
          </w:tcPr>
          <w:p>
            <w:r>
              <w:t>N00–N05, H00–H08, S00–S01, B01–B12, A01–A05</w:t>
            </w:r>
          </w:p>
        </w:tc>
        <w:tc>
          <w:tcPr>
            <w:tcW w:type="dxa" w:w="3120"/>
          </w:tcPr>
          <w:p>
            <w:r>
              <w:t>Uniform severity, category and stable event identity.</w:t>
            </w:r>
          </w:p>
        </w:tc>
      </w:tr>
      <w:tr>
        <w:tc>
          <w:tcPr>
            <w:tcW w:type="dxa" w:w="3120"/>
          </w:tcPr>
          <w:p>
            <w:r>
              <w:t>L05–L06</w:t>
            </w:r>
          </w:p>
        </w:tc>
        <w:tc>
          <w:tcPr>
            <w:tcW w:type="dxa" w:w="3120"/>
          </w:tcPr>
          <w:p>
            <w:r>
              <w:t>T01 file sink, backend logging_config, A05 app logger</w:t>
            </w:r>
          </w:p>
        </w:tc>
        <w:tc>
          <w:tcPr>
            <w:tcW w:type="dxa" w:w="3120"/>
          </w:tcPr>
          <w:p>
            <w:r>
              <w:t>Bounded storage and best-effort failure isolation.</w:t>
            </w:r>
          </w:p>
        </w:tc>
      </w:tr>
      <w:tr>
        <w:tc>
          <w:tcPr>
            <w:tcW w:type="dxa" w:w="3120"/>
          </w:tcPr>
          <w:p>
            <w:r>
              <w:t>L07</w:t>
            </w:r>
          </w:p>
        </w:tc>
        <w:tc>
          <w:tcPr>
            <w:tcW w:type="dxa" w:w="3120"/>
          </w:tcPr>
          <w:p>
            <w:r>
              <w:t>All modules and release review</w:t>
            </w:r>
          </w:p>
        </w:tc>
        <w:tc>
          <w:tcPr>
            <w:tcW w:type="dxa" w:w="3120"/>
          </w:tcPr>
          <w:p>
            <w:r>
              <w:t>Privacy applies at every call site, not only at the sink.</w:t>
            </w:r>
          </w:p>
        </w:tc>
      </w:tr>
      <w:tr>
        <w:tc>
          <w:tcPr>
            <w:tcW w:type="dxa" w:w="3120"/>
          </w:tcPr>
          <w:p>
            <w:r>
              <w:t>L08</w:t>
            </w:r>
          </w:p>
        </w:tc>
        <w:tc>
          <w:tcPr>
            <w:tcW w:type="dxa" w:w="3120"/>
          </w:tcPr>
          <w:p>
            <w:r>
              <w:t>All implemented functional modules</w:t>
            </w:r>
          </w:p>
        </w:tc>
        <w:tc>
          <w:tcPr>
            <w:tcW w:type="dxa" w:w="3120"/>
          </w:tcPr>
          <w:p>
            <w:r>
              <w:t>Development-only entry/exit or transition visibility.</w:t>
            </w:r>
          </w:p>
        </w:tc>
      </w:tr>
      <w:tr>
        <w:tc>
          <w:tcPr>
            <w:tcW w:type="dxa" w:w="3120"/>
          </w:tcPr>
          <w:p>
            <w:r>
              <w:t>L09</w:t>
            </w:r>
          </w:p>
        </w:tc>
        <w:tc>
          <w:tcPr>
            <w:tcW w:type="dxa" w:w="3120"/>
          </w:tcPr>
          <w:p>
            <w:r>
              <w:t>Build/test pipeline and future ESP-IDF platform layer</w:t>
            </w:r>
          </w:p>
        </w:tc>
        <w:tc>
          <w:tcPr>
            <w:tcW w:type="dxa" w:w="3120"/>
          </w:tcPr>
          <w:p>
            <w:r>
              <w:t>Memory corruption detection is separate from ordinary logs.</w:t>
            </w:r>
          </w:p>
        </w:tc>
      </w:tr>
      <w:tr>
        <w:tc>
          <w:tcPr>
            <w:tcW w:type="dxa" w:w="3120"/>
          </w:tcPr>
          <w:p>
            <w:r>
              <w:t>L10</w:t>
            </w:r>
          </w:p>
        </w:tc>
        <w:tc>
          <w:tcPr>
            <w:tcW w:type="dxa" w:w="3120"/>
          </w:tcPr>
          <w:p>
            <w:r>
              <w:t>tools/logs and A05</w:t>
            </w:r>
          </w:p>
        </w:tc>
        <w:tc>
          <w:tcPr>
            <w:tcW w:type="dxa" w:w="3120"/>
          </w:tcPr>
          <w:p>
            <w:r>
              <w:t>Text validation, summary and support export.</w:t>
            </w:r>
          </w:p>
        </w:tc>
      </w:tr>
    </w:tbl>
    <w:p>
      <w:pPr>
        <w:pStyle w:val="Heading2"/>
      </w:pPr>
      <w:r>
        <w:t>Acceptance criteria</w:t>
      </w:r>
    </w:p>
    <w:p>
      <w:pPr>
        <w:pStyle w:val="ListBullet"/>
      </w:pPr>
      <w:r>
        <w:t>Production build emits no TRACE records and preserves a forced ERROR record.</w:t>
      </w:r>
    </w:p>
    <w:p>
      <w:pPr>
        <w:pStyle w:val="ListBullet"/>
      </w:pPr>
      <w:r>
        <w:t>Development build provides trace evidence for every implemented module group.</w:t>
      </w:r>
    </w:p>
    <w:p>
      <w:pPr>
        <w:pStyle w:val="ListBullet"/>
      </w:pPr>
      <w:r>
        <w:t>Malformed or multiline application detail cannot create a second forged log line.</w:t>
      </w:r>
    </w:p>
    <w:p>
      <w:pPr>
        <w:pStyle w:val="ListBullet"/>
      </w:pPr>
      <w:r>
        <w:t>Log storage remains within configured bounds during a soak test.</w:t>
      </w:r>
    </w:p>
    <w:p>
      <w:pPr>
        <w:pStyle w:val="ListBullet"/>
      </w:pPr>
      <w:r>
        <w:t>Logger/sink failure does not alter event durability, acknowledgement or escalation decisions.</w:t>
      </w:r>
    </w:p>
    <w:p>
      <w:pPr>
        <w:pStyle w:val="ListBullet"/>
      </w:pPr>
      <w:r>
        <w:t>No household event payload, resident name, token, Wi-Fi secret or credential value is present in release logs.</w:t>
      </w:r>
    </w:p>
    <w:p>
      <w:pPr>
        <w:pStyle w:val="Heading2"/>
      </w:pPr>
      <w:r>
        <w:t>P0 status impact</w:t>
      </w:r>
    </w:p>
    <w:p>
      <w:r>
        <w:t>The hardware-independent diagnostic layer is implemented and host-verified. This improves diagnosability but does not change the product claim: the repository is not yet production firmware. P0 cannot exit until physical ESP32-C3/ESP32 hub tests demonstrate bounded RAM/flash use, safe concurrent writes, brown-out recovery, storage wear behaviour, watchdog/panic capture and support-log retrieval.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Requirements + host implementation • 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GHAR SAJAG  /  ENGINEERING BASELINE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lvl w:ilvl="0">
      <w:start w:val="1"/>
      <w:numFmt w:val="bullet"/>
      <w:lvlText w:val="•"/>
      <w:lvlJc w:val="left"/>
      <w:pPr>
        <w:ind w:left="540" w:hanging="271"/>
        <w:tabs>
          <w:tab w:val="num" w:pos="540"/>
        </w:tabs>
        <w:spacing w:before="0" w:after="80" w:line="300" w:lineRule="auto"/>
      </w:pPr>
    </w:lvl>
  </w:abstractNum>
  <w:num w:numId="50">
    <w:abstractNumId w:val="50"/>
  </w:num>
  <w:abstractNum w:abstractNumId="51">
    <w:lvl w:ilvl="0">
      <w:start w:val="1"/>
      <w:numFmt w:val="decimal"/>
      <w:lvlText w:val="%1."/>
      <w:lvlJc w:val="left"/>
      <w:pPr>
        <w:ind w:left="540" w:hanging="271"/>
        <w:tabs>
          <w:tab w:val="num" w:pos="540"/>
        </w:tabs>
        <w:spacing w:before="0" w:after="80" w:line="300" w:lineRule="auto"/>
      </w:p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i w:val="0"/>
      <w:color w:val="172635"/>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i w:val="0"/>
      <w:color w:val="5265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i w:val="0"/>
      <w:color w:val="5265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Calibri" w:hAnsi="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Calibri" w:hAnsi="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52" w:lineRule="auto" w:before="0"/>
      <w:contextualSpacing/>
    </w:pPr>
    <w:rPr>
      <w:rFonts w:ascii="Calibri" w:hAnsi="Calibri"/>
      <w:b/>
      <w:i w:val="0"/>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76" w:lineRule="auto"/>
    </w:pPr>
    <w:rPr>
      <w:rFonts w:ascii="Calibri" w:hAnsi="Calibri"/>
      <w:b w:val="0"/>
      <w:i w:val="0"/>
      <w:iCs/>
      <w:color w:val="5265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contextualSpacing/>
    </w:pPr>
    <w:rPr>
      <w:rFonts w:ascii="Calibri" w:hAnsi="Calibri"/>
      <w:b w:val="0"/>
      <w:i w:val="0"/>
      <w:color w:val="1726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contextualSpacing/>
    </w:pPr>
    <w:rPr>
      <w:rFonts w:ascii="Calibri" w:hAnsi="Calibri"/>
      <w:b w:val="0"/>
      <w:i w:val="0"/>
      <w:color w:val="1726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Body">
    <w:name w:val="SpecBody"/>
    <w:pPr>
      <w:widowControl/>
      <w:spacing w:before="0" w:after="100" w:line="264" w:lineRule="auto"/>
    </w:pPr>
    <w:rPr>
      <w:rFonts w:ascii="Calibri" w:hAnsi="Calibri"/>
      <w:b w:val="0"/>
      <w:i w:val="0"/>
      <w:color w:val="172635"/>
      <w:sz w:val="21"/>
    </w:rPr>
  </w:style>
  <w:style w:type="paragraph" w:customStyle="1" w:styleId="TableText">
    <w:name w:val="TableText"/>
    <w:pPr>
      <w:widowControl/>
      <w:spacing w:before="0" w:after="40" w:line="240" w:lineRule="auto"/>
    </w:pPr>
    <w:rPr>
      <w:rFonts w:ascii="Calibri" w:hAnsi="Calibri"/>
      <w:b w:val="0"/>
      <w:i w:val="0"/>
      <w:color w:val="172635"/>
      <w:sz w:val="18"/>
    </w:rPr>
  </w:style>
  <w:style w:type="paragraph" w:customStyle="1" w:styleId="Micro">
    <w:name w:val="Micro"/>
    <w:pPr>
      <w:widowControl/>
      <w:spacing w:before="0" w:after="80" w:line="264" w:lineRule="auto"/>
    </w:pPr>
    <w:rPr>
      <w:rFonts w:ascii="Calibri" w:hAnsi="Calibri"/>
      <w:b w:val="0"/>
      <w:i w:val="0"/>
      <w:color w:val="526578"/>
      <w:sz w:val="18"/>
    </w:rPr>
  </w:style>
  <w:style w:type="paragraph" w:customStyle="1" w:styleId="Code">
    <w:name w:val="Code"/>
    <w:pPr>
      <w:widowControl/>
      <w:spacing w:before="0" w:after="100" w:line="252" w:lineRule="auto"/>
    </w:pPr>
    <w:rPr>
      <w:rFonts w:ascii="DejaVu Sans Mono" w:hAnsi="DejaVu Sans Mono"/>
      <w:b w:val="0"/>
      <w:i w:val="0"/>
      <w:color w:val="26394A"/>
      <w:sz w:val="17"/>
    </w:rPr>
  </w:style>
  <w:style w:type="paragraph" w:customStyle="1" w:styleId="TableSpacer">
    <w:name w:val="TableSpacer"/>
    <w:pPr>
      <w:widowControl/>
      <w:spacing w:before="0" w:after="60" w:line="240" w:lineRule="auto"/>
    </w:pPr>
    <w:rPr>
      <w:rFonts w:ascii="Calibri" w:hAnsi="Calibri"/>
      <w:b w:val="0"/>
      <w:i w:val="0"/>
      <w:color w:val="172635"/>
      <w:sz w:val="2"/>
    </w:rPr>
  </w:style>
  <w:style w:type="paragraph" w:customStyle="1" w:styleId="Contents">
    <w:name w:val="Contents"/>
    <w:pPr>
      <w:widowControl/>
      <w:spacing w:before="0" w:after="120" w:line="276" w:lineRule="auto"/>
    </w:pPr>
    <w:rPr>
      <w:rFonts w:ascii="Calibri" w:hAnsi="Calibri"/>
      <w:b w:val="0"/>
      <w:i w:val="0"/>
      <w:color w:val="172635"/>
      <w:sz w:val="21"/>
    </w:rPr>
  </w:style>
  <w:style w:type="paragraph" w:customStyle="1" w:styleId="TableCitation">
    <w:name w:val="TableCitation"/>
    <w:pPr>
      <w:widowControl/>
      <w:spacing w:before="80" w:after="80" w:line="264" w:lineRule="auto"/>
    </w:pPr>
    <w:rPr>
      <w:rFonts w:ascii="Calibri" w:hAnsi="Calibri"/>
      <w:b w:val="0"/>
      <w:i w:val="0"/>
      <w:color w:val="5265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espressif.com/projects/esp-idf/en/stable/esp32c3/api-reference/network/esp_now.html" TargetMode="External"/><Relationship Id="rId13" Type="http://schemas.openxmlformats.org/officeDocument/2006/relationships/hyperlink" Target="https://docs.espressif.com/projects/esp-idf/en/stable/esp32/api-reference/system/ota.html" TargetMode="External"/><Relationship Id="rId14" Type="http://schemas.openxmlformats.org/officeDocument/2006/relationships/hyperlink" Target="https://docs.espressif.com/projects/esp-idf/en/stable/esp32/api-reference/storage/nvs_flash.html" TargetMode="External"/><Relationship Id="rId15" Type="http://schemas.openxmlformats.org/officeDocument/2006/relationships/hyperlink" Target="https://webkit.org/blog/13878/web-push-for-web-apps-on-ios-and-ipados/" TargetMode="External"/><Relationship Id="rId16" Type="http://schemas.openxmlformats.org/officeDocument/2006/relationships/hyperlink" Target="https://docs.oasis-open.org/mqtt/mqtt/v3.1.1/os/mqtt-v3.1.1-os.html" TargetMode="External"/><Relationship Id="rId17" Type="http://schemas.openxmlformats.org/officeDocument/2006/relationships/hyperlink" Target="https://docs.espressif.com/projects/esp-idf/en/stable/esp32/security/security.html" TargetMode="External"/><Relationship Id="rId18" Type="http://schemas.openxmlformats.org/officeDocument/2006/relationships/hyperlink" Target="https://www.postgresql.org/docs/current/ddl-rowsecurity.html" TargetMode="External"/><Relationship Id="rId19" Type="http://schemas.openxmlformats.org/officeDocument/2006/relationships/hyperlink" Target="https://www.ti.com/product/TPS63020" TargetMode="External"/><Relationship Id="rId20" Type="http://schemas.openxmlformats.org/officeDocument/2006/relationships/hyperlink" Target="https://www.ti.com/product/BQ24074" TargetMode="External"/><Relationship Id="rId21" Type="http://schemas.openxmlformats.org/officeDocument/2006/relationships/hyperlink" Target="https://www.home-assistant.io/blog/2026/09/02/release-202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Ghar Sajag P0 Requirements and Software Design v1.2</dc:title>
  <dc:subject>Requirements baseline plus hardware-independent implementation handoff</dc:subject>
  <dc:creator>Prepared for Rahul Rathor</dc:creator>
  <cp:keywords/>
  <dc:description>Version 1.1, revised 7 September 2026</dc:description>
  <cp:lastModifiedBy/>
  <cp:revision>1</cp:revision>
  <dcterms:created xsi:type="dcterms:W3CDTF">2013-12-23T23:15:00Z</dcterms:created>
  <dcterms:modified xsi:type="dcterms:W3CDTF">2013-12-23T23:15:00Z</dcterms:modified>
  <cp:category/>
  <cp:version>1.0</cp:version>
</cp:coreProperties>
</file>