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400"/>
      </w:pPr>
    </w:p>
    <w:p>
      <w:pPr>
        <w:keepLines/>
        <w:widowControl/>
        <w:jc w:val="center"/>
      </w:pPr>
      <w:r>
        <w:rPr>
          <w:rFonts w:ascii="Calibri" w:hAnsi="Calibri"/>
          <w:b/>
          <w:color w:val="2E74B5"/>
          <w:sz w:val="22"/>
        </w:rPr>
        <w:t>STARTUP BLUEPRINT</w:t>
      </w:r>
    </w:p>
    <w:p>
      <w:pPr>
        <w:pStyle w:val="Title"/>
        <w:keepLines/>
        <w:widowControl/>
        <w:jc w:val="center"/>
      </w:pPr>
      <w:r>
        <w:rPr>
          <w:color w:val="000000"/>
        </w:rPr>
        <w:t>Ghar Sajag Product and Pilot Blueprint</w:t>
      </w:r>
    </w:p>
    <w:p>
      <w:pPr>
        <w:keepLines/>
        <w:widowControl/>
        <w:spacing w:after="360"/>
        <w:jc w:val="center"/>
      </w:pPr>
      <w:r>
        <w:rPr>
          <w:rFonts w:ascii="Calibri" w:hAnsi="Calibri"/>
          <w:color w:val="666666"/>
          <w:sz w:val="28"/>
        </w:rPr>
        <w:t>Product requirements, architecture, BOM, market strategy and launch roadmap</w:t>
      </w:r>
    </w:p>
    <w:p>
      <w:pPr>
        <w:keepLines/>
        <w:widowControl/>
        <w:spacing w:before="720"/>
        <w:jc w:val="center"/>
      </w:pPr>
      <w:r>
        <w:rPr>
          <w:rFonts w:ascii="Calibri" w:hAnsi="Calibri"/>
          <w:color w:val="0B2545"/>
          <w:sz w:val="26"/>
        </w:rPr>
        <w:t>A camera-free, privacy-first home awareness platform for families supporting independently living older parents.</w:t>
      </w:r>
    </w:p>
    <w:p>
      <w:pPr>
        <w:keepLines/>
        <w:widowControl/>
        <w:spacing w:before="1400"/>
        <w:jc w:val="center"/>
      </w:pPr>
      <w:r>
        <w:rPr>
          <w:rFonts w:ascii="Calibri" w:hAnsi="Calibri"/>
          <w:color w:val="666666"/>
          <w:sz w:val="21"/>
        </w:rPr>
        <w:t>Prepared for Rahul Rathor</w:t>
        <w:br/>
        <w:t>Original: 25 August 2026 | Research update: 2 September 2026</w:t>
        <w:br/>
        <w:t>Revision 2 — validated sources, revised scope and planning assumptions</w:t>
      </w:r>
    </w:p>
    <w:p>
      <w:pPr>
        <w:widowControl/>
      </w:pPr>
      <w:r>
        <w:br w:type="page"/>
      </w:r>
    </w:p>
    <w:p>
      <w:pPr>
        <w:pStyle w:val="Heading1"/>
      </w:pPr>
      <w:r>
        <w:rPr>
          <w:color w:val="000000"/>
        </w:rPr>
        <w:t>Edition 2 reading guide</w:t>
      </w:r>
    </w:p>
    <w:p>
      <w:r>
        <w:t>This edition is written for an engineer joining the project now or returning after a year. It expands the uploaded baseline with reasons, concrete household examples, execution order, failure cases and implementation boundaries. The original detailed chapters, tables and figures are retained. Their target designs are interpreted using the current status notes in this edition.</w:t>
      </w:r>
    </w:p>
    <w:p>
      <w:r>
        <w:t>The immediate product is Ghar Sajag Parivar Saathi with Base P0. P1 is a future development stage or optional add-on decision, not a promised third product. Sarthi AI is a future interaction offering using the shared monitoring core. Base monitoring does not depend on a model, microphone or cloud inference.</w:t>
      </w:r>
    </w:p>
    <w:p>
      <w:r>
        <w:t>Documentation edition 2.0 accompanies reference source 1.4.2. Source 1.4.2 adds requirement comments and version metadata to the 1.4.1 code; it does not implement new monitoring or AI algorithms. The 1.4 AI session controller is retained and explained in the AI design volume.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E7EDF4"/>
          </w:tcPr>
          <w:p>
            <w:pPr>
              <w:spacing w:after="80" w:before="60"/>
            </w:pPr>
            <w:r>
              <w:rPr>
                <w:b/>
                <w:sz w:val="18"/>
              </w:rPr>
              <w:t>Term</w:t>
            </w:r>
          </w:p>
        </w:tc>
        <w:tc>
          <w:tcPr>
            <w:tcW w:type="dxa" w:w="7776"/>
            <w:tcMar>
              <w:top w:w="100" w:type="dxa"/>
              <w:left w:w="100" w:type="dxa"/>
              <w:bottom w:w="100" w:type="dxa"/>
              <w:right w:w="100" w:type="dxa"/>
            </w:tcMar>
            <w:shd w:fill="E7EDF4"/>
          </w:tcPr>
          <w:p>
            <w:pPr>
              <w:spacing w:after="80" w:before="60"/>
            </w:pPr>
            <w:r>
              <w:rPr>
                <w:b/>
                <w:sz w:val="18"/>
              </w:rPr>
              <w:t>How to interpret it</w:t>
            </w:r>
          </w:p>
        </w:tc>
      </w:tr>
      <w:tr>
        <w:tc>
          <w:tcPr>
            <w:tcW w:type="dxa" w:w="1584"/>
            <w:tcMar>
              <w:top w:w="100" w:type="dxa"/>
              <w:left w:w="100" w:type="dxa"/>
              <w:bottom w:w="100" w:type="dxa"/>
              <w:right w:w="100" w:type="dxa"/>
            </w:tcMar>
          </w:tcPr>
          <w:p>
            <w:pPr>
              <w:spacing w:after="80" w:before="60"/>
            </w:pPr>
            <w:r>
              <w:rPr>
                <w:b w:val="0"/>
                <w:sz w:val="18"/>
              </w:rPr>
              <w:t>Required</w:t>
            </w:r>
          </w:p>
        </w:tc>
        <w:tc>
          <w:tcPr>
            <w:tcW w:type="dxa" w:w="7776"/>
            <w:tcMar>
              <w:top w:w="100" w:type="dxa"/>
              <w:left w:w="100" w:type="dxa"/>
              <w:bottom w:w="100" w:type="dxa"/>
              <w:right w:w="100" w:type="dxa"/>
            </w:tcMar>
          </w:tcPr>
          <w:p>
            <w:pPr>
              <w:spacing w:after="80" w:before="60"/>
            </w:pPr>
            <w:r>
              <w:rPr>
                <w:b w:val="0"/>
                <w:sz w:val="18"/>
              </w:rPr>
              <w:t>An acceptance obligation from the SRD. It can remain unimplemented.</w:t>
            </w:r>
          </w:p>
        </w:tc>
      </w:tr>
      <w:tr>
        <w:tc>
          <w:tcPr>
            <w:tcW w:type="dxa" w:w="1584"/>
            <w:tcMar>
              <w:top w:w="100" w:type="dxa"/>
              <w:left w:w="100" w:type="dxa"/>
              <w:bottom w:w="100" w:type="dxa"/>
              <w:right w:w="100" w:type="dxa"/>
            </w:tcMar>
          </w:tcPr>
          <w:p>
            <w:pPr>
              <w:spacing w:after="80" w:before="60"/>
            </w:pPr>
            <w:r>
              <w:rPr>
                <w:b w:val="0"/>
                <w:sz w:val="18"/>
              </w:rPr>
              <w:t>Implemented reference</w:t>
            </w:r>
          </w:p>
        </w:tc>
        <w:tc>
          <w:tcPr>
            <w:tcW w:type="dxa" w:w="7776"/>
            <w:tcMar>
              <w:top w:w="100" w:type="dxa"/>
              <w:left w:w="100" w:type="dxa"/>
              <w:bottom w:w="100" w:type="dxa"/>
              <w:right w:w="100" w:type="dxa"/>
            </w:tcMar>
          </w:tcPr>
          <w:p>
            <w:pPr>
              <w:spacing w:after="80" w:before="60"/>
            </w:pPr>
            <w:r>
              <w:rPr>
                <w:b w:val="0"/>
                <w:sz w:val="18"/>
              </w:rPr>
              <w:t>A host-language component exists; it may use volatile stores or fake adapters.</w:t>
            </w:r>
          </w:p>
        </w:tc>
      </w:tr>
      <w:tr>
        <w:tc>
          <w:tcPr>
            <w:tcW w:type="dxa" w:w="1584"/>
            <w:tcMar>
              <w:top w:w="100" w:type="dxa"/>
              <w:left w:w="100" w:type="dxa"/>
              <w:bottom w:w="100" w:type="dxa"/>
              <w:right w:w="100" w:type="dxa"/>
            </w:tcMar>
          </w:tcPr>
          <w:p>
            <w:pPr>
              <w:spacing w:after="80" w:before="60"/>
            </w:pPr>
            <w:r>
              <w:rPr>
                <w:b w:val="0"/>
                <w:sz w:val="18"/>
              </w:rPr>
              <w:t>Verified host checkpoint</w:t>
            </w:r>
          </w:p>
        </w:tc>
        <w:tc>
          <w:tcPr>
            <w:tcW w:type="dxa" w:w="7776"/>
            <w:tcMar>
              <w:top w:w="100" w:type="dxa"/>
              <w:left w:w="100" w:type="dxa"/>
              <w:bottom w:w="100" w:type="dxa"/>
              <w:right w:w="100" w:type="dxa"/>
            </w:tcMar>
          </w:tcPr>
          <w:p>
            <w:pPr>
              <w:spacing w:after="80" w:before="60"/>
            </w:pPr>
            <w:r>
              <w:rPr>
                <w:b w:val="0"/>
                <w:sz w:val="18"/>
              </w:rPr>
              <w:t>The specific assertion ran on the development host. It is not full requirement coverage.</w:t>
            </w:r>
          </w:p>
        </w:tc>
      </w:tr>
      <w:tr>
        <w:tc>
          <w:tcPr>
            <w:tcW w:type="dxa" w:w="1584"/>
            <w:tcMar>
              <w:top w:w="100" w:type="dxa"/>
              <w:left w:w="100" w:type="dxa"/>
              <w:bottom w:w="100" w:type="dxa"/>
              <w:right w:w="100" w:type="dxa"/>
            </w:tcMar>
          </w:tcPr>
          <w:p>
            <w:pPr>
              <w:spacing w:after="80" w:before="60"/>
            </w:pPr>
            <w:r>
              <w:rPr>
                <w:b w:val="0"/>
                <w:sz w:val="18"/>
              </w:rPr>
              <w:t>Target integration pending</w:t>
            </w:r>
          </w:p>
        </w:tc>
        <w:tc>
          <w:tcPr>
            <w:tcW w:type="dxa" w:w="7776"/>
            <w:tcMar>
              <w:top w:w="100" w:type="dxa"/>
              <w:left w:w="100" w:type="dxa"/>
              <w:bottom w:w="100" w:type="dxa"/>
              <w:right w:w="100" w:type="dxa"/>
            </w:tcMar>
          </w:tcPr>
          <w:p>
            <w:pPr>
              <w:spacing w:after="80" w:before="60"/>
            </w:pPr>
            <w:r>
              <w:rPr>
                <w:b w:val="0"/>
                <w:sz w:val="18"/>
              </w:rPr>
              <w:t>GPIO, FreeRTOS, radio, flash, server/provider or full UI work still needs implementation and evidence.</w:t>
            </w:r>
          </w:p>
        </w:tc>
      </w:tr>
      <w:tr>
        <w:tc>
          <w:tcPr>
            <w:tcW w:type="dxa" w:w="1584"/>
            <w:tcMar>
              <w:top w:w="100" w:type="dxa"/>
              <w:left w:w="100" w:type="dxa"/>
              <w:bottom w:w="100" w:type="dxa"/>
              <w:right w:w="100" w:type="dxa"/>
            </w:tcMar>
          </w:tcPr>
          <w:p>
            <w:pPr>
              <w:spacing w:after="80" w:before="60"/>
            </w:pPr>
            <w:r>
              <w:rPr>
                <w:b w:val="0"/>
                <w:sz w:val="18"/>
              </w:rPr>
              <w:t>Future AI</w:t>
            </w:r>
          </w:p>
        </w:tc>
        <w:tc>
          <w:tcPr>
            <w:tcW w:type="dxa" w:w="7776"/>
            <w:tcMar>
              <w:top w:w="100" w:type="dxa"/>
              <w:left w:w="100" w:type="dxa"/>
              <w:bottom w:w="100" w:type="dxa"/>
              <w:right w:w="100" w:type="dxa"/>
            </w:tcMar>
          </w:tcPr>
          <w:p>
            <w:pPr>
              <w:spacing w:after="80" w:before="60"/>
            </w:pPr>
            <w:r>
              <w:rPr>
                <w:b w:val="0"/>
                <w:sz w:val="18"/>
              </w:rPr>
              <w:t>An extension excluded from the immediate Base P0 build scope.</w:t>
            </w:r>
          </w:p>
        </w:tc>
      </w:tr>
    </w:tbl>
    <w:p>
      <w:r>
        <w:t>Read START_HERE.md for the full document order. Use Requirement_Traceability.csv and Code_Traceability.csv to move from a requirement to module, source file and existing test. A comment such as @requirements F05, E02 is a responsibility link, not a claim that those requirements are fully complete.</w:t>
      </w:r>
    </w:p>
    <w:p>
      <w:r>
        <w:t>Source baseline: Family_CheckIn_Home_Risk_Startup_Blueprint(3).docx. The original upload is also included under reference_baselines. The preservation report records original and revised word/table/figure counts and heading retention. Market prices and supplier availability are historical inputs unless explicitly dated as rechecked; this edition does not refresh market research.</w:t>
      </w:r>
    </w:p>
    <w:p>
      <w:pPr>
        <w:pStyle w:val="Heading2"/>
      </w:pPr>
      <w:r>
        <w:rPr>
          <w:color w:val="000000"/>
        </w:rPr>
        <w:t>Current decisions that resolve earlier ambiguity</w:t>
      </w:r>
    </w:p>
    <w:p>
      <w:r>
        <w:rPr>
          <w:b/>
        </w:rPr>
        <w:t xml:space="preserve">Routine evidence. </w:t>
      </w:r>
      <w:r>
        <w:t>The current reducer accepts one qualifying activity event or OK in its window. Two-zone/session-duration examples are retained as future hypotheses. They are not implemented P0 qualification rules.</w:t>
      </w:r>
    </w:p>
    <w:p>
      <w:r>
        <w:rPr>
          <w:b/>
        </w:rPr>
        <w:t xml:space="preserve">Coverage. </w:t>
      </w:r>
      <w:r>
        <w:t>Current lease status exists. Full-window coverage history and local prompt/grace orchestration are pending. Missing activity must not be presented as a wellbeing or medical conclusion.</w:t>
      </w:r>
    </w:p>
    <w:p>
      <w:r>
        <w:rPr>
          <w:b/>
        </w:rPr>
        <w:t xml:space="preserve">Timing. </w:t>
      </w:r>
      <w:r>
        <w:t>The reference NodeConfig uses a 60-second heartbeat and HubRuntime a 190-second lease. Older 15-minute heartbeat and 35-minute timeout examples are trial alternatives and must not be mixed with these defaults.</w:t>
      </w:r>
    </w:p>
    <w:p>
      <w:r>
        <w:rPr>
          <w:b/>
        </w:rPr>
        <w:t xml:space="preserve">Persistence. </w:t>
      </w:r>
      <w:r>
        <w:t>DURABLE is the target application-ACK meaning. In-memory test stores model ordering; they do not survive power loss. Production flash/database adapters and compaction remain open.</w:t>
      </w:r>
    </w:p>
    <w:p>
      <w:r>
        <w:rPr>
          <w:b/>
        </w:rPr>
        <w:t xml:space="preserve">Modules. </w:t>
      </w:r>
      <w:r>
        <w:t>Canonical modules are N01–N05, H01–H08, B01–B08, A01–A05, S01–S03 and T01–T03, with S04 product profile, H09 interaction and S05 diagnostics. H10/H11/B09/A06 are planned. Legacy log aliases are not extra deployed modules.</w:t>
      </w:r>
    </w:p>
    <w:p>
      <w:r>
        <w:rPr>
          <w:b/>
        </w:rPr>
        <w:t xml:space="preserve">Logs. </w:t>
      </w:r>
      <w:r>
        <w:t>ERROR hooks remain available in the commercial build profile, but absent/failed sinks can lose records. Current host logging is synchronous; it does not catch arbitrary memory corruption or guarantee crash persistence.</w:t>
      </w:r>
    </w:p>
    <w:p>
      <w:pPr>
        <w:pStyle w:val="Heading1"/>
      </w:pPr>
      <w:r>
        <w:rPr>
          <w:color w:val="000000"/>
        </w:rPr>
        <w:t>Current product decision and what would justify expansion</w:t>
      </w:r>
    </w:p>
    <w:p>
      <w:r>
        <w:t>Develop Base Parivar Saathi first. The immediate value hypothesis is clearer family follow-up when calls go unanswered, with understandable observation limits and a resident-controlled check-in. Sell a dependable workflow only after evidence from the pilot; do not expand the Base promise to falls, cooking, medical monitoring or professional visits.</w:t>
      </w:r>
    </w:p>
    <w:p>
      <w:r>
        <w:t>Evaluate P1 features as optional additions after customer interviews and field evidence. Temperature context, medicine-box activity and external camera events each add installation, privacy and support work. A second paid tier needs a distinct validated customer benefit, not merely more sensors. Keep AI interaction a separately consented future offering with an explicit recurring-cost model.</w:t>
      </w:r>
    </w:p>
    <w:p>
      <w:r>
        <w:t>The pricing and market comparisons in the retained baseline are dated research assumptions. This documentation release has not verified current availability, taxes, landed hardware cost or competing product claims. Revalidate those before purchasing at scale or publishing commercial promises.</w:t>
      </w:r>
    </w:p>
    <w:p>
      <w:pPr>
        <w:pStyle w:val="Heading2"/>
        <w:pageBreakBefore w:val="0"/>
      </w:pPr>
      <w:r>
        <w:rPr>
          <w:color w:val="000000"/>
        </w:rPr>
        <w:t>Retained detailed baseline with edition 2 explanations</w:t>
      </w:r>
    </w:p>
    <w:p>
      <w:r>
        <w:t>The chapters below retain the uploaded detail. New explanatory paragraphs are placed at the relevant requirement/module headings. Historical implementation counts and future-state diagrams must be read with the current boundaries and open-work register above.</w:t>
      </w:r>
    </w:p>
    <w:p>
      <w:pPr>
        <w:pStyle w:val="Heading1"/>
        <w:keepNext/>
        <w:keepLines/>
        <w:widowControl/>
      </w:pPr>
      <w:r>
        <w:rPr>
          <w:color w:val="000000"/>
        </w:rPr>
        <w:t>Executive decision</w:t>
      </w:r>
    </w:p>
    <w:tbl>
      <w:tblPr>
        <w:tblW w:type="dxa" w:w="9360"/>
        <w:tblLayout w:type="fixed"/>
        <w:tblLook w:firstColumn="1" w:firstRow="1" w:lastColumn="0" w:lastRow="0" w:noHBand="0" w:noVBand="1" w:val="04A0"/>
        <w:jc w:val="left"/>
        <w:tblInd w:w="120" w:type="dxa"/>
      </w:tblPr>
      <w:tblGrid>
        <w:gridCol w:w="9360"/>
      </w:tblGrid>
      <w:tr>
        <w:trPr>
          <w:cantSplit/>
        </w:trPr>
        <w:tc>
          <w:tcPr>
            <w:tcW w:type="dxa" w:w="9360"/>
            <w:tcMar>
              <w:top w:w="110" w:type="dxa"/>
              <w:start w:w="120" w:type="dxa"/>
              <w:bottom w:w="110" w:type="dxa"/>
              <w:end w:w="120" w:type="dxa"/>
            </w:tcMar>
            <w:shd w:fill="F4F6F9"/>
            <w:vAlign w:val="center"/>
          </w:tcPr>
          <w:p>
            <w:pPr>
              <w:spacing w:after="40"/>
            </w:pPr>
            <w:r>
              <w:rPr>
                <w:rFonts w:ascii="Calibri" w:hAnsi="Calibri"/>
                <w:b/>
                <w:color w:val="0B2545"/>
                <w:sz w:val="22"/>
              </w:rPr>
              <w:t>Recommendation  Prioritize a camera-free Family Check-in pilot for independently living parents in India. It remains the preferred first-business hypothesis over a kids’ AI camera: a clearer adult payer, recurring reassurance need and less content production. This is a reasoned ranking, not a proven success probability.</w:t>
            </w:r>
          </w:p>
        </w:tc>
      </w:tr>
    </w:tbl>
    <w:p>
      <w:pPr>
        <w:widowControl/>
        <w:spacing w:after="20"/>
      </w:pPr>
    </w:p>
    <w:p>
      <w:pPr>
        <w:keepLines/>
        <w:widowControl/>
      </w:pPr>
      <w:commentRangeStart w:id="0"/>
      <w:r>
        <w:rPr>
          <w:rFonts w:ascii="Calibri" w:hAnsi="Calibri"/>
          <w:sz w:val="22"/>
        </w:rPr>
        <w:t>The product reports observed household activity and prompts a family check-in when expected activity is absent. It must not imply that a person is medically well. V1 is not intended to diagnose, guarantee fall detection or dispatch emergency services; its claims and intended use require professional review before sale.</w:t>
      </w:r>
      <w:commentRangeEnd w:id="0"/>
      <w:r>
        <w:rPr>
          <w:rStyle w:val="CommentReference"/>
        </w:rPr>
        <w:commentReference w:id="0"/>
      </w:r>
    </w:p>
    <w:p>
      <w:pPr>
        <w:keepLines/>
        <w:widowControl/>
      </w:pPr>
      <w:r>
        <w:rPr>
          <w:i/>
          <w:color w:val="356779"/>
          <w:sz w:val="18"/>
        </w:rPr>
        <w:t>Revision summary: narrower P0; refreshed competitors; tax-aware margins; part-time roadmap; evidence-based gates replace unsupported probability percentages.</w:t>
      </w:r>
    </w:p>
    <w:p>
      <w:pPr>
        <w:pStyle w:val="Heading2"/>
        <w:keepNext/>
        <w:keepLines/>
        <w:widowControl/>
      </w:pPr>
      <w:r>
        <w:rPr>
          <w:color w:val="000000"/>
        </w:rPr>
        <w:t>What version 1 includes</w:t>
      </w:r>
    </w:p>
    <w:p>
      <w:pPr>
        <w:pStyle w:val="ListBullet"/>
        <w:keepLines/>
        <w:widowControl/>
        <w:spacing w:after="100" w:line="280" w:lineRule="auto"/>
        <w:ind w:left="720" w:hanging="360"/>
      </w:pPr>
      <w:r>
        <w:rPr>
          <w:rFonts w:ascii="Calibri" w:hAnsi="Calibri"/>
          <w:sz w:val="22"/>
        </w:rPr>
        <w:t>Morning activity evidence and unusual inactivity prompts within agreed routine windows.</w:t>
      </w:r>
    </w:p>
    <w:p>
      <w:pPr>
        <w:pStyle w:val="ListBullet"/>
        <w:keepLines/>
        <w:widowControl/>
        <w:spacing w:after="100" w:line="280" w:lineRule="auto"/>
        <w:ind w:left="720" w:hanging="360"/>
      </w:pPr>
      <w:r>
        <w:rPr>
          <w:rFonts w:ascii="Calibri" w:hAnsi="Calibri"/>
          <w:sz w:val="22"/>
        </w:rPr>
        <w:t>Main-door events; two motion locations. Fridge, leak and humidity modules become later add-ons.</w:t>
      </w:r>
    </w:p>
    <w:p>
      <w:pPr>
        <w:pStyle w:val="ListBullet"/>
        <w:keepLines/>
        <w:widowControl/>
        <w:spacing w:after="100" w:line="280" w:lineRule="auto"/>
        <w:ind w:left="720" w:hanging="360"/>
      </w:pPr>
      <w:r>
        <w:rPr>
          <w:rFonts w:ascii="Calibri" w:hAnsi="Calibri"/>
          <w:sz w:val="22"/>
        </w:rPr>
        <w:t>A large hub-mounted “I’m OK / call family” button with distinct local acknowledgement.</w:t>
      </w:r>
    </w:p>
    <w:p>
      <w:pPr>
        <w:pStyle w:val="ListBullet"/>
        <w:keepLines/>
        <w:widowControl/>
        <w:spacing w:after="100" w:line="280" w:lineRule="auto"/>
        <w:ind w:left="720" w:hanging="360"/>
      </w:pPr>
      <w:r>
        <w:rPr>
          <w:rFonts w:ascii="Calibri" w:hAnsi="Calibri"/>
          <w:sz w:val="22"/>
        </w:rPr>
        <w:t>Hub/node health, low-battery warnings, power/internet status, local rules and queued sync.</w:t>
      </w:r>
    </w:p>
    <w:p>
      <w:pPr>
        <w:pStyle w:val="ListBullet"/>
        <w:keepLines/>
        <w:widowControl/>
        <w:spacing w:after="100" w:line="280" w:lineRule="auto"/>
        <w:ind w:left="720" w:hanging="360"/>
      </w:pPr>
      <w:r>
        <w:rPr>
          <w:rFonts w:ascii="Calibri" w:hAnsi="Calibri"/>
          <w:sz w:val="22"/>
        </w:rPr>
        <w:t>Caregiver evidence timeline, push alerts and acknowledgement; named family/local responder.</w:t>
      </w:r>
    </w:p>
    <w:p>
      <w:pPr>
        <w:pStyle w:val="Heading2"/>
        <w:keepNext/>
        <w:keepLines/>
        <w:widowControl/>
      </w:pPr>
      <w:r>
        <w:rPr>
          <w:color w:val="000000"/>
        </w:rPr>
        <w:t>What version 1 deliberately excludes</w:t>
      </w:r>
    </w:p>
    <w:p>
      <w:pPr>
        <w:pStyle w:val="ListBullet"/>
        <w:keepLines/>
        <w:widowControl/>
        <w:spacing w:after="100" w:line="280" w:lineRule="auto"/>
        <w:ind w:left="720" w:hanging="360"/>
      </w:pPr>
      <w:r>
        <w:rPr>
          <w:rFonts w:ascii="Calibri" w:hAnsi="Calibri"/>
          <w:sz w:val="22"/>
        </w:rPr>
        <w:t>Indoor cameras, continuous audio storage or upload, health diagnosis and medical risk scoring.</w:t>
      </w:r>
    </w:p>
    <w:p>
      <w:pPr>
        <w:pStyle w:val="ListBullet"/>
        <w:keepLines/>
        <w:widowControl/>
        <w:spacing w:after="100" w:line="280" w:lineRule="auto"/>
        <w:ind w:left="720" w:hanging="360"/>
      </w:pPr>
      <w:r>
        <w:rPr>
          <w:rFonts w:ascii="Calibri" w:hAnsi="Calibri"/>
          <w:sz w:val="22"/>
        </w:rPr>
        <w:t>Guaranteed fall detection, automatic ambulance dispatch, remote door unlock, or gas/water/stove shutoff.</w:t>
      </w:r>
    </w:p>
    <w:p>
      <w:pPr>
        <w:pStyle w:val="ListBullet"/>
        <w:keepLines/>
        <w:widowControl/>
        <w:spacing w:after="100" w:line="280" w:lineRule="auto"/>
        <w:ind w:left="720" w:hanging="360"/>
      </w:pPr>
      <w:r>
        <w:rPr>
          <w:rFonts w:ascii="Calibri" w:hAnsi="Calibri"/>
          <w:sz w:val="22"/>
        </w:rPr>
        <w:t>Medication dispensing and any claim that a resident ate, took medicine or is medically safe.</w:t>
      </w:r>
    </w:p>
    <w:p>
      <w:pPr>
        <w:pStyle w:val="Heading1"/>
        <w:keepNext/>
        <w:keepLines/>
        <w:widowControl/>
      </w:pPr>
      <w:r>
        <w:rPr>
          <w:color w:val="000000"/>
        </w:rPr>
        <w:t>Market thesis</w:t>
      </w:r>
    </w:p>
    <w:p>
      <w:pPr>
        <w:keepLines/>
        <w:widowControl/>
      </w:pPr>
      <w:r>
        <w:rPr>
          <w:rFonts w:ascii="Calibri" w:hAnsi="Calibri"/>
          <w:sz w:val="22"/>
        </w:rPr>
        <w:t>The buyer is an adult child living away from an independently living parent. The resident is a separate user whose consent and comfort are essential. Start with a single-resident household in one serviceable Indian city; visitors, couples, pets and domestic workers can make person-specific activity inference unreliable. This is household awareness, not identity tracking.</w:t>
      </w:r>
    </w:p>
    <w:p>
      <w:pPr>
        <w:keepLines/>
        <w:widowControl/>
      </w:pPr>
      <w:r>
        <w:rPr>
          <w:rFonts w:ascii="Calibri" w:hAnsi="Calibri"/>
          <w:sz w:val="22"/>
        </w:rPr>
        <w:t>AARP’s 2024 survey found that 75% of US adults aged 50+ wanted to remain in their current homes as long as possible [S8]. India’s ageing-care needs are documented by UNFPA [S9]. These support the problem context, not willingness to buy this kit. No verified Indian sales, retention or price-acceptance data for this proposed product has yet been collected.</w:t>
      </w:r>
    </w:p>
    <w:tbl>
      <w:tblPr>
        <w:tblStyle w:val="TableGrid"/>
        <w:tblW w:type="dxa" w:w="9360"/>
        <w:tblLayout w:type="fixed"/>
        <w:tblLook w:firstColumn="1" w:firstRow="1" w:lastColumn="0" w:lastRow="0" w:noHBand="0" w:noVBand="1" w:val="04A0"/>
        <w:jc w:val="left"/>
        <w:tblInd w:w="120" w:type="dxa"/>
      </w:tblPr>
      <w:tblGrid>
        <w:gridCol w:w="2300"/>
        <w:gridCol w:w="2450"/>
        <w:gridCol w:w="4610"/>
      </w:tblGrid>
      <w:tr>
        <w:trPr>
          <w:tblHeader/>
          <w:cantSplit/>
        </w:trPr>
        <w:tc>
          <w:tcPr>
            <w:tcW w:type="dxa" w:w="23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Existing offer / region</w:t>
            </w:r>
          </w:p>
        </w:tc>
        <w:tc>
          <w:tcPr>
            <w:tcW w:type="dxa" w:w="245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Published price / status</w:t>
            </w:r>
          </w:p>
        </w:tc>
        <w:tc>
          <w:tcPr>
            <w:tcW w:type="dxa" w:w="461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What the evidence does and does not show</w:t>
            </w:r>
          </w:p>
        </w:tc>
      </w:tr>
      <w:tr>
        <w:trPr>
          <w:cantSplit/>
        </w:trPr>
        <w:tc>
          <w:tcPr>
            <w:tcW w:type="dxa" w:w="2300"/>
            <w:vAlign w:val="center"/>
            <w:tcMar>
              <w:top w:w="70" w:type="dxa"/>
              <w:bottom w:w="70" w:type="dxa"/>
              <w:start w:w="120" w:type="dxa"/>
              <w:end w:w="120" w:type="dxa"/>
            </w:tcMar>
          </w:tcPr>
          <w:p>
            <w:pPr>
              <w:keepNext w:val="0"/>
              <w:spacing w:after="40" w:line="252" w:lineRule="auto"/>
            </w:pPr>
            <w:commentRangeStart w:id="1"/>
            <w:r>
              <w:rPr>
                <w:rFonts w:ascii="Calibri" w:hAnsi="Calibri"/>
                <w:b w:val="0"/>
                <w:sz w:val="19"/>
              </w:rPr>
              <w:t>Nomo Essential Care Kit / US [S1]</w:t>
            </w:r>
            <w:commentRangeEnd w:id="1"/>
            <w:r>
              <w:rPr>
                <w:rStyle w:val="CommentReference"/>
              </w:rPr>
              <w:commentReference w:id="1"/>
            </w:r>
          </w:p>
        </w:tc>
        <w:tc>
          <w:tcPr>
            <w:tcW w:type="dxa" w:w="2450"/>
            <w:vAlign w:val="center"/>
            <w:tcMar>
              <w:top w:w="70" w:type="dxa"/>
              <w:bottom w:w="70" w:type="dxa"/>
              <w:start w:w="120" w:type="dxa"/>
              <w:end w:w="120" w:type="dxa"/>
            </w:tcMar>
          </w:tcPr>
          <w:p>
            <w:pPr>
              <w:keepNext w:val="0"/>
              <w:spacing w:after="40" w:line="252" w:lineRule="auto"/>
            </w:pPr>
            <w:r>
              <w:rPr>
                <w:rFonts w:ascii="Calibri" w:hAnsi="Calibri"/>
                <w:b w:val="0"/>
                <w:sz w:val="19"/>
              </w:rPr>
              <w:t>$199.99; $19.99/month or $199.99/year after 60-day trial</w:t>
            </w:r>
          </w:p>
        </w:tc>
        <w:tc>
          <w:tcPr>
            <w:tcW w:type="dxa" w:w="4610"/>
            <w:vAlign w:val="center"/>
            <w:tcMar>
              <w:top w:w="70" w:type="dxa"/>
              <w:bottom w:w="70" w:type="dxa"/>
              <w:start w:w="120" w:type="dxa"/>
              <w:end w:w="120" w:type="dxa"/>
            </w:tcMar>
          </w:tcPr>
          <w:p>
            <w:pPr>
              <w:keepNext w:val="0"/>
              <w:spacing w:after="40" w:line="252" w:lineRule="auto"/>
            </w:pPr>
            <w:r>
              <w:rPr>
                <w:rFonts w:ascii="Calibri" w:hAnsi="Calibri"/>
                <w:b w:val="0"/>
                <w:sz w:val="19"/>
              </w:rPr>
              <w:t>Direct overlap: camera-free routines and caregiver alerts. US-only use stated. Price is an offer, not evidence of our demand.</w:t>
            </w:r>
          </w:p>
        </w:tc>
      </w:tr>
      <w:tr>
        <w:trPr>
          <w:cantSplit/>
        </w:trPr>
        <w:tc>
          <w:tcPr>
            <w:tcW w:type="dxa" w:w="2300"/>
            <w:vAlign w:val="center"/>
            <w:tcMar>
              <w:top w:w="70" w:type="dxa"/>
              <w:bottom w:w="70" w:type="dxa"/>
              <w:start w:w="120" w:type="dxa"/>
              <w:end w:w="120" w:type="dxa"/>
            </w:tcMar>
          </w:tcPr>
          <w:p>
            <w:pPr>
              <w:keepNext w:val="0"/>
              <w:spacing w:after="40" w:line="252" w:lineRule="auto"/>
            </w:pPr>
            <w:r>
              <w:rPr>
                <w:rFonts w:ascii="Calibri" w:hAnsi="Calibri"/>
                <w:b w:val="0"/>
                <w:sz w:val="19"/>
              </w:rPr>
              <w:t>OdeCare / US-priced offer [S2]</w:t>
            </w:r>
          </w:p>
        </w:tc>
        <w:tc>
          <w:tcPr>
            <w:tcW w:type="dxa" w:w="2450"/>
            <w:vAlign w:val="center"/>
            <w:tcMar>
              <w:top w:w="70" w:type="dxa"/>
              <w:bottom w:w="70" w:type="dxa"/>
              <w:start w:w="120" w:type="dxa"/>
              <w:end w:w="120" w:type="dxa"/>
            </w:tcMar>
          </w:tcPr>
          <w:p>
            <w:pPr>
              <w:keepNext w:val="0"/>
              <w:spacing w:after="40" w:line="252" w:lineRule="auto"/>
            </w:pPr>
            <w:r>
              <w:rPr>
                <w:rFonts w:ascii="Calibri" w:hAnsi="Calibri"/>
                <w:b w:val="0"/>
                <w:sz w:val="19"/>
              </w:rPr>
              <w:t>$590–790 installed, first 3 months included; then $29/month</w:t>
            </w:r>
          </w:p>
        </w:tc>
        <w:tc>
          <w:tcPr>
            <w:tcW w:type="dxa" w:w="4610"/>
            <w:vAlign w:val="center"/>
            <w:tcMar>
              <w:top w:w="70" w:type="dxa"/>
              <w:bottom w:w="70" w:type="dxa"/>
              <w:start w:w="120" w:type="dxa"/>
              <w:end w:w="120" w:type="dxa"/>
            </w:tcMar>
          </w:tcPr>
          <w:p>
            <w:pPr>
              <w:keepNext w:val="0"/>
              <w:spacing w:after="40" w:line="252" w:lineRule="auto"/>
            </w:pPr>
            <w:r>
              <w:rPr>
                <w:rFonts w:ascii="Calibri" w:hAnsi="Calibri"/>
                <w:b w:val="0"/>
                <w:sz w:val="19"/>
              </w:rPr>
              <w:t>Vendor’s 24 Aug 2026 guide describes passive sensors and family notification, not dispatch. Strong overlap; verify service geography.</w:t>
            </w:r>
          </w:p>
        </w:tc>
      </w:tr>
      <w:tr>
        <w:trPr>
          <w:cantSplit/>
        </w:trPr>
        <w:tc>
          <w:tcPr>
            <w:tcW w:type="dxa" w:w="2300"/>
            <w:vAlign w:val="center"/>
            <w:tcMar>
              <w:top w:w="70" w:type="dxa"/>
              <w:bottom w:w="70" w:type="dxa"/>
              <w:start w:w="120" w:type="dxa"/>
              <w:end w:w="120" w:type="dxa"/>
            </w:tcMar>
          </w:tcPr>
          <w:p>
            <w:pPr>
              <w:keepNext w:val="0"/>
              <w:spacing w:after="40" w:line="252" w:lineRule="auto"/>
            </w:pPr>
            <w:r>
              <w:rPr>
                <w:rFonts w:ascii="Calibri" w:hAnsi="Calibri"/>
                <w:b w:val="0"/>
                <w:sz w:val="19"/>
              </w:rPr>
              <w:t>CarePredict @Home / US [S3]</w:t>
            </w:r>
          </w:p>
        </w:tc>
        <w:tc>
          <w:tcPr>
            <w:tcW w:type="dxa" w:w="2450"/>
            <w:vAlign w:val="center"/>
            <w:tcMar>
              <w:top w:w="70" w:type="dxa"/>
              <w:bottom w:w="70" w:type="dxa"/>
              <w:start w:w="120" w:type="dxa"/>
              <w:end w:w="120" w:type="dxa"/>
            </w:tcMar>
          </w:tcPr>
          <w:p>
            <w:pPr>
              <w:keepNext w:val="0"/>
              <w:spacing w:after="40" w:line="252" w:lineRule="auto"/>
            </w:pPr>
            <w:r>
              <w:rPr>
                <w:rFonts w:ascii="Calibri" w:hAnsi="Calibri"/>
                <w:b w:val="0"/>
                <w:sz w:val="19"/>
              </w:rPr>
              <w:t>$499 kit + $69.99/month</w:t>
            </w:r>
          </w:p>
        </w:tc>
        <w:tc>
          <w:tcPr>
            <w:tcW w:type="dxa" w:w="4610"/>
            <w:vAlign w:val="center"/>
            <w:tcMar>
              <w:top w:w="70" w:type="dxa"/>
              <w:bottom w:w="70" w:type="dxa"/>
              <w:start w:w="120" w:type="dxa"/>
              <w:end w:w="120" w:type="dxa"/>
            </w:tcMar>
          </w:tcPr>
          <w:p>
            <w:pPr>
              <w:keepNext w:val="0"/>
              <w:spacing w:after="40" w:line="252" w:lineRule="auto"/>
            </w:pPr>
            <w:r>
              <w:rPr>
                <w:rFonts w:ascii="Calibri" w:hAnsi="Calibri"/>
                <w:b w:val="0"/>
                <w:sz w:val="19"/>
              </w:rPr>
              <w:t>Wearable-based monitoring. Different feature/service bundle; not a like-for-like hardware price comparison.</w:t>
            </w:r>
          </w:p>
        </w:tc>
      </w:tr>
      <w:tr>
        <w:trPr>
          <w:cantSplit/>
        </w:trPr>
        <w:tc>
          <w:tcPr>
            <w:tcW w:type="dxa" w:w="2300"/>
            <w:vAlign w:val="center"/>
            <w:tcMar>
              <w:top w:w="70" w:type="dxa"/>
              <w:bottom w:w="70" w:type="dxa"/>
              <w:start w:w="120" w:type="dxa"/>
              <w:end w:w="120" w:type="dxa"/>
            </w:tcMar>
          </w:tcPr>
          <w:p>
            <w:pPr>
              <w:keepNext w:val="0"/>
              <w:spacing w:after="40" w:line="252" w:lineRule="auto"/>
            </w:pPr>
            <w:r>
              <w:rPr>
                <w:rFonts w:ascii="Calibri" w:hAnsi="Calibri"/>
                <w:b w:val="0"/>
                <w:sz w:val="19"/>
              </w:rPr>
              <w:t>Careium Doris / UK [S4]</w:t>
            </w:r>
          </w:p>
        </w:tc>
        <w:tc>
          <w:tcPr>
            <w:tcW w:type="dxa" w:w="2450"/>
            <w:vAlign w:val="center"/>
            <w:tcMar>
              <w:top w:w="70" w:type="dxa"/>
              <w:bottom w:w="70" w:type="dxa"/>
              <w:start w:w="120" w:type="dxa"/>
              <w:end w:w="120" w:type="dxa"/>
            </w:tcMar>
          </w:tcPr>
          <w:p>
            <w:pPr>
              <w:keepNext w:val="0"/>
              <w:spacing w:after="40" w:line="252" w:lineRule="auto"/>
            </w:pPr>
            <w:r>
              <w:rPr>
                <w:rFonts w:ascii="Calibri" w:hAnsi="Calibri"/>
                <w:b w:val="0"/>
                <w:sz w:val="19"/>
              </w:rPr>
              <w:t>From £16/month advertised; currently out of stock</w:t>
            </w:r>
          </w:p>
        </w:tc>
        <w:tc>
          <w:tcPr>
            <w:tcW w:type="dxa" w:w="4610"/>
            <w:vAlign w:val="center"/>
            <w:tcMar>
              <w:top w:w="70" w:type="dxa"/>
              <w:bottom w:w="70" w:type="dxa"/>
              <w:start w:w="120" w:type="dxa"/>
              <w:end w:w="120" w:type="dxa"/>
            </w:tcMar>
          </w:tcPr>
          <w:p>
            <w:pPr>
              <w:keepNext w:val="0"/>
              <w:spacing w:after="40" w:line="252" w:lineRule="auto"/>
            </w:pPr>
            <w:r>
              <w:rPr>
                <w:rFonts w:ascii="Calibri" w:hAnsi="Calibri"/>
                <w:b w:val="0"/>
                <w:sz w:val="19"/>
              </w:rPr>
              <w:t>Camera-free, no home Wi-Fi required, monitoring-centre response. Contract/tax pages differ: obtain a current quote.</w:t>
            </w:r>
          </w:p>
        </w:tc>
      </w:tr>
      <w:tr>
        <w:trPr>
          <w:cantSplit/>
        </w:trPr>
        <w:tc>
          <w:tcPr>
            <w:tcW w:type="dxa" w:w="2300"/>
            <w:vAlign w:val="center"/>
            <w:tcMar>
              <w:top w:w="70" w:type="dxa"/>
              <w:bottom w:w="70" w:type="dxa"/>
              <w:start w:w="120" w:type="dxa"/>
              <w:end w:w="120" w:type="dxa"/>
            </w:tcMar>
          </w:tcPr>
          <w:p>
            <w:pPr>
              <w:keepNext w:val="0"/>
              <w:spacing w:after="40" w:line="252" w:lineRule="auto"/>
            </w:pPr>
            <w:r>
              <w:rPr>
                <w:rFonts w:ascii="Calibri" w:hAnsi="Calibri"/>
                <w:b w:val="0"/>
                <w:sz w:val="19"/>
              </w:rPr>
              <w:t>Emoha / India [S5]</w:t>
            </w:r>
          </w:p>
        </w:tc>
        <w:tc>
          <w:tcPr>
            <w:tcW w:type="dxa" w:w="2450"/>
            <w:vAlign w:val="center"/>
            <w:tcMar>
              <w:top w:w="70" w:type="dxa"/>
              <w:bottom w:w="70" w:type="dxa"/>
              <w:start w:w="120" w:type="dxa"/>
              <w:end w:w="120" w:type="dxa"/>
            </w:tcMar>
          </w:tcPr>
          <w:p>
            <w:pPr>
              <w:keepNext w:val="0"/>
              <w:spacing w:after="40" w:line="252" w:lineRule="auto"/>
            </w:pPr>
            <w:r>
              <w:rPr>
                <w:rFonts w:ascii="Calibri" w:hAnsi="Calibri"/>
                <w:b w:val="0"/>
                <w:sz w:val="19"/>
              </w:rPr>
              <w:t>Essentials from ₹1,999/month</w:t>
            </w:r>
          </w:p>
        </w:tc>
        <w:tc>
          <w:tcPr>
            <w:tcW w:type="dxa" w:w="4610"/>
            <w:vAlign w:val="center"/>
            <w:tcMar>
              <w:top w:w="70" w:type="dxa"/>
              <w:bottom w:w="70" w:type="dxa"/>
              <w:start w:w="120" w:type="dxa"/>
              <w:end w:w="120" w:type="dxa"/>
            </w:tcMar>
          </w:tcPr>
          <w:p>
            <w:pPr>
              <w:keepNext w:val="0"/>
              <w:spacing w:after="40" w:line="252" w:lineRule="auto"/>
            </w:pPr>
            <w:r>
              <w:rPr>
                <w:rFonts w:ascii="Calibri" w:hAnsi="Calibri"/>
                <w:b w:val="0"/>
                <w:sz w:val="19"/>
              </w:rPr>
              <w:t>Human-supported care, check-in calls and emergency coordination. Adjacent service competitor or possible channel, not a simple sensor kit.</w:t>
            </w:r>
          </w:p>
        </w:tc>
      </w:tr>
      <w:tr>
        <w:trPr>
          <w:cantSplit/>
        </w:trPr>
        <w:tc>
          <w:tcPr>
            <w:tcW w:type="dxa" w:w="2300"/>
            <w:vAlign w:val="center"/>
            <w:tcMar>
              <w:top w:w="70" w:type="dxa"/>
              <w:bottom w:w="70" w:type="dxa"/>
              <w:start w:w="120" w:type="dxa"/>
              <w:end w:w="120" w:type="dxa"/>
            </w:tcMar>
          </w:tcPr>
          <w:p>
            <w:pPr>
              <w:keepNext w:val="0"/>
              <w:spacing w:after="40" w:line="252" w:lineRule="auto"/>
            </w:pPr>
            <w:r>
              <w:rPr>
                <w:rFonts w:ascii="Calibri" w:hAnsi="Calibri"/>
                <w:b w:val="0"/>
                <w:sz w:val="19"/>
              </w:rPr>
              <w:t>Anvayaa / India, NRI payer [S6]</w:t>
            </w:r>
          </w:p>
        </w:tc>
        <w:tc>
          <w:tcPr>
            <w:tcW w:type="dxa" w:w="2450"/>
            <w:vAlign w:val="center"/>
            <w:tcMar>
              <w:top w:w="70" w:type="dxa"/>
              <w:bottom w:w="70" w:type="dxa"/>
              <w:start w:w="120" w:type="dxa"/>
              <w:end w:w="120" w:type="dxa"/>
            </w:tcMar>
          </w:tcPr>
          <w:p>
            <w:pPr>
              <w:keepNext w:val="0"/>
              <w:spacing w:after="40" w:line="252" w:lineRule="auto"/>
            </w:pPr>
            <w:r>
              <w:rPr>
                <w:rFonts w:ascii="Calibri" w:hAnsi="Calibri"/>
                <w:b w:val="0"/>
                <w:sz w:val="19"/>
              </w:rPr>
              <w:t>Basic annual plan displayed at $999/year; taxes extra, city-dependent</w:t>
            </w:r>
          </w:p>
        </w:tc>
        <w:tc>
          <w:tcPr>
            <w:tcW w:type="dxa" w:w="4610"/>
            <w:vAlign w:val="center"/>
            <w:tcMar>
              <w:top w:w="70" w:type="dxa"/>
              <w:bottom w:w="70" w:type="dxa"/>
              <w:start w:w="120" w:type="dxa"/>
              <w:end w:w="120" w:type="dxa"/>
            </w:tcMar>
          </w:tcPr>
          <w:p>
            <w:pPr>
              <w:keepNext w:val="0"/>
              <w:spacing w:after="40" w:line="252" w:lineRule="auto"/>
            </w:pPr>
            <w:r>
              <w:rPr>
                <w:rFonts w:ascii="Calibri" w:hAnsi="Calibri"/>
                <w:b w:val="0"/>
                <w:sz w:val="19"/>
              </w:rPr>
              <w:t>Care-manager and emergency support. Illustrates a service category, not proven willingness to pay for a notification-only product.</w:t>
            </w:r>
          </w:p>
        </w:tc>
      </w:tr>
    </w:tbl>
    <w:p>
      <w:pPr>
        <w:widowControl/>
        <w:spacing w:after="20"/>
      </w:pPr>
    </w:p>
    <w:p>
      <w:pPr>
        <w:keepLines/>
        <w:widowControl/>
      </w:pPr>
      <w:r>
        <w:rPr>
          <w:rFonts w:ascii="Calibri" w:hAnsi="Calibri"/>
          <w:sz w:val="22"/>
        </w:rPr>
        <w:t>Camera-free sensing, routine learning and a family app are already competitive features. The testable wedge is Indian-home installation, explainable low-noise alerts, resident control, reliable failure reporting and an affordable service boundary. Nomo’s US-only availability may leave a geographic opening, but it is not evidence that India is uncontested. Samarth already describes passive sensor use in India [S7].</w:t>
      </w:r>
    </w:p>
    <w:p>
      <w:pPr>
        <w:pStyle w:val="Heading2"/>
        <w:keepNext/>
        <w:keepLines/>
        <w:widowControl/>
      </w:pPr>
      <w:r>
        <w:rPr>
          <w:color w:val="000000"/>
        </w:rPr>
        <w:t>Research implications for what to build</w:t>
      </w:r>
    </w:p>
    <w:p>
      <w:pPr>
        <w:keepLines/>
        <w:widowControl/>
      </w:pPr>
      <w:r>
        <w:t>Launch India first with one repeatable workflow, not India, Europe and the US simultaneously. Careium’s European motion-sensor portfolio [S18] further confirms established competition. Human-response providers can complement the kit; the founder should not attempt a 24/7 dispatch operation.</w:t>
      </w:r>
    </w:p>
    <w:p>
      <w:pPr>
        <w:keepLines/>
        <w:widowControl/>
      </w:pPr>
      <w:r>
        <w:t>Recent enabling changes: the ESPHome Starter Kit launched on 12 August 2026 at recommended $40/€41 pricing, raising expectations for easy setup [S10]. RainMaker Neo, announced 5 August, offers an open device/cloud/app stack on the developer’s AWS account [S11]. Evaluate reuse; neither removes customer-support or recurring infrastructure costs.</w:t>
      </w:r>
    </w:p>
    <w:p>
      <w:pPr>
        <w:keepLines/>
        <w:widowControl/>
      </w:pPr>
      <w:r>
        <w:rPr>
          <w:i/>
          <w:color w:val="356779"/>
          <w:sz w:val="18"/>
        </w:rPr>
        <w:t>Evidence distinction: competitor pages establish available offers and vendor positioning. They do not prove sales volume, clinical effectiveness, a price gap customers will pay for, or our product-market fit.</w:t>
      </w:r>
    </w:p>
    <w:p>
      <w:pPr>
        <w:pStyle w:val="Heading1"/>
        <w:keepNext/>
        <w:keepLines/>
        <w:widowControl/>
      </w:pPr>
      <w:r>
        <w:rPr>
          <w:color w:val="000000"/>
        </w:rPr>
        <w:t>Priority use cases</w:t>
      </w:r>
    </w:p>
    <w:tbl>
      <w:tblPr>
        <w:tblStyle w:val="TableGrid"/>
        <w:tblW w:type="dxa" w:w="9360"/>
        <w:tblLayout w:type="fixed"/>
        <w:tblLook w:firstColumn="1" w:firstRow="1" w:lastColumn="0" w:lastRow="0" w:noHBand="0" w:noVBand="1" w:val="04A0"/>
        <w:jc w:val="left"/>
        <w:tblInd w:w="120" w:type="dxa"/>
      </w:tblPr>
      <w:tblGrid>
        <w:gridCol w:w="840"/>
        <w:gridCol w:w="1700"/>
        <w:gridCol w:w="3160"/>
        <w:gridCol w:w="3660"/>
      </w:tblGrid>
      <w:tr>
        <w:trPr>
          <w:tblHeader/>
          <w:cantSplit/>
        </w:trPr>
        <w:tc>
          <w:tcPr>
            <w:tcW w:type="dxa" w:w="84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Phase</w:t>
            </w:r>
          </w:p>
        </w:tc>
        <w:tc>
          <w:tcPr>
            <w:tcW w:type="dxa" w:w="17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Use case</w:t>
            </w:r>
          </w:p>
        </w:tc>
        <w:tc>
          <w:tcPr>
            <w:tcW w:type="dxa" w:w="316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Safe product statement</w:t>
            </w:r>
          </w:p>
        </w:tc>
        <w:tc>
          <w:tcPr>
            <w:tcW w:type="dxa" w:w="366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Boundary / guardrail</w:t>
            </w:r>
          </w:p>
        </w:tc>
      </w:tr>
      <w:tr>
        <w:trPr>
          <w:cantSplit/>
        </w:trPr>
        <w:tc>
          <w:tcPr>
            <w:tcW w:type="dxa" w:w="840"/>
            <w:vAlign w:val="center"/>
            <w:tcMar>
              <w:top w:w="70" w:type="dxa"/>
              <w:bottom w:w="70" w:type="dxa"/>
              <w:start w:w="120" w:type="dxa"/>
              <w:end w:w="120" w:type="dxa"/>
            </w:tcMar>
          </w:tcPr>
          <w:p>
            <w:pPr>
              <w:keepNext w:val="0"/>
              <w:spacing w:after="40" w:line="252" w:lineRule="auto"/>
            </w:pPr>
            <w:r>
              <w:rPr>
                <w:rFonts w:ascii="Calibri" w:hAnsi="Calibri"/>
                <w:b w:val="0"/>
                <w:sz w:val="19"/>
              </w:rPr>
              <w:t>P0</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Morning activity</w:t>
            </w:r>
          </w:p>
        </w:tc>
        <w:tc>
          <w:tcPr>
            <w:tcW w:type="dxa" w:w="3160"/>
            <w:vAlign w:val="center"/>
            <w:tcMar>
              <w:top w:w="70" w:type="dxa"/>
              <w:bottom w:w="70" w:type="dxa"/>
              <w:start w:w="120" w:type="dxa"/>
              <w:end w:w="120" w:type="dxa"/>
            </w:tcMar>
          </w:tcPr>
          <w:p>
            <w:pPr>
              <w:keepNext w:val="0"/>
              <w:spacing w:after="40" w:line="252" w:lineRule="auto"/>
            </w:pPr>
            <w:r>
              <w:rPr>
                <w:rFonts w:ascii="Calibri" w:hAnsi="Calibri"/>
                <w:b w:val="0"/>
                <w:sz w:val="19"/>
              </w:rPr>
              <w:t>“Hallway activity observed at 8:14.”</w:t>
            </w:r>
          </w:p>
        </w:tc>
        <w:tc>
          <w:tcPr>
            <w:tcW w:type="dxa" w:w="3660"/>
            <w:vAlign w:val="center"/>
            <w:tcMar>
              <w:top w:w="70" w:type="dxa"/>
              <w:bottom w:w="70" w:type="dxa"/>
              <w:start w:w="120" w:type="dxa"/>
              <w:end w:w="120" w:type="dxa"/>
            </w:tcMar>
          </w:tcPr>
          <w:p>
            <w:pPr>
              <w:keepNext w:val="0"/>
              <w:spacing w:after="40" w:line="252" w:lineRule="auto"/>
            </w:pPr>
            <w:r>
              <w:rPr>
                <w:rFonts w:ascii="Calibri" w:hAnsi="Calibri"/>
                <w:b w:val="0"/>
                <w:sz w:val="19"/>
              </w:rPr>
              <w:t>Not proof that a particular person is medically well.</w:t>
            </w:r>
          </w:p>
        </w:tc>
      </w:tr>
      <w:tr>
        <w:trPr>
          <w:cantSplit/>
        </w:trPr>
        <w:tc>
          <w:tcPr>
            <w:tcW w:type="dxa" w:w="840"/>
            <w:vAlign w:val="center"/>
            <w:tcMar>
              <w:top w:w="70" w:type="dxa"/>
              <w:bottom w:w="70" w:type="dxa"/>
              <w:start w:w="120" w:type="dxa"/>
              <w:end w:w="120" w:type="dxa"/>
            </w:tcMar>
          </w:tcPr>
          <w:p>
            <w:pPr>
              <w:keepNext w:val="0"/>
              <w:spacing w:after="40" w:line="252" w:lineRule="auto"/>
            </w:pPr>
            <w:r>
              <w:rPr>
                <w:rFonts w:ascii="Calibri" w:hAnsi="Calibri"/>
                <w:b w:val="0"/>
                <w:sz w:val="19"/>
              </w:rPr>
              <w:t>P0</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Inactivity prompt</w:t>
            </w:r>
          </w:p>
        </w:tc>
        <w:tc>
          <w:tcPr>
            <w:tcW w:type="dxa" w:w="3160"/>
            <w:vAlign w:val="center"/>
            <w:tcMar>
              <w:top w:w="70" w:type="dxa"/>
              <w:bottom w:w="70" w:type="dxa"/>
              <w:start w:w="120" w:type="dxa"/>
              <w:end w:w="120" w:type="dxa"/>
            </w:tcMar>
          </w:tcPr>
          <w:p>
            <w:pPr>
              <w:keepNext w:val="0"/>
              <w:spacing w:after="40" w:line="252" w:lineRule="auto"/>
            </w:pPr>
            <w:r>
              <w:rPr>
                <w:rFonts w:ascii="Calibri" w:hAnsi="Calibri"/>
                <w:b w:val="0"/>
                <w:sz w:val="19"/>
              </w:rPr>
              <w:t>“No expected activity by 10:00. Consider calling.”</w:t>
            </w:r>
          </w:p>
        </w:tc>
        <w:tc>
          <w:tcPr>
            <w:tcW w:type="dxa" w:w="3660"/>
            <w:vAlign w:val="center"/>
            <w:tcMar>
              <w:top w:w="70" w:type="dxa"/>
              <w:bottom w:w="70" w:type="dxa"/>
              <w:start w:w="120" w:type="dxa"/>
              <w:end w:w="120" w:type="dxa"/>
            </w:tcMar>
          </w:tcPr>
          <w:p>
            <w:pPr>
              <w:keepNext w:val="0"/>
              <w:spacing w:after="40" w:line="252" w:lineRule="auto"/>
            </w:pPr>
            <w:r>
              <w:rPr>
                <w:rFonts w:ascii="Calibri" w:hAnsi="Calibri"/>
                <w:b w:val="0"/>
                <w:sz w:val="19"/>
              </w:rPr>
              <w:t>Only when monitoring is active and sensors are healthy; absence is not an emergency diagnosis.</w:t>
            </w:r>
          </w:p>
        </w:tc>
      </w:tr>
      <w:tr>
        <w:trPr>
          <w:cantSplit/>
        </w:trPr>
        <w:tc>
          <w:tcPr>
            <w:tcW w:type="dxa" w:w="840"/>
            <w:vAlign w:val="center"/>
            <w:tcMar>
              <w:top w:w="70" w:type="dxa"/>
              <w:bottom w:w="70" w:type="dxa"/>
              <w:start w:w="120" w:type="dxa"/>
              <w:end w:w="120" w:type="dxa"/>
            </w:tcMar>
          </w:tcPr>
          <w:p>
            <w:pPr>
              <w:keepNext w:val="0"/>
              <w:spacing w:after="40" w:line="252" w:lineRule="auto"/>
            </w:pPr>
            <w:r>
              <w:rPr>
                <w:rFonts w:ascii="Calibri" w:hAnsi="Calibri"/>
                <w:b w:val="0"/>
                <w:sz w:val="19"/>
              </w:rPr>
              <w:t>P0</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Check-in / call button</w:t>
            </w:r>
          </w:p>
        </w:tc>
        <w:tc>
          <w:tcPr>
            <w:tcW w:type="dxa" w:w="3160"/>
            <w:vAlign w:val="center"/>
            <w:tcMar>
              <w:top w:w="70" w:type="dxa"/>
              <w:bottom w:w="70" w:type="dxa"/>
              <w:start w:w="120" w:type="dxa"/>
              <w:end w:w="120" w:type="dxa"/>
            </w:tcMar>
          </w:tcPr>
          <w:p>
            <w:pPr>
              <w:keepNext w:val="0"/>
              <w:spacing w:after="40" w:line="252" w:lineRule="auto"/>
            </w:pPr>
            <w:r>
              <w:rPr>
                <w:rFonts w:ascii="Calibri" w:hAnsi="Calibri"/>
                <w:b w:val="0"/>
                <w:sz w:val="19"/>
              </w:rPr>
              <w:t>“Call-family button pressed at 11:32.”</w:t>
            </w:r>
          </w:p>
        </w:tc>
        <w:tc>
          <w:tcPr>
            <w:tcW w:type="dxa" w:w="3660"/>
            <w:vAlign w:val="center"/>
            <w:tcMar>
              <w:top w:w="70" w:type="dxa"/>
              <w:bottom w:w="70" w:type="dxa"/>
              <w:start w:w="120" w:type="dxa"/>
              <w:end w:w="120" w:type="dxa"/>
            </w:tcMar>
          </w:tcPr>
          <w:p>
            <w:pPr>
              <w:keepNext w:val="0"/>
              <w:spacing w:after="40" w:line="252" w:lineRule="auto"/>
            </w:pPr>
            <w:r>
              <w:rPr>
                <w:rFonts w:ascii="Calibri" w:hAnsi="Calibri"/>
                <w:b w:val="0"/>
                <w:sz w:val="19"/>
              </w:rPr>
              <w:t>Family notification, not emergency dispatch; show delivery/acknowledgement separately.</w:t>
            </w:r>
          </w:p>
        </w:tc>
      </w:tr>
      <w:tr>
        <w:trPr>
          <w:cantSplit/>
        </w:trPr>
        <w:tc>
          <w:tcPr>
            <w:tcW w:type="dxa" w:w="840"/>
            <w:vAlign w:val="center"/>
            <w:tcMar>
              <w:top w:w="70" w:type="dxa"/>
              <w:bottom w:w="70" w:type="dxa"/>
              <w:start w:w="120" w:type="dxa"/>
              <w:end w:w="120" w:type="dxa"/>
            </w:tcMar>
          </w:tcPr>
          <w:p>
            <w:pPr>
              <w:keepNext w:val="0"/>
              <w:spacing w:after="40" w:line="252" w:lineRule="auto"/>
            </w:pPr>
            <w:r>
              <w:rPr>
                <w:rFonts w:ascii="Calibri" w:hAnsi="Calibri"/>
                <w:b w:val="0"/>
                <w:sz w:val="19"/>
              </w:rPr>
              <w:t>P0</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Main door</w:t>
            </w:r>
          </w:p>
        </w:tc>
        <w:tc>
          <w:tcPr>
            <w:tcW w:type="dxa" w:w="3160"/>
            <w:vAlign w:val="center"/>
            <w:tcMar>
              <w:top w:w="70" w:type="dxa"/>
              <w:bottom w:w="70" w:type="dxa"/>
              <w:start w:w="120" w:type="dxa"/>
              <w:end w:w="120" w:type="dxa"/>
            </w:tcMar>
          </w:tcPr>
          <w:p>
            <w:pPr>
              <w:keepNext w:val="0"/>
              <w:spacing w:after="40" w:line="252" w:lineRule="auto"/>
            </w:pPr>
            <w:r>
              <w:rPr>
                <w:rFonts w:ascii="Calibri" w:hAnsi="Calibri"/>
                <w:b w:val="0"/>
                <w:sz w:val="19"/>
              </w:rPr>
              <w:t>“Door opened at 2:12 a.m.”</w:t>
            </w:r>
          </w:p>
        </w:tc>
        <w:tc>
          <w:tcPr>
            <w:tcW w:type="dxa" w:w="3660"/>
            <w:vAlign w:val="center"/>
            <w:tcMar>
              <w:top w:w="70" w:type="dxa"/>
              <w:bottom w:w="70" w:type="dxa"/>
              <w:start w:w="120" w:type="dxa"/>
              <w:end w:w="120" w:type="dxa"/>
            </w:tcMar>
          </w:tcPr>
          <w:p>
            <w:pPr>
              <w:keepNext w:val="0"/>
              <w:spacing w:after="40" w:line="252" w:lineRule="auto"/>
            </w:pPr>
            <w:r>
              <w:rPr>
                <w:rFonts w:ascii="Calibri" w:hAnsi="Calibri"/>
                <w:b w:val="0"/>
                <w:sz w:val="19"/>
              </w:rPr>
              <w:t>No inference about who entered or left. Support away/visitor modes.</w:t>
            </w:r>
          </w:p>
        </w:tc>
      </w:tr>
      <w:tr>
        <w:trPr>
          <w:cantSplit/>
        </w:trPr>
        <w:tc>
          <w:tcPr>
            <w:tcW w:type="dxa" w:w="840"/>
            <w:vAlign w:val="center"/>
            <w:tcMar>
              <w:top w:w="70" w:type="dxa"/>
              <w:bottom w:w="70" w:type="dxa"/>
              <w:start w:w="120" w:type="dxa"/>
              <w:end w:w="120" w:type="dxa"/>
            </w:tcMar>
          </w:tcPr>
          <w:p>
            <w:pPr>
              <w:keepNext w:val="0"/>
              <w:spacing w:after="40" w:line="252" w:lineRule="auto"/>
            </w:pPr>
            <w:r>
              <w:rPr>
                <w:rFonts w:ascii="Calibri" w:hAnsi="Calibri"/>
                <w:b w:val="0"/>
                <w:sz w:val="19"/>
              </w:rPr>
              <w:t>P0</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Device health</w:t>
            </w:r>
          </w:p>
        </w:tc>
        <w:tc>
          <w:tcPr>
            <w:tcW w:type="dxa" w:w="3160"/>
            <w:vAlign w:val="center"/>
            <w:tcMar>
              <w:top w:w="70" w:type="dxa"/>
              <w:bottom w:w="70" w:type="dxa"/>
              <w:start w:w="120" w:type="dxa"/>
              <w:end w:w="120" w:type="dxa"/>
            </w:tcMar>
          </w:tcPr>
          <w:p>
            <w:pPr>
              <w:keepNext w:val="0"/>
              <w:spacing w:after="40" w:line="252" w:lineRule="auto"/>
            </w:pPr>
            <w:r>
              <w:rPr>
                <w:rFonts w:ascii="Calibri" w:hAnsi="Calibri"/>
                <w:b w:val="0"/>
                <w:sz w:val="19"/>
              </w:rPr>
              <w:t>“Hallway node has not checked in.”</w:t>
            </w:r>
          </w:p>
        </w:tc>
        <w:tc>
          <w:tcPr>
            <w:tcW w:type="dxa" w:w="3660"/>
            <w:vAlign w:val="center"/>
            <w:tcMar>
              <w:top w:w="70" w:type="dxa"/>
              <w:bottom w:w="70" w:type="dxa"/>
              <w:start w:w="120" w:type="dxa"/>
              <w:end w:w="120" w:type="dxa"/>
            </w:tcMar>
          </w:tcPr>
          <w:p>
            <w:pPr>
              <w:keepNext w:val="0"/>
              <w:spacing w:after="40" w:line="252" w:lineRule="auto"/>
            </w:pPr>
            <w:r>
              <w:rPr>
                <w:rFonts w:ascii="Calibri" w:hAnsi="Calibri"/>
                <w:b w:val="0"/>
                <w:sz w:val="19"/>
              </w:rPr>
              <w:t>Report coverage unknown; never interpret silence as reassuring activity.</w:t>
            </w:r>
          </w:p>
        </w:tc>
      </w:tr>
      <w:tr>
        <w:trPr>
          <w:cantSplit/>
        </w:trPr>
        <w:tc>
          <w:tcPr>
            <w:tcW w:type="dxa" w:w="840"/>
            <w:vAlign w:val="center"/>
            <w:tcMar>
              <w:top w:w="70" w:type="dxa"/>
              <w:bottom w:w="70" w:type="dxa"/>
              <w:start w:w="120" w:type="dxa"/>
              <w:end w:w="120" w:type="dxa"/>
            </w:tcMar>
          </w:tcPr>
          <w:p>
            <w:pPr>
              <w:keepNext w:val="0"/>
              <w:spacing w:after="40" w:line="252" w:lineRule="auto"/>
            </w:pPr>
            <w:commentRangeStart w:id="2"/>
            <w:r>
              <w:rPr>
                <w:rFonts w:ascii="Calibri" w:hAnsi="Calibri"/>
                <w:b w:val="0"/>
                <w:sz w:val="19"/>
              </w:rPr>
              <w:t>P1</w:t>
            </w:r>
            <w:commentRangeEnd w:id="2"/>
            <w:r>
              <w:rPr>
                <w:rStyle w:val="CommentReference"/>
              </w:rPr>
              <w:commentReference w:id="2"/>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Fridge / kitchen</w:t>
            </w:r>
          </w:p>
        </w:tc>
        <w:tc>
          <w:tcPr>
            <w:tcW w:type="dxa" w:w="3160"/>
            <w:vAlign w:val="center"/>
            <w:tcMar>
              <w:top w:w="70" w:type="dxa"/>
              <w:bottom w:w="70" w:type="dxa"/>
              <w:start w:w="120" w:type="dxa"/>
              <w:end w:w="120" w:type="dxa"/>
            </w:tcMar>
          </w:tcPr>
          <w:p>
            <w:pPr>
              <w:keepNext w:val="0"/>
              <w:spacing w:after="40" w:line="252" w:lineRule="auto"/>
            </w:pPr>
            <w:r>
              <w:rPr>
                <w:rFonts w:ascii="Calibri" w:hAnsi="Calibri"/>
                <w:b w:val="0"/>
                <w:sz w:val="19"/>
              </w:rPr>
              <w:t>“Fridge door opened at 8:30.”</w:t>
            </w:r>
          </w:p>
        </w:tc>
        <w:tc>
          <w:tcPr>
            <w:tcW w:type="dxa" w:w="3660"/>
            <w:vAlign w:val="center"/>
            <w:tcMar>
              <w:top w:w="70" w:type="dxa"/>
              <w:bottom w:w="70" w:type="dxa"/>
              <w:start w:w="120" w:type="dxa"/>
              <w:end w:w="120" w:type="dxa"/>
            </w:tcMar>
          </w:tcPr>
          <w:p>
            <w:pPr>
              <w:keepNext w:val="0"/>
              <w:spacing w:after="40" w:line="252" w:lineRule="auto"/>
            </w:pPr>
            <w:r>
              <w:rPr>
                <w:rFonts w:ascii="Calibri" w:hAnsi="Calibri"/>
                <w:b w:val="0"/>
                <w:sz w:val="19"/>
              </w:rPr>
              <w:t>Not proof food was eaten or medicine taken.</w:t>
            </w:r>
          </w:p>
        </w:tc>
      </w:tr>
      <w:tr>
        <w:trPr>
          <w:cantSplit/>
        </w:trPr>
        <w:tc>
          <w:tcPr>
            <w:tcW w:type="dxa" w:w="840"/>
            <w:vAlign w:val="center"/>
            <w:tcMar>
              <w:top w:w="70" w:type="dxa"/>
              <w:bottom w:w="70" w:type="dxa"/>
              <w:start w:w="120" w:type="dxa"/>
              <w:end w:w="120" w:type="dxa"/>
            </w:tcMar>
          </w:tcPr>
          <w:p>
            <w:pPr>
              <w:keepNext w:val="0"/>
              <w:spacing w:after="40" w:line="252" w:lineRule="auto"/>
            </w:pPr>
            <w:r>
              <w:rPr>
                <w:rFonts w:ascii="Calibri" w:hAnsi="Calibri"/>
                <w:b w:val="0"/>
                <w:sz w:val="19"/>
              </w:rPr>
              <w:t>P1</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Water leak</w:t>
            </w:r>
          </w:p>
        </w:tc>
        <w:tc>
          <w:tcPr>
            <w:tcW w:type="dxa" w:w="3160"/>
            <w:vAlign w:val="center"/>
            <w:tcMar>
              <w:top w:w="70" w:type="dxa"/>
              <w:bottom w:w="70" w:type="dxa"/>
              <w:start w:w="120" w:type="dxa"/>
              <w:end w:w="120" w:type="dxa"/>
            </w:tcMar>
          </w:tcPr>
          <w:p>
            <w:pPr>
              <w:keepNext w:val="0"/>
              <w:spacing w:after="40" w:line="252" w:lineRule="auto"/>
            </w:pPr>
            <w:r>
              <w:rPr>
                <w:rFonts w:ascii="Calibri" w:hAnsi="Calibri"/>
                <w:b w:val="0"/>
                <w:sz w:val="19"/>
              </w:rPr>
              <w:t>“Water detected near the washer.”</w:t>
            </w:r>
          </w:p>
        </w:tc>
        <w:tc>
          <w:tcPr>
            <w:tcW w:type="dxa" w:w="3660"/>
            <w:vAlign w:val="center"/>
            <w:tcMar>
              <w:top w:w="70" w:type="dxa"/>
              <w:bottom w:w="70" w:type="dxa"/>
              <w:start w:w="120" w:type="dxa"/>
              <w:end w:w="120" w:type="dxa"/>
            </w:tcMar>
          </w:tcPr>
          <w:p>
            <w:pPr>
              <w:keepNext w:val="0"/>
              <w:spacing w:after="40" w:line="252" w:lineRule="auto"/>
            </w:pPr>
            <w:r>
              <w:rPr>
                <w:rFonts w:ascii="Calibri" w:hAnsi="Calibri"/>
                <w:b w:val="0"/>
                <w:sz w:val="19"/>
              </w:rPr>
              <w:t>Property-risk add-on; alert only, no shutoff.</w:t>
            </w:r>
          </w:p>
        </w:tc>
      </w:tr>
      <w:tr>
        <w:trPr>
          <w:cantSplit/>
        </w:trPr>
        <w:tc>
          <w:tcPr>
            <w:tcW w:type="dxa" w:w="840"/>
            <w:vAlign w:val="center"/>
            <w:tcMar>
              <w:top w:w="70" w:type="dxa"/>
              <w:bottom w:w="70" w:type="dxa"/>
              <w:start w:w="120" w:type="dxa"/>
              <w:end w:w="120" w:type="dxa"/>
            </w:tcMar>
          </w:tcPr>
          <w:p>
            <w:pPr>
              <w:keepNext w:val="0"/>
              <w:spacing w:after="40" w:line="252" w:lineRule="auto"/>
            </w:pPr>
            <w:r>
              <w:rPr>
                <w:rFonts w:ascii="Calibri" w:hAnsi="Calibri"/>
                <w:b w:val="0"/>
                <w:sz w:val="19"/>
              </w:rPr>
              <w:t>P1</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Heat / humidity</w:t>
            </w:r>
          </w:p>
        </w:tc>
        <w:tc>
          <w:tcPr>
            <w:tcW w:type="dxa" w:w="3160"/>
            <w:vAlign w:val="center"/>
            <w:tcMar>
              <w:top w:w="70" w:type="dxa"/>
              <w:bottom w:w="70" w:type="dxa"/>
              <w:start w:w="120" w:type="dxa"/>
              <w:end w:w="120" w:type="dxa"/>
            </w:tcMar>
          </w:tcPr>
          <w:p>
            <w:pPr>
              <w:keepNext w:val="0"/>
              <w:spacing w:after="40" w:line="252" w:lineRule="auto"/>
            </w:pPr>
            <w:r>
              <w:rPr>
                <w:rFonts w:ascii="Calibri" w:hAnsi="Calibri"/>
                <w:b w:val="0"/>
                <w:sz w:val="19"/>
              </w:rPr>
              <w:t>“Humidity has stayed high.”</w:t>
            </w:r>
          </w:p>
        </w:tc>
        <w:tc>
          <w:tcPr>
            <w:tcW w:type="dxa" w:w="3660"/>
            <w:vAlign w:val="center"/>
            <w:tcMar>
              <w:top w:w="70" w:type="dxa"/>
              <w:bottom w:w="70" w:type="dxa"/>
              <w:start w:w="120" w:type="dxa"/>
              <w:end w:w="120" w:type="dxa"/>
            </w:tcMar>
          </w:tcPr>
          <w:p>
            <w:pPr>
              <w:keepNext w:val="0"/>
              <w:spacing w:after="40" w:line="252" w:lineRule="auto"/>
            </w:pPr>
            <w:r>
              <w:rPr>
                <w:rFonts w:ascii="Calibri" w:hAnsi="Calibri"/>
                <w:b w:val="0"/>
                <w:sz w:val="19"/>
              </w:rPr>
              <w:t>Environmental observation, not diagnosis.</w:t>
            </w:r>
          </w:p>
        </w:tc>
      </w:tr>
      <w:tr>
        <w:trPr>
          <w:cantSplit/>
        </w:trPr>
        <w:tc>
          <w:tcPr>
            <w:tcW w:type="dxa" w:w="840"/>
            <w:vAlign w:val="center"/>
            <w:tcMar>
              <w:top w:w="70" w:type="dxa"/>
              <w:bottom w:w="70" w:type="dxa"/>
              <w:start w:w="120" w:type="dxa"/>
              <w:end w:w="120" w:type="dxa"/>
            </w:tcMar>
          </w:tcPr>
          <w:p>
            <w:pPr>
              <w:keepNext w:val="0"/>
              <w:spacing w:after="40" w:line="252" w:lineRule="auto"/>
            </w:pPr>
            <w:r>
              <w:rPr>
                <w:rFonts w:ascii="Calibri" w:hAnsi="Calibri"/>
                <w:b w:val="0"/>
                <w:sz w:val="19"/>
              </w:rPr>
              <w:t>P2</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Fall / stove research</w:t>
            </w:r>
          </w:p>
        </w:tc>
        <w:tc>
          <w:tcPr>
            <w:tcW w:type="dxa" w:w="3160"/>
            <w:vAlign w:val="center"/>
            <w:tcMar>
              <w:top w:w="70" w:type="dxa"/>
              <w:bottom w:w="70" w:type="dxa"/>
              <w:start w:w="120" w:type="dxa"/>
              <w:end w:w="120" w:type="dxa"/>
            </w:tcMar>
          </w:tcPr>
          <w:p>
            <w:pPr>
              <w:keepNext w:val="0"/>
              <w:spacing w:after="40" w:line="252" w:lineRule="auto"/>
            </w:pPr>
            <w:r>
              <w:rPr>
                <w:rFonts w:ascii="Calibri" w:hAnsi="Calibri"/>
                <w:b w:val="0"/>
                <w:sz w:val="19"/>
              </w:rPr>
              <w:t>Research only; no V1 claims.</w:t>
            </w:r>
          </w:p>
        </w:tc>
        <w:tc>
          <w:tcPr>
            <w:tcW w:type="dxa" w:w="3660"/>
            <w:vAlign w:val="center"/>
            <w:tcMar>
              <w:top w:w="70" w:type="dxa"/>
              <w:bottom w:w="70" w:type="dxa"/>
              <w:start w:w="120" w:type="dxa"/>
              <w:end w:w="120" w:type="dxa"/>
            </w:tcMar>
          </w:tcPr>
          <w:p>
            <w:pPr>
              <w:keepNext w:val="0"/>
              <w:spacing w:after="40" w:line="252" w:lineRule="auto"/>
            </w:pPr>
            <w:r>
              <w:rPr>
                <w:rFonts w:ascii="Calibri" w:hAnsi="Calibri"/>
                <w:b w:val="0"/>
                <w:sz w:val="19"/>
              </w:rPr>
              <w:t>Separate validation, intended-use and compliance review.</w:t>
            </w:r>
          </w:p>
        </w:tc>
      </w:tr>
    </w:tbl>
    <w:p>
      <w:pPr>
        <w:widowControl/>
        <w:spacing w:after="20"/>
      </w:pPr>
    </w:p>
    <w:p>
      <w:pPr>
        <w:pStyle w:val="Heading1"/>
        <w:keepNext/>
        <w:keepLines/>
        <w:widowControl/>
      </w:pPr>
      <w:r>
        <w:rPr>
          <w:color w:val="000000"/>
        </w:rPr>
        <w:t>Product requirements</w:t>
      </w:r>
    </w:p>
    <w:p>
      <w:pPr>
        <w:pStyle w:val="Heading2"/>
        <w:keepNext/>
        <w:keepLines/>
        <w:widowControl/>
      </w:pPr>
      <w:r>
        <w:rPr>
          <w:color w:val="000000"/>
        </w:rPr>
        <w:t>Functional requirements</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cantSplit/>
        </w:trPr>
        <w:tc>
          <w:tcPr>
            <w:tcW w:type="dxa" w:w="18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Area</w:t>
            </w:r>
          </w:p>
        </w:tc>
        <w:tc>
          <w:tcPr>
            <w:tcW w:type="dxa" w:w="756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Minimum requirement</w:t>
            </w:r>
          </w:p>
        </w:tc>
      </w:tr>
      <w:tr>
        <w:trPr>
          <w:cantSplit/>
        </w:trPr>
        <w:tc>
          <w:tcPr>
            <w:tcW w:type="dxa" w:w="1800"/>
            <w:vAlign w:val="center"/>
            <w:tcMar>
              <w:top w:w="70" w:type="dxa"/>
              <w:bottom w:w="70" w:type="dxa"/>
              <w:start w:w="120" w:type="dxa"/>
              <w:end w:w="120" w:type="dxa"/>
            </w:tcMar>
          </w:tcPr>
          <w:p>
            <w:pPr>
              <w:keepNext w:val="0"/>
              <w:spacing w:after="40" w:line="252" w:lineRule="auto"/>
            </w:pPr>
            <w:r>
              <w:rPr>
                <w:rFonts w:ascii="Calibri" w:hAnsi="Calibri"/>
                <w:b w:val="0"/>
                <w:sz w:val="19"/>
              </w:rPr>
              <w:t>Hub</w:t>
            </w:r>
          </w:p>
        </w:tc>
        <w:tc>
          <w:tcPr>
            <w:tcW w:type="dxa" w:w="7560"/>
            <w:vAlign w:val="center"/>
            <w:tcMar>
              <w:top w:w="70" w:type="dxa"/>
              <w:bottom w:w="70" w:type="dxa"/>
              <w:start w:w="120" w:type="dxa"/>
              <w:end w:w="120" w:type="dxa"/>
            </w:tcMar>
          </w:tcPr>
          <w:p>
            <w:pPr>
              <w:keepNext w:val="0"/>
              <w:spacing w:after="40" w:line="252" w:lineRule="auto"/>
            </w:pPr>
            <w:r>
              <w:rPr>
                <w:rFonts w:ascii="Calibri" w:hAnsi="Calibri"/>
                <w:b w:val="0"/>
                <w:sz w:val="19"/>
              </w:rPr>
              <w:t>Secure provisioning/pairing; persistent event queue; duplicate-safe receipt; local rules; distinct OK/call tones; clock recovery; sensor coverage status; TLS cloud sync; tested OTA rollback.</w:t>
            </w:r>
          </w:p>
        </w:tc>
      </w:tr>
      <w:tr>
        <w:trPr>
          <w:cantSplit/>
        </w:trPr>
        <w:tc>
          <w:tcPr>
            <w:tcW w:type="dxa" w:w="1800"/>
            <w:vAlign w:val="center"/>
            <w:tcMar>
              <w:top w:w="70" w:type="dxa"/>
              <w:bottom w:w="70" w:type="dxa"/>
              <w:start w:w="120" w:type="dxa"/>
              <w:end w:w="120" w:type="dxa"/>
            </w:tcMar>
          </w:tcPr>
          <w:p>
            <w:pPr>
              <w:keepNext w:val="0"/>
              <w:spacing w:after="40" w:line="252" w:lineRule="auto"/>
            </w:pPr>
            <w:r>
              <w:rPr>
                <w:rFonts w:ascii="Calibri" w:hAnsi="Calibri"/>
                <w:b w:val="0"/>
                <w:sz w:val="19"/>
              </w:rPr>
              <w:t>Sensor nodes</w:t>
            </w:r>
          </w:p>
        </w:tc>
        <w:tc>
          <w:tcPr>
            <w:tcW w:type="dxa" w:w="7560"/>
            <w:vAlign w:val="center"/>
            <w:tcMar>
              <w:top w:w="70" w:type="dxa"/>
              <w:bottom w:w="70" w:type="dxa"/>
              <w:start w:w="120" w:type="dxa"/>
              <w:end w:w="120" w:type="dxa"/>
            </w:tcMar>
          </w:tcPr>
          <w:p>
            <w:pPr>
              <w:keepNext w:val="0"/>
              <w:spacing w:after="40" w:line="252" w:lineRule="auto"/>
            </w:pPr>
            <w:r>
              <w:rPr>
                <w:rFonts w:ascii="Calibri" w:hAnsi="Calibri"/>
                <w:b w:val="0"/>
                <w:sz w:val="19"/>
              </w:rPr>
              <w:t>Wake/debounce; sequence + reboot identity; application ACK/retry; heartbeat; battery state; secure pairing; reconnection after hub/router changes; measured sleep/event current.</w:t>
            </w:r>
          </w:p>
        </w:tc>
      </w:tr>
      <w:tr>
        <w:trPr>
          <w:cantSplit/>
        </w:trPr>
        <w:tc>
          <w:tcPr>
            <w:tcW w:type="dxa" w:w="1800"/>
            <w:vAlign w:val="center"/>
            <w:tcMar>
              <w:top w:w="70" w:type="dxa"/>
              <w:bottom w:w="70" w:type="dxa"/>
              <w:start w:w="120" w:type="dxa"/>
              <w:end w:w="120" w:type="dxa"/>
            </w:tcMar>
          </w:tcPr>
          <w:p>
            <w:pPr>
              <w:keepNext w:val="0"/>
              <w:spacing w:after="40" w:line="252" w:lineRule="auto"/>
            </w:pPr>
            <w:r>
              <w:rPr>
                <w:rFonts w:ascii="Calibri" w:hAnsi="Calibri"/>
                <w:b w:val="0"/>
                <w:sz w:val="19"/>
              </w:rPr>
              <w:t>Cloud &amp; caregiver UI</w:t>
            </w:r>
          </w:p>
        </w:tc>
        <w:tc>
          <w:tcPr>
            <w:tcW w:type="dxa" w:w="7560"/>
            <w:vAlign w:val="center"/>
            <w:tcMar>
              <w:top w:w="70" w:type="dxa"/>
              <w:bottom w:w="70" w:type="dxa"/>
              <w:start w:w="120" w:type="dxa"/>
              <w:end w:w="120" w:type="dxa"/>
            </w:tcMar>
          </w:tcPr>
          <w:p>
            <w:pPr>
              <w:keepNext w:val="0"/>
              <w:spacing w:after="40" w:line="252" w:lineRule="auto"/>
            </w:pPr>
            <w:r>
              <w:rPr>
                <w:rFonts w:ascii="Calibri" w:hAnsi="Calibri"/>
                <w:b w:val="0"/>
                <w:sz w:val="19"/>
              </w:rPr>
              <w:t>Household roles; explicit resident consent/pause; evidence timestamps; away/visitor modes; rule explanations; push permission/test; delivered versus acknowledged states; escalation contacts; deletion/export; audit history.</w:t>
            </w:r>
          </w:p>
        </w:tc>
      </w:tr>
    </w:tbl>
    <w:p>
      <w:pPr>
        <w:widowControl/>
        <w:spacing w:after="20"/>
      </w:pPr>
    </w:p>
    <w:p>
      <w:pPr>
        <w:pStyle w:val="Heading2"/>
        <w:keepNext/>
        <w:keepLines/>
        <w:widowControl/>
      </w:pPr>
      <w:r>
        <w:rPr>
          <w:color w:val="000000"/>
        </w:rPr>
        <w:t>Non-functional acceptance targets</w:t>
      </w:r>
    </w:p>
    <w:tbl>
      <w:tblPr>
        <w:tblStyle w:val="TableGrid"/>
        <w:tblW w:type="dxa" w:w="9360"/>
        <w:tblLayout w:type="fixed"/>
        <w:tblLook w:firstColumn="1" w:firstRow="1" w:lastColumn="0" w:lastRow="0" w:noHBand="0" w:noVBand="1" w:val="04A0"/>
        <w:jc w:val="left"/>
        <w:tblInd w:w="120" w:type="dxa"/>
      </w:tblPr>
      <w:tblGrid>
        <w:gridCol w:w="2100"/>
        <w:gridCol w:w="3630"/>
        <w:gridCol w:w="3630"/>
      </w:tblGrid>
      <w:tr>
        <w:trPr>
          <w:tblHeader/>
          <w:cantSplit/>
        </w:trPr>
        <w:tc>
          <w:tcPr>
            <w:tcW w:type="dxa" w:w="21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Area</w:t>
            </w:r>
          </w:p>
        </w:tc>
        <w:tc>
          <w:tcPr>
            <w:tcW w:type="dxa" w:w="363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Pilot target / measurement</w:t>
            </w:r>
          </w:p>
        </w:tc>
        <w:tc>
          <w:tcPr>
            <w:tcW w:type="dxa" w:w="363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Later production gate</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Local event latency</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p95 under 3 s in tested placements</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p95 under 2 s; report lost and duplicated events too</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Remote notifications</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p95 under 30 s when internet and push permissions work</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p95 under 15 s under stated conditions; not a delivery guarantee</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False alerts</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Below 1 false high-priority escalation/home-month after tuning</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Below 0.5/home-month; separately report routine nudge usefulness</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Missed events</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Zero unexplained misses in scripted button/door/outage tests</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Publish tested event coverage; not a sensitivity claim for real emergencies</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Setup</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Median under 15 min; record founder assistance</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Median under 10 min; independently repeatable</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Power / battery</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Hub backup at least 30 min; measure node current and retries</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Hub 2–4 h; nodes 9–12 months only if duty-cycle tests support it</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Support</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Below 30 min/home/month after onboarding; log founder time</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Below 20 min/home/month is a ceiling, not a scalable staffing plan</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Security</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Unique credentials; encrypted links; access tests; signed firmware</w:t>
            </w:r>
          </w:p>
        </w:tc>
        <w:tc>
          <w:tcPr>
            <w:tcW w:type="dxa" w:w="3630"/>
            <w:vAlign w:val="center"/>
            <w:tcMar>
              <w:top w:w="70" w:type="dxa"/>
              <w:bottom w:w="70" w:type="dxa"/>
              <w:start w:w="120" w:type="dxa"/>
              <w:end w:w="120" w:type="dxa"/>
            </w:tcMar>
          </w:tcPr>
          <w:p>
            <w:pPr>
              <w:keepNext w:val="0"/>
              <w:spacing w:after="40" w:line="252" w:lineRule="auto"/>
            </w:pPr>
            <w:r>
              <w:rPr>
                <w:rFonts w:ascii="Calibri" w:hAnsi="Calibri"/>
                <w:b w:val="0"/>
                <w:sz w:val="19"/>
              </w:rPr>
              <w:t>Secure boot/flash encryption as applicable; signed OTA, rollback and incident process</w:t>
            </w:r>
          </w:p>
        </w:tc>
      </w:tr>
    </w:tbl>
    <w:p>
      <w:pPr>
        <w:widowControl/>
        <w:spacing w:after="20"/>
      </w:pPr>
    </w:p>
    <w:p>
      <w:pPr>
        <w:keepLines/>
        <w:widowControl/>
      </w:pPr>
      <w:r>
        <w:t>Validation must test power failure, router reboot/channel change, stale clocks, depleted batteries, duplicate packets, a muted phone, lost push permission and all caregivers unavailable. Run scripted scenarios with consenting adults; never induce falls or rely on the pilot for emergency protection.</w:t>
      </w:r>
    </w:p>
    <w:p>
      <w:pPr>
        <w:keepLines/>
        <w:widowControl/>
      </w:pPr>
      <w:r>
        <w:rPr>
          <w:i/>
          <w:color w:val="356779"/>
          <w:sz w:val="18"/>
        </w:rPr>
        <w:t>A ten-home, 30-day pilot provides only ten home-months of exposure. It cannot prove rare-event safety performance. Record each false or missed event with its cause; do not reduce alert volume simply by disabling useful detection.</w:t>
      </w:r>
    </w:p>
    <w:p>
      <w:pPr>
        <w:pStyle w:val="Heading1"/>
        <w:keepNext/>
        <w:keepLines/>
        <w:widowControl/>
      </w:pPr>
      <w:r>
        <w:rPr>
          <w:color w:val="000000"/>
        </w:rPr>
        <w:t>Prototype architecture</w:t>
      </w:r>
    </w:p>
    <w:tbl>
      <w:tblPr>
        <w:tblW w:type="dxa" w:w="9360"/>
        <w:tblLayout w:type="fixed"/>
        <w:tblLook w:firstColumn="1" w:firstRow="1" w:lastColumn="0" w:lastRow="0" w:noHBand="0" w:noVBand="1" w:val="04A0"/>
        <w:jc w:val="left"/>
        <w:tblInd w:w="120" w:type="dxa"/>
      </w:tblPr>
      <w:tblGrid>
        <w:gridCol w:w="9360"/>
      </w:tblGrid>
      <w:tr>
        <w:trPr>
          <w:cantSplit/>
        </w:trPr>
        <w:tc>
          <w:tcPr>
            <w:tcW w:type="dxa" w:w="9360"/>
            <w:tcMar>
              <w:top w:w="110" w:type="dxa"/>
              <w:start w:w="120" w:type="dxa"/>
              <w:bottom w:w="110" w:type="dxa"/>
              <w:end w:w="120" w:type="dxa"/>
            </w:tcMar>
            <w:shd w:fill="F4F6F9"/>
            <w:vAlign w:val="center"/>
          </w:tcPr>
          <w:p>
            <w:pPr>
              <w:spacing w:after="40"/>
            </w:pPr>
            <w:r>
              <w:rPr>
                <w:rFonts w:ascii="Calibri" w:hAnsi="Calibri"/>
                <w:b/>
                <w:color w:val="2E74B5"/>
                <w:sz w:val="22"/>
              </w:rPr>
              <w:t>Event flow  2 motion nodes + 1 door node (ESP32-C3) → encrypted ESP-NOW → powered ESP32-S3 hub with physical button, speaker and local rules → Wi-Fi/TLS → cloud event service → caregiver PWA/push → named family/local responder. Camera and microphone remain disconnected.</w:t>
            </w:r>
          </w:p>
        </w:tc>
      </w:tr>
    </w:tbl>
    <w:p>
      <w:pPr>
        <w:widowControl/>
        <w:spacing w:after="20"/>
      </w:pPr>
    </w:p>
    <w:p>
      <w:pPr>
        <w:keepLines/>
        <w:widowControl/>
      </w:pPr>
      <w:r>
        <w:rPr>
          <w:rFonts w:ascii="Calibri" w:hAnsi="Calibri"/>
          <w:sz w:val="22"/>
        </w:rPr>
        <w:t>Use ESP-NOW for the engineering prototype, with application-level acknowledgements, retries, event IDs and heartbeats. Espressif states that MAC send success is not proof of application receipt [S12]. The hub’s home-Wi-Fi channel and ESP-NOW peers must remain compatible; test router auto-channel changes, re-pairing and reconnect behaviour. Local rules continue only while the hub has power.</w:t>
      </w:r>
    </w:p>
    <w:p>
      <w:pPr>
        <w:pStyle w:val="Heading2"/>
        <w:keepNext/>
        <w:keepLines/>
        <w:widowControl/>
      </w:pPr>
      <w:r>
        <w:rPr>
          <w:color w:val="000000"/>
        </w:rPr>
        <w:t>Failure-aware local intelligence</w:t>
      </w:r>
    </w:p>
    <w:p>
      <w:pPr>
        <w:keepLines/>
        <w:widowControl/>
      </w:pPr>
      <w:r>
        <w:t>Use explicit states: normal observation, check-in due, away/paused, degraded coverage, offline and family acknowledgement. During internet failure, keep local feedback/logging, mark remote data stale and replay queued events with original timestamps. A cloud heartbeat can report hub unreachable but cannot distinguish power loss from internet loss. Remote alerts cannot cross a failed internet connection without a separate backup link.</w:t>
      </w:r>
    </w:p>
    <w:p>
      <w:pPr>
        <w:keepLines/>
        <w:widowControl/>
      </w:pPr>
      <w:r>
        <w:t>V1 uses configured time windows and transparent rules, with no LLM in the alert path. Later, compare household-specific statistical baselines against those rules using labelled data. Do not market “AI” as an untested reliability improvement. Multiple occupants can produce false reassurance because a PIR does not identify people.</w:t>
      </w:r>
    </w:p>
    <w:p>
      <w:pPr>
        <w:pStyle w:val="Heading2"/>
        <w:keepNext/>
        <w:keepLines/>
        <w:widowControl/>
      </w:pPr>
      <w:r>
        <w:rPr>
          <w:color w:val="000000"/>
        </w:rPr>
        <w:t>Recommended stack</w:t>
      </w:r>
    </w:p>
    <w:p>
      <w:pPr>
        <w:pStyle w:val="ListBullet"/>
        <w:keepLines/>
        <w:widowControl/>
        <w:spacing w:after="100" w:line="280" w:lineRule="auto"/>
        <w:ind w:left="720" w:hanging="360"/>
      </w:pPr>
      <w:r>
        <w:rPr>
          <w:rFonts w:ascii="Calibri" w:hAnsi="Calibri"/>
          <w:sz w:val="22"/>
        </w:rPr>
        <w:t>Firmware: ESP-IDF in C/C++; Arduino only for early sensor experiments.</w:t>
      </w:r>
    </w:p>
    <w:p>
      <w:pPr>
        <w:pStyle w:val="ListBullet"/>
        <w:keepLines/>
        <w:widowControl/>
        <w:spacing w:after="100" w:line="280" w:lineRule="auto"/>
        <w:ind w:left="720" w:hanging="360"/>
      </w:pPr>
      <w:r>
        <w:rPr>
          <w:rFonts w:ascii="Calibri" w:hAnsi="Calibri"/>
          <w:sz w:val="22"/>
        </w:rPr>
        <w:t>Cloud: MQTT over TLS, Mosquitto or managed EMQX, FastAPI/Node backend, PostgreSQL.</w:t>
      </w:r>
    </w:p>
    <w:p>
      <w:pPr>
        <w:pStyle w:val="ListBullet"/>
        <w:keepLines/>
        <w:widowControl/>
        <w:spacing w:after="100" w:line="280" w:lineRule="auto"/>
        <w:ind w:left="720" w:hanging="360"/>
      </w:pPr>
      <w:r>
        <w:rPr>
          <w:rFonts w:ascii="Calibri" w:hAnsi="Calibri"/>
          <w:sz w:val="22"/>
        </w:rPr>
        <w:t>Pilot app: responsive React PWA with verified Android/iOS installation, notification permissions and end-to-end test alerts. Evaluate a native app only if observed reliability or onboarding requires it.</w:t>
      </w:r>
    </w:p>
    <w:p>
      <w:pPr>
        <w:pStyle w:val="ListBullet"/>
        <w:keepLines/>
        <w:widowControl/>
        <w:spacing w:after="100" w:line="280" w:lineRule="auto"/>
        <w:ind w:left="720" w:hanging="360"/>
      </w:pPr>
      <w:r>
        <w:rPr>
          <w:rFonts w:ascii="Calibri" w:hAnsi="Calibri"/>
          <w:sz w:val="22"/>
        </w:rPr>
        <w:t>Operations: device registry, logs, metrics, backups, signed OTA, error monitoring.</w:t>
      </w:r>
    </w:p>
    <w:p>
      <w:pPr>
        <w:keepLines/>
        <w:widowControl/>
      </w:pPr>
      <w:r>
        <w:rPr>
          <w:i/>
          <w:color w:val="356779"/>
          <w:sz w:val="18"/>
        </w:rPr>
        <w:t>Platform decision: time-box a RainMaker Neo feasibility check for provisioning, device identity, OTA and app reuse [S11]. Choose one production backend after the spike; do not build and maintain two parallel stacks. The open-source licence does not make AWS hosting or paid support free.</w:t>
      </w:r>
    </w:p>
    <w:p>
      <w:pPr>
        <w:pStyle w:val="Heading1"/>
        <w:keepNext/>
        <w:keepLines/>
        <w:widowControl/>
      </w:pPr>
      <w:r>
        <w:rPr>
          <w:color w:val="000000"/>
        </w:rPr>
        <w:t>Hardware strategy</w:t>
      </w:r>
    </w:p>
    <w:p>
      <w:pPr>
        <w:pStyle w:val="Heading2"/>
        <w:keepNext/>
        <w:keepLines/>
        <w:widowControl/>
      </w:pPr>
      <w:r>
        <w:rPr>
          <w:color w:val="000000"/>
        </w:rPr>
        <w:t>Can your existing boards be used?</w:t>
      </w:r>
    </w:p>
    <w:tbl>
      <w:tblPr>
        <w:tblStyle w:val="TableGrid"/>
        <w:tblW w:type="dxa" w:w="9360"/>
        <w:tblLayout w:type="fixed"/>
        <w:tblLook w:firstColumn="1" w:firstRow="1" w:lastColumn="0" w:lastRow="0" w:noHBand="0" w:noVBand="1" w:val="04A0"/>
        <w:jc w:val="left"/>
        <w:tblInd w:w="120" w:type="dxa"/>
      </w:tblPr>
      <w:tblGrid>
        <w:gridCol w:w="2150"/>
        <w:gridCol w:w="1700"/>
        <w:gridCol w:w="5510"/>
      </w:tblGrid>
      <w:tr>
        <w:trPr>
          <w:tblHeader/>
          <w:cantSplit/>
        </w:trPr>
        <w:tc>
          <w:tcPr>
            <w:tcW w:type="dxa" w:w="215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Board / part</w:t>
            </w:r>
          </w:p>
        </w:tc>
        <w:tc>
          <w:tcPr>
            <w:tcW w:type="dxa" w:w="17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Role</w:t>
            </w:r>
          </w:p>
        </w:tc>
        <w:tc>
          <w:tcPr>
            <w:tcW w:type="dxa" w:w="551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Recommendation</w:t>
            </w:r>
          </w:p>
        </w:tc>
      </w:tr>
      <w:tr>
        <w:trPr>
          <w:cantSplit/>
        </w:trPr>
        <w:tc>
          <w:tcPr>
            <w:tcW w:type="dxa" w:w="2150"/>
            <w:vAlign w:val="center"/>
            <w:tcMar>
              <w:top w:w="70" w:type="dxa"/>
              <w:bottom w:w="70" w:type="dxa"/>
              <w:start w:w="120" w:type="dxa"/>
              <w:end w:w="120" w:type="dxa"/>
            </w:tcMar>
          </w:tcPr>
          <w:p>
            <w:pPr>
              <w:keepNext w:val="0"/>
              <w:spacing w:after="40" w:line="252" w:lineRule="auto"/>
            </w:pPr>
            <w:r>
              <w:rPr>
                <w:rFonts w:ascii="Calibri" w:hAnsi="Calibri"/>
                <w:b w:val="0"/>
                <w:sz w:val="19"/>
              </w:rPr>
              <w:t>Existing S3-N16R8, OLED, amplifier, speaker and button</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Prototype hub</w:t>
            </w:r>
          </w:p>
        </w:tc>
        <w:tc>
          <w:tcPr>
            <w:tcW w:type="dxa" w:w="5510"/>
            <w:vAlign w:val="center"/>
            <w:tcMar>
              <w:top w:w="70" w:type="dxa"/>
              <w:bottom w:w="70" w:type="dxa"/>
              <w:start w:w="120" w:type="dxa"/>
              <w:end w:w="120" w:type="dxa"/>
            </w:tcMar>
          </w:tcPr>
          <w:p>
            <w:pPr>
              <w:keepNext w:val="0"/>
              <w:spacing w:after="40" w:line="252" w:lineRule="auto"/>
            </w:pPr>
            <w:r>
              <w:rPr>
                <w:rFonts w:ascii="Calibri" w:hAnsi="Calibri"/>
                <w:b w:val="0"/>
                <w:sz w:val="19"/>
              </w:rPr>
              <w:t>Use existing hardware. Disconnect camera/microphone. Prefer USB-powered hub with rechargeable backup, subject to the user’s power preference and a measured budget.</w:t>
            </w:r>
          </w:p>
        </w:tc>
      </w:tr>
      <w:tr>
        <w:trPr>
          <w:cantSplit/>
        </w:trPr>
        <w:tc>
          <w:tcPr>
            <w:tcW w:type="dxa" w:w="2150"/>
            <w:vAlign w:val="center"/>
            <w:tcMar>
              <w:top w:w="70" w:type="dxa"/>
              <w:bottom w:w="70" w:type="dxa"/>
              <w:start w:w="120" w:type="dxa"/>
              <w:end w:w="120" w:type="dxa"/>
            </w:tcMar>
          </w:tcPr>
          <w:p>
            <w:pPr>
              <w:keepNext w:val="0"/>
              <w:spacing w:after="40" w:line="252" w:lineRule="auto"/>
            </w:pPr>
            <w:r>
              <w:rPr>
                <w:rFonts w:ascii="Calibri" w:hAnsi="Calibri"/>
                <w:b w:val="0"/>
                <w:sz w:val="19"/>
              </w:rPr>
              <w:t>ESP32-WROOM DevKit V1</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Alternative hub</w:t>
            </w:r>
          </w:p>
        </w:tc>
        <w:tc>
          <w:tcPr>
            <w:tcW w:type="dxa" w:w="5510"/>
            <w:vAlign w:val="center"/>
            <w:tcMar>
              <w:top w:w="70" w:type="dxa"/>
              <w:bottom w:w="70" w:type="dxa"/>
              <w:start w:w="120" w:type="dxa"/>
              <w:end w:w="120" w:type="dxa"/>
            </w:tcMar>
          </w:tcPr>
          <w:p>
            <w:pPr>
              <w:keepNext w:val="0"/>
              <w:spacing w:after="40" w:line="252" w:lineRule="auto"/>
            </w:pPr>
            <w:r>
              <w:rPr>
                <w:rFonts w:ascii="Calibri" w:hAnsi="Calibri"/>
                <w:b w:val="0"/>
                <w:sz w:val="19"/>
              </w:rPr>
              <w:t>Suitable for prototype local rules, networking and audio. Do not use DevKits as final long-life battery nodes.</w:t>
            </w:r>
          </w:p>
        </w:tc>
      </w:tr>
      <w:tr>
        <w:trPr>
          <w:cantSplit/>
        </w:trPr>
        <w:tc>
          <w:tcPr>
            <w:tcW w:type="dxa" w:w="2150"/>
            <w:vAlign w:val="center"/>
            <w:tcMar>
              <w:top w:w="70" w:type="dxa"/>
              <w:bottom w:w="70" w:type="dxa"/>
              <w:start w:w="120" w:type="dxa"/>
              <w:end w:w="120" w:type="dxa"/>
            </w:tcMar>
          </w:tcPr>
          <w:p>
            <w:pPr>
              <w:keepNext w:val="0"/>
              <w:spacing w:after="40" w:line="252" w:lineRule="auto"/>
            </w:pPr>
            <w:r>
              <w:rPr>
                <w:rFonts w:ascii="Calibri" w:hAnsi="Calibri"/>
                <w:b w:val="0"/>
                <w:sz w:val="19"/>
              </w:rPr>
              <w:t>ESP32-C3 SuperMini ×3</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Prototype nodes</w:t>
            </w:r>
          </w:p>
        </w:tc>
        <w:tc>
          <w:tcPr>
            <w:tcW w:type="dxa" w:w="5510"/>
            <w:vAlign w:val="center"/>
            <w:tcMar>
              <w:top w:w="70" w:type="dxa"/>
              <w:bottom w:w="70" w:type="dxa"/>
              <w:start w:w="120" w:type="dxa"/>
              <w:end w:w="120" w:type="dxa"/>
            </w:tcMar>
          </w:tcPr>
          <w:p>
            <w:pPr>
              <w:keepNext w:val="0"/>
              <w:spacing w:after="40" w:line="252" w:lineRule="auto"/>
            </w:pPr>
            <w:r>
              <w:rPr>
                <w:rFonts w:ascii="Calibri" w:hAnsi="Calibri"/>
                <w:b w:val="0"/>
                <w:sz w:val="19"/>
              </w:rPr>
              <w:t>Two PIR nodes plus one reed-contact node. Measure actual board/regulator/LED leakage; chipset deep-sleep figures alone are insufficient.</w:t>
            </w:r>
          </w:p>
        </w:tc>
      </w:tr>
      <w:tr>
        <w:trPr>
          <w:cantSplit/>
        </w:trPr>
        <w:tc>
          <w:tcPr>
            <w:tcW w:type="dxa" w:w="2150"/>
            <w:vAlign w:val="center"/>
            <w:tcMar>
              <w:top w:w="70" w:type="dxa"/>
              <w:bottom w:w="70" w:type="dxa"/>
              <w:start w:w="120" w:type="dxa"/>
              <w:end w:w="120" w:type="dxa"/>
            </w:tcMar>
          </w:tcPr>
          <w:p>
            <w:pPr>
              <w:keepNext w:val="0"/>
              <w:spacing w:after="40" w:line="252" w:lineRule="auto"/>
            </w:pPr>
            <w:r>
              <w:rPr>
                <w:rFonts w:ascii="Calibri" w:hAnsi="Calibri"/>
                <w:b w:val="0"/>
                <w:sz w:val="19"/>
              </w:rPr>
              <w:t>ESP8266</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Not preferred</w:t>
            </w:r>
          </w:p>
        </w:tc>
        <w:tc>
          <w:tcPr>
            <w:tcW w:type="dxa" w:w="5510"/>
            <w:vAlign w:val="center"/>
            <w:tcMar>
              <w:top w:w="70" w:type="dxa"/>
              <w:bottom w:w="70" w:type="dxa"/>
              <w:start w:w="120" w:type="dxa"/>
              <w:end w:w="120" w:type="dxa"/>
            </w:tcMar>
          </w:tcPr>
          <w:p>
            <w:pPr>
              <w:keepNext w:val="0"/>
              <w:spacing w:after="40" w:line="252" w:lineRule="auto"/>
            </w:pPr>
            <w:r>
              <w:rPr>
                <w:rFonts w:ascii="Calibri" w:hAnsi="Calibri"/>
                <w:b w:val="0"/>
                <w:sz w:val="19"/>
              </w:rPr>
              <w:t>Avoid a new commercial dependency solely to save a small board cost; assess security, provisioning and maintenance together.</w:t>
            </w:r>
          </w:p>
        </w:tc>
      </w:tr>
      <w:tr>
        <w:trPr>
          <w:cantSplit/>
        </w:trPr>
        <w:tc>
          <w:tcPr>
            <w:tcW w:type="dxa" w:w="2150"/>
            <w:vAlign w:val="center"/>
            <w:tcMar>
              <w:top w:w="70" w:type="dxa"/>
              <w:bottom w:w="70" w:type="dxa"/>
              <w:start w:w="120" w:type="dxa"/>
              <w:end w:w="120" w:type="dxa"/>
            </w:tcMar>
          </w:tcPr>
          <w:p>
            <w:pPr>
              <w:keepNext w:val="0"/>
              <w:spacing w:after="40" w:line="252" w:lineRule="auto"/>
            </w:pPr>
            <w:r>
              <w:rPr>
                <w:rFonts w:ascii="Calibri" w:hAnsi="Calibri"/>
                <w:b w:val="0"/>
                <w:sz w:val="19"/>
              </w:rPr>
              <w:t>C6/H2 or newer ESP32</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Future evaluation</w:t>
            </w:r>
          </w:p>
        </w:tc>
        <w:tc>
          <w:tcPr>
            <w:tcW w:type="dxa" w:w="5510"/>
            <w:vAlign w:val="center"/>
            <w:tcMar>
              <w:top w:w="70" w:type="dxa"/>
              <w:bottom w:w="70" w:type="dxa"/>
              <w:start w:w="120" w:type="dxa"/>
              <w:end w:w="120" w:type="dxa"/>
            </w:tcMar>
          </w:tcPr>
          <w:p>
            <w:pPr>
              <w:keepNext w:val="0"/>
              <w:spacing w:after="40" w:line="252" w:lineRule="auto"/>
            </w:pPr>
            <w:r>
              <w:rPr>
                <w:rFonts w:ascii="Calibri" w:hAnsi="Calibri"/>
                <w:b w:val="0"/>
                <w:sz w:val="19"/>
              </w:rPr>
              <w:t>Change only for a measured requirement such as Thread or connectivity. New silicon is not a reason to delay the existing S3/C3 prototype.</w:t>
            </w:r>
          </w:p>
        </w:tc>
      </w:tr>
    </w:tbl>
    <w:p>
      <w:pPr>
        <w:widowControl/>
        <w:spacing w:after="20"/>
      </w:pPr>
    </w:p>
    <w:tbl>
      <w:tblPr>
        <w:tblW w:type="dxa" w:w="9360"/>
        <w:tblLayout w:type="fixed"/>
        <w:tblLook w:firstColumn="1" w:firstRow="1" w:lastColumn="0" w:lastRow="0" w:noHBand="0" w:noVBand="1" w:val="04A0"/>
        <w:jc w:val="left"/>
        <w:tblInd w:w="120" w:type="dxa"/>
      </w:tblPr>
      <w:tblGrid>
        <w:gridCol w:w="9360"/>
      </w:tblGrid>
      <w:tr>
        <w:trPr>
          <w:cantSplit/>
        </w:trPr>
        <w:tc>
          <w:tcPr>
            <w:tcW w:type="dxa" w:w="9360"/>
            <w:tcMar>
              <w:top w:w="110" w:type="dxa"/>
              <w:start w:w="120" w:type="dxa"/>
              <w:bottom w:w="110" w:type="dxa"/>
              <w:end w:w="120" w:type="dxa"/>
            </w:tcMar>
            <w:shd w:fill="F4F6F9"/>
            <w:vAlign w:val="center"/>
          </w:tcPr>
          <w:p>
            <w:pPr>
              <w:spacing w:after="40"/>
            </w:pPr>
            <w:r>
              <w:rPr>
                <w:rFonts w:ascii="Calibri" w:hAnsi="Calibri"/>
                <w:b/>
                <w:color w:val="9B1C1C"/>
                <w:sz w:val="22"/>
              </w:rPr>
              <w:t>Battery safety  Preserve the preference for recharging inside the device. Use a protected single-cell pack and a correctly engineered charger/power path. A TP4056 is not a series-pack charger; protection is not the same as load sharing. Do not promise safe charge-while-operating without testing the complete circuit. Obtain qualified battery/power review before field deployment.</w:t>
            </w:r>
          </w:p>
        </w:tc>
      </w:tr>
    </w:tbl>
    <w:p>
      <w:pPr>
        <w:widowControl/>
        <w:spacing w:after="20"/>
      </w:pPr>
    </w:p>
    <w:p>
      <w:pPr>
        <w:keepLines/>
        <w:widowControl/>
      </w:pPr>
      <w:r>
        <w:rPr>
          <w:i/>
          <w:color w:val="356779"/>
          <w:sz w:val="18"/>
        </w:rPr>
        <w:t>Power design decision: an always-listening hub consumes substantially more than sleeping event nodes. The recommended pilot is a mains/USB hub with battery backup; a battery-only hub needs a separate capacity/runtime experiment. This change must be agreed before a production power design is frozen.</w:t>
      </w:r>
    </w:p>
    <w:p>
      <w:pPr>
        <w:pStyle w:val="Heading2"/>
        <w:keepNext/>
        <w:keepLines/>
        <w:widowControl/>
      </w:pPr>
      <w:r>
        <w:rPr>
          <w:color w:val="000000"/>
        </w:rPr>
        <w:t>Planning BOM: one-home engineering prototype</w:t>
      </w:r>
    </w:p>
    <w:tbl>
      <w:tblPr>
        <w:tblStyle w:val="TableGrid"/>
        <w:tblW w:type="dxa" w:w="9360"/>
        <w:tblLayout w:type="fixed"/>
        <w:tblLook w:firstColumn="1" w:firstRow="1" w:lastColumn="0" w:lastRow="0" w:noHBand="0" w:noVBand="1" w:val="04A0"/>
        <w:jc w:val="left"/>
        <w:tblInd w:w="120" w:type="dxa"/>
      </w:tblPr>
      <w:tblGrid>
        <w:gridCol w:w="2600"/>
        <w:gridCol w:w="650"/>
        <w:gridCol w:w="2060"/>
        <w:gridCol w:w="4050"/>
      </w:tblGrid>
      <w:tr>
        <w:trPr>
          <w:tblHeader/>
          <w:cantSplit/>
        </w:trPr>
        <w:tc>
          <w:tcPr>
            <w:tcW w:type="dxa" w:w="26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Item</w:t>
            </w:r>
          </w:p>
        </w:tc>
        <w:tc>
          <w:tcPr>
            <w:tcW w:type="dxa" w:w="65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Qty</w:t>
            </w:r>
          </w:p>
        </w:tc>
        <w:tc>
          <w:tcPr>
            <w:tcW w:type="dxa" w:w="206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Planning range (INR)</w:t>
            </w:r>
          </w:p>
        </w:tc>
        <w:tc>
          <w:tcPr>
            <w:tcW w:type="dxa" w:w="405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P0 purpose / boundary</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Existing S3 hub/audio/OLED</w:t>
            </w:r>
          </w:p>
        </w:tc>
        <w:tc>
          <w:tcPr>
            <w:tcW w:type="dxa" w:w="650"/>
            <w:vAlign w:val="center"/>
            <w:tcMar>
              <w:top w:w="70" w:type="dxa"/>
              <w:bottom w:w="70" w:type="dxa"/>
              <w:start w:w="120" w:type="dxa"/>
              <w:end w:w="120" w:type="dxa"/>
            </w:tcMar>
          </w:tcPr>
          <w:p>
            <w:pPr>
              <w:keepNext w:val="0"/>
              <w:spacing w:after="40" w:line="252" w:lineRule="auto"/>
            </w:pPr>
            <w:r>
              <w:rPr>
                <w:rFonts w:ascii="Calibri" w:hAnsi="Calibri"/>
                <w:b w:val="0"/>
                <w:sz w:val="19"/>
              </w:rPr>
              <w:t>1</w:t>
            </w:r>
          </w:p>
        </w:tc>
        <w:tc>
          <w:tcPr>
            <w:tcW w:type="dxa" w:w="2060"/>
            <w:vAlign w:val="center"/>
            <w:tcMar>
              <w:top w:w="70" w:type="dxa"/>
              <w:bottom w:w="70" w:type="dxa"/>
              <w:start w:w="120" w:type="dxa"/>
              <w:end w:w="120" w:type="dxa"/>
            </w:tcMar>
          </w:tcPr>
          <w:p>
            <w:pPr>
              <w:keepNext w:val="0"/>
              <w:spacing w:after="40" w:line="252" w:lineRule="auto"/>
            </w:pPr>
            <w:r>
              <w:rPr>
                <w:rFonts w:ascii="Calibri" w:hAnsi="Calibri"/>
                <w:b w:val="0"/>
                <w:sz w:val="19"/>
              </w:rPr>
              <w:t>₹0 incremental</w:t>
            </w:r>
          </w:p>
        </w:tc>
        <w:tc>
          <w:tcPr>
            <w:tcW w:type="dxa" w:w="4050"/>
            <w:vAlign w:val="center"/>
            <w:tcMar>
              <w:top w:w="70" w:type="dxa"/>
              <w:bottom w:w="70" w:type="dxa"/>
              <w:start w:w="120" w:type="dxa"/>
              <w:end w:w="120" w:type="dxa"/>
            </w:tcMar>
          </w:tcPr>
          <w:p>
            <w:pPr>
              <w:keepNext w:val="0"/>
              <w:spacing w:after="40" w:line="252" w:lineRule="auto"/>
            </w:pPr>
            <w:r>
              <w:rPr>
                <w:rFonts w:ascii="Calibri" w:hAnsi="Calibri"/>
                <w:b w:val="0"/>
                <w:sz w:val="19"/>
              </w:rPr>
              <w:t>Reuse owned kit; replacements for pilot homes cost extra</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ESP32-C3 SuperMini</w:t>
            </w:r>
          </w:p>
        </w:tc>
        <w:tc>
          <w:tcPr>
            <w:tcW w:type="dxa" w:w="650"/>
            <w:vAlign w:val="center"/>
            <w:tcMar>
              <w:top w:w="70" w:type="dxa"/>
              <w:bottom w:w="70" w:type="dxa"/>
              <w:start w:w="120" w:type="dxa"/>
              <w:end w:w="120" w:type="dxa"/>
            </w:tcMar>
          </w:tcPr>
          <w:p>
            <w:pPr>
              <w:keepNext w:val="0"/>
              <w:spacing w:after="40" w:line="252" w:lineRule="auto"/>
            </w:pPr>
            <w:r>
              <w:rPr>
                <w:rFonts w:ascii="Calibri" w:hAnsi="Calibri"/>
                <w:b w:val="0"/>
                <w:sz w:val="19"/>
              </w:rPr>
              <w:t>3</w:t>
            </w:r>
          </w:p>
        </w:tc>
        <w:tc>
          <w:tcPr>
            <w:tcW w:type="dxa" w:w="2060"/>
            <w:vAlign w:val="center"/>
            <w:tcMar>
              <w:top w:w="70" w:type="dxa"/>
              <w:bottom w:w="70" w:type="dxa"/>
              <w:start w:w="120" w:type="dxa"/>
              <w:end w:w="120" w:type="dxa"/>
            </w:tcMar>
          </w:tcPr>
          <w:p>
            <w:pPr>
              <w:keepNext w:val="0"/>
              <w:spacing w:after="40" w:line="252" w:lineRule="auto"/>
            </w:pPr>
            <w:r>
              <w:rPr>
                <w:rFonts w:ascii="Calibri" w:hAnsi="Calibri"/>
                <w:b w:val="0"/>
                <w:sz w:val="19"/>
              </w:rPr>
              <w:t>₹900–₹1,500</w:t>
            </w:r>
          </w:p>
        </w:tc>
        <w:tc>
          <w:tcPr>
            <w:tcW w:type="dxa" w:w="4050"/>
            <w:vAlign w:val="center"/>
            <w:tcMar>
              <w:top w:w="70" w:type="dxa"/>
              <w:bottom w:w="70" w:type="dxa"/>
              <w:start w:w="120" w:type="dxa"/>
              <w:end w:w="120" w:type="dxa"/>
            </w:tcMar>
          </w:tcPr>
          <w:p>
            <w:pPr>
              <w:keepNext w:val="0"/>
              <w:spacing w:after="40" w:line="252" w:lineRule="auto"/>
            </w:pPr>
            <w:r>
              <w:rPr>
                <w:rFonts w:ascii="Calibri" w:hAnsi="Calibri"/>
                <w:b w:val="0"/>
                <w:sz w:val="19"/>
              </w:rPr>
              <w:t>Two motion nodes and one door node</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PIR sensors</w:t>
            </w:r>
          </w:p>
        </w:tc>
        <w:tc>
          <w:tcPr>
            <w:tcW w:type="dxa" w:w="650"/>
            <w:vAlign w:val="center"/>
            <w:tcMar>
              <w:top w:w="70" w:type="dxa"/>
              <w:bottom w:w="70" w:type="dxa"/>
              <w:start w:w="120" w:type="dxa"/>
              <w:end w:w="120" w:type="dxa"/>
            </w:tcMar>
          </w:tcPr>
          <w:p>
            <w:pPr>
              <w:keepNext w:val="0"/>
              <w:spacing w:after="40" w:line="252" w:lineRule="auto"/>
            </w:pPr>
            <w:r>
              <w:rPr>
                <w:rFonts w:ascii="Calibri" w:hAnsi="Calibri"/>
                <w:b w:val="0"/>
                <w:sz w:val="19"/>
              </w:rPr>
              <w:t>2</w:t>
            </w:r>
          </w:p>
        </w:tc>
        <w:tc>
          <w:tcPr>
            <w:tcW w:type="dxa" w:w="2060"/>
            <w:vAlign w:val="center"/>
            <w:tcMar>
              <w:top w:w="70" w:type="dxa"/>
              <w:bottom w:w="70" w:type="dxa"/>
              <w:start w:w="120" w:type="dxa"/>
              <w:end w:w="120" w:type="dxa"/>
            </w:tcMar>
          </w:tcPr>
          <w:p>
            <w:pPr>
              <w:keepNext w:val="0"/>
              <w:spacing w:after="40" w:line="252" w:lineRule="auto"/>
            </w:pPr>
            <w:r>
              <w:rPr>
                <w:rFonts w:ascii="Calibri" w:hAnsi="Calibri"/>
                <w:b w:val="0"/>
                <w:sz w:val="19"/>
              </w:rPr>
              <w:t>₹200–₹600</w:t>
            </w:r>
          </w:p>
        </w:tc>
        <w:tc>
          <w:tcPr>
            <w:tcW w:type="dxa" w:w="4050"/>
            <w:vAlign w:val="center"/>
            <w:tcMar>
              <w:top w:w="70" w:type="dxa"/>
              <w:bottom w:w="70" w:type="dxa"/>
              <w:start w:w="120" w:type="dxa"/>
              <w:end w:w="120" w:type="dxa"/>
            </w:tcMar>
          </w:tcPr>
          <w:p>
            <w:pPr>
              <w:keepNext w:val="0"/>
              <w:spacing w:after="40" w:line="252" w:lineRule="auto"/>
            </w:pPr>
            <w:r>
              <w:rPr>
                <w:rFonts w:ascii="Calibri" w:hAnsi="Calibri"/>
                <w:b w:val="0"/>
                <w:sz w:val="19"/>
              </w:rPr>
              <w:t>Hallway + another routine location</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Reed contact</w:t>
            </w:r>
          </w:p>
        </w:tc>
        <w:tc>
          <w:tcPr>
            <w:tcW w:type="dxa" w:w="650"/>
            <w:vAlign w:val="center"/>
            <w:tcMar>
              <w:top w:w="70" w:type="dxa"/>
              <w:bottom w:w="70" w:type="dxa"/>
              <w:start w:w="120" w:type="dxa"/>
              <w:end w:w="120" w:type="dxa"/>
            </w:tcMar>
          </w:tcPr>
          <w:p>
            <w:pPr>
              <w:keepNext w:val="0"/>
              <w:spacing w:after="40" w:line="252" w:lineRule="auto"/>
            </w:pPr>
            <w:r>
              <w:rPr>
                <w:rFonts w:ascii="Calibri" w:hAnsi="Calibri"/>
                <w:b w:val="0"/>
                <w:sz w:val="19"/>
              </w:rPr>
              <w:t>1</w:t>
            </w:r>
          </w:p>
        </w:tc>
        <w:tc>
          <w:tcPr>
            <w:tcW w:type="dxa" w:w="2060"/>
            <w:vAlign w:val="center"/>
            <w:tcMar>
              <w:top w:w="70" w:type="dxa"/>
              <w:bottom w:w="70" w:type="dxa"/>
              <w:start w:w="120" w:type="dxa"/>
              <w:end w:w="120" w:type="dxa"/>
            </w:tcMar>
          </w:tcPr>
          <w:p>
            <w:pPr>
              <w:keepNext w:val="0"/>
              <w:spacing w:after="40" w:line="252" w:lineRule="auto"/>
            </w:pPr>
            <w:r>
              <w:rPr>
                <w:rFonts w:ascii="Calibri" w:hAnsi="Calibri"/>
                <w:b w:val="0"/>
                <w:sz w:val="19"/>
              </w:rPr>
              <w:t>₹75–₹200</w:t>
            </w:r>
          </w:p>
        </w:tc>
        <w:tc>
          <w:tcPr>
            <w:tcW w:type="dxa" w:w="4050"/>
            <w:vAlign w:val="center"/>
            <w:tcMar>
              <w:top w:w="70" w:type="dxa"/>
              <w:bottom w:w="70" w:type="dxa"/>
              <w:start w:w="120" w:type="dxa"/>
              <w:end w:w="120" w:type="dxa"/>
            </w:tcMar>
          </w:tcPr>
          <w:p>
            <w:pPr>
              <w:keepNext w:val="0"/>
              <w:spacing w:after="40" w:line="252" w:lineRule="auto"/>
            </w:pPr>
            <w:r>
              <w:rPr>
                <w:rFonts w:ascii="Calibri" w:hAnsi="Calibri"/>
                <w:b w:val="0"/>
                <w:sz w:val="19"/>
              </w:rPr>
              <w:t>Main door</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Leak sensing</w:t>
            </w:r>
          </w:p>
        </w:tc>
        <w:tc>
          <w:tcPr>
            <w:tcW w:type="dxa" w:w="650"/>
            <w:vAlign w:val="center"/>
            <w:tcMar>
              <w:top w:w="70" w:type="dxa"/>
              <w:bottom w:w="70" w:type="dxa"/>
              <w:start w:w="120" w:type="dxa"/>
              <w:end w:w="120" w:type="dxa"/>
            </w:tcMar>
          </w:tcPr>
          <w:p>
            <w:pPr>
              <w:keepNext w:val="0"/>
              <w:spacing w:after="40" w:line="252" w:lineRule="auto"/>
            </w:pPr>
            <w:r>
              <w:rPr>
                <w:rFonts w:ascii="Calibri" w:hAnsi="Calibri"/>
                <w:b w:val="0"/>
                <w:sz w:val="19"/>
              </w:rPr>
              <w:t>0</w:t>
            </w:r>
          </w:p>
        </w:tc>
        <w:tc>
          <w:tcPr>
            <w:tcW w:type="dxa" w:w="2060"/>
            <w:vAlign w:val="center"/>
            <w:tcMar>
              <w:top w:w="70" w:type="dxa"/>
              <w:bottom w:w="70" w:type="dxa"/>
              <w:start w:w="120" w:type="dxa"/>
              <w:end w:w="120" w:type="dxa"/>
            </w:tcMar>
          </w:tcPr>
          <w:p>
            <w:pPr>
              <w:keepNext w:val="0"/>
              <w:spacing w:after="40" w:line="252" w:lineRule="auto"/>
            </w:pPr>
            <w:r>
              <w:rPr>
                <w:rFonts w:ascii="Calibri" w:hAnsi="Calibri"/>
                <w:b w:val="0"/>
                <w:sz w:val="19"/>
              </w:rPr>
              <w:t>₹0 in P0</w:t>
            </w:r>
          </w:p>
        </w:tc>
        <w:tc>
          <w:tcPr>
            <w:tcW w:type="dxa" w:w="4050"/>
            <w:vAlign w:val="center"/>
            <w:tcMar>
              <w:top w:w="70" w:type="dxa"/>
              <w:bottom w:w="70" w:type="dxa"/>
              <w:start w:w="120" w:type="dxa"/>
              <w:end w:w="120" w:type="dxa"/>
            </w:tcMar>
          </w:tcPr>
          <w:p>
            <w:pPr>
              <w:keepNext w:val="0"/>
              <w:spacing w:after="40" w:line="252" w:lineRule="auto"/>
            </w:pPr>
            <w:r>
              <w:rPr>
                <w:rFonts w:ascii="Calibri" w:hAnsi="Calibri"/>
                <w:b w:val="0"/>
                <w:sz w:val="19"/>
              </w:rPr>
              <w:t>Optional P1; price separately</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Temperature/humidity</w:t>
            </w:r>
          </w:p>
        </w:tc>
        <w:tc>
          <w:tcPr>
            <w:tcW w:type="dxa" w:w="650"/>
            <w:vAlign w:val="center"/>
            <w:tcMar>
              <w:top w:w="70" w:type="dxa"/>
              <w:bottom w:w="70" w:type="dxa"/>
              <w:start w:w="120" w:type="dxa"/>
              <w:end w:w="120" w:type="dxa"/>
            </w:tcMar>
          </w:tcPr>
          <w:p>
            <w:pPr>
              <w:keepNext w:val="0"/>
              <w:spacing w:after="40" w:line="252" w:lineRule="auto"/>
            </w:pPr>
            <w:r>
              <w:rPr>
                <w:rFonts w:ascii="Calibri" w:hAnsi="Calibri"/>
                <w:b w:val="0"/>
                <w:sz w:val="19"/>
              </w:rPr>
              <w:t>0</w:t>
            </w:r>
          </w:p>
        </w:tc>
        <w:tc>
          <w:tcPr>
            <w:tcW w:type="dxa" w:w="2060"/>
            <w:vAlign w:val="center"/>
            <w:tcMar>
              <w:top w:w="70" w:type="dxa"/>
              <w:bottom w:w="70" w:type="dxa"/>
              <w:start w:w="120" w:type="dxa"/>
              <w:end w:w="120" w:type="dxa"/>
            </w:tcMar>
          </w:tcPr>
          <w:p>
            <w:pPr>
              <w:keepNext w:val="0"/>
              <w:spacing w:after="40" w:line="252" w:lineRule="auto"/>
            </w:pPr>
            <w:r>
              <w:rPr>
                <w:rFonts w:ascii="Calibri" w:hAnsi="Calibri"/>
                <w:b w:val="0"/>
                <w:sz w:val="19"/>
              </w:rPr>
              <w:t>₹0 in P0</w:t>
            </w:r>
          </w:p>
        </w:tc>
        <w:tc>
          <w:tcPr>
            <w:tcW w:type="dxa" w:w="4050"/>
            <w:vAlign w:val="center"/>
            <w:tcMar>
              <w:top w:w="70" w:type="dxa"/>
              <w:bottom w:w="70" w:type="dxa"/>
              <w:start w:w="120" w:type="dxa"/>
              <w:end w:w="120" w:type="dxa"/>
            </w:tcMar>
          </w:tcPr>
          <w:p>
            <w:pPr>
              <w:keepNext w:val="0"/>
              <w:spacing w:after="40" w:line="252" w:lineRule="auto"/>
            </w:pPr>
            <w:r>
              <w:rPr>
                <w:rFonts w:ascii="Calibri" w:hAnsi="Calibri"/>
                <w:b w:val="0"/>
                <w:sz w:val="19"/>
              </w:rPr>
              <w:t>Optional P1; not required for check-in</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Protected power/charging parts</w:t>
            </w:r>
          </w:p>
        </w:tc>
        <w:tc>
          <w:tcPr>
            <w:tcW w:type="dxa" w:w="650"/>
            <w:vAlign w:val="center"/>
            <w:tcMar>
              <w:top w:w="70" w:type="dxa"/>
              <w:bottom w:w="70" w:type="dxa"/>
              <w:start w:w="120" w:type="dxa"/>
              <w:end w:w="120" w:type="dxa"/>
            </w:tcMar>
          </w:tcPr>
          <w:p>
            <w:pPr>
              <w:keepNext w:val="0"/>
              <w:spacing w:after="40" w:line="252" w:lineRule="auto"/>
            </w:pPr>
            <w:r>
              <w:rPr>
                <w:rFonts w:ascii="Calibri" w:hAnsi="Calibri"/>
                <w:b w:val="0"/>
                <w:sz w:val="19"/>
              </w:rPr>
              <w:t>1 set</w:t>
            </w:r>
          </w:p>
        </w:tc>
        <w:tc>
          <w:tcPr>
            <w:tcW w:type="dxa" w:w="2060"/>
            <w:vAlign w:val="center"/>
            <w:tcMar>
              <w:top w:w="70" w:type="dxa"/>
              <w:bottom w:w="70" w:type="dxa"/>
              <w:start w:w="120" w:type="dxa"/>
              <w:end w:w="120" w:type="dxa"/>
            </w:tcMar>
          </w:tcPr>
          <w:p>
            <w:pPr>
              <w:keepNext w:val="0"/>
              <w:spacing w:after="40" w:line="252" w:lineRule="auto"/>
            </w:pPr>
            <w:r>
              <w:rPr>
                <w:rFonts w:ascii="Calibri" w:hAnsi="Calibri"/>
                <w:b w:val="0"/>
                <w:sz w:val="19"/>
              </w:rPr>
              <w:t>₹1,500–₹3,000</w:t>
            </w:r>
          </w:p>
        </w:tc>
        <w:tc>
          <w:tcPr>
            <w:tcW w:type="dxa" w:w="4050"/>
            <w:vAlign w:val="center"/>
            <w:tcMar>
              <w:top w:w="70" w:type="dxa"/>
              <w:bottom w:w="70" w:type="dxa"/>
              <w:start w:w="120" w:type="dxa"/>
              <w:end w:w="120" w:type="dxa"/>
            </w:tcMar>
          </w:tcPr>
          <w:p>
            <w:pPr>
              <w:keepNext w:val="0"/>
              <w:spacing w:after="40" w:line="252" w:lineRule="auto"/>
            </w:pPr>
            <w:r>
              <w:rPr>
                <w:rFonts w:ascii="Calibri" w:hAnsi="Calibri"/>
                <w:b w:val="0"/>
                <w:sz w:val="19"/>
              </w:rPr>
              <w:t>Node packs plus hub-backup experiments</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Button, enclosures, wiring</w:t>
            </w:r>
          </w:p>
        </w:tc>
        <w:tc>
          <w:tcPr>
            <w:tcW w:type="dxa" w:w="650"/>
            <w:vAlign w:val="center"/>
            <w:tcMar>
              <w:top w:w="70" w:type="dxa"/>
              <w:bottom w:w="70" w:type="dxa"/>
              <w:start w:w="120" w:type="dxa"/>
              <w:end w:w="120" w:type="dxa"/>
            </w:tcMar>
          </w:tcPr>
          <w:p>
            <w:pPr>
              <w:keepNext w:val="0"/>
              <w:spacing w:after="40" w:line="252" w:lineRule="auto"/>
            </w:pPr>
            <w:r>
              <w:rPr>
                <w:rFonts w:ascii="Calibri" w:hAnsi="Calibri"/>
                <w:b w:val="0"/>
                <w:sz w:val="19"/>
              </w:rPr>
              <w:t>1 set</w:t>
            </w:r>
          </w:p>
        </w:tc>
        <w:tc>
          <w:tcPr>
            <w:tcW w:type="dxa" w:w="2060"/>
            <w:vAlign w:val="center"/>
            <w:tcMar>
              <w:top w:w="70" w:type="dxa"/>
              <w:bottom w:w="70" w:type="dxa"/>
              <w:start w:w="120" w:type="dxa"/>
              <w:end w:w="120" w:type="dxa"/>
            </w:tcMar>
          </w:tcPr>
          <w:p>
            <w:pPr>
              <w:keepNext w:val="0"/>
              <w:spacing w:after="40" w:line="252" w:lineRule="auto"/>
            </w:pPr>
            <w:r>
              <w:rPr>
                <w:rFonts w:ascii="Calibri" w:hAnsi="Calibri"/>
                <w:b w:val="0"/>
                <w:sz w:val="19"/>
              </w:rPr>
              <w:t>₹1,000–₹2,500</w:t>
            </w:r>
          </w:p>
        </w:tc>
        <w:tc>
          <w:tcPr>
            <w:tcW w:type="dxa" w:w="4050"/>
            <w:vAlign w:val="center"/>
            <w:tcMar>
              <w:top w:w="70" w:type="dxa"/>
              <w:bottom w:w="70" w:type="dxa"/>
              <w:start w:w="120" w:type="dxa"/>
              <w:end w:w="120" w:type="dxa"/>
            </w:tcMar>
          </w:tcPr>
          <w:p>
            <w:pPr>
              <w:keepNext w:val="0"/>
              <w:spacing w:after="40" w:line="252" w:lineRule="auto"/>
            </w:pPr>
            <w:r>
              <w:rPr>
                <w:rFonts w:ascii="Calibri" w:hAnsi="Calibri"/>
                <w:b w:val="0"/>
                <w:sz w:val="19"/>
              </w:rPr>
              <w:t>Exclude a new meter and engineering time</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Incremental P0 total</w:t>
            </w:r>
          </w:p>
        </w:tc>
        <w:tc>
          <w:tcPr>
            <w:tcW w:type="dxa" w:w="650"/>
            <w:vAlign w:val="center"/>
            <w:tcMar>
              <w:top w:w="70" w:type="dxa"/>
              <w:bottom w:w="70" w:type="dxa"/>
              <w:start w:w="120" w:type="dxa"/>
              <w:end w:w="120" w:type="dxa"/>
            </w:tcMar>
          </w:tcPr>
          <w:p>
            <w:pPr>
              <w:keepNext w:val="0"/>
              <w:spacing w:after="40" w:line="252" w:lineRule="auto"/>
            </w:pPr>
            <w:r>
              <w:rPr>
                <w:rFonts w:ascii="Calibri" w:hAnsi="Calibri"/>
                <w:b w:val="0"/>
                <w:sz w:val="19"/>
              </w:rPr>
            </w:r>
          </w:p>
        </w:tc>
        <w:tc>
          <w:tcPr>
            <w:tcW w:type="dxa" w:w="2060"/>
            <w:vAlign w:val="center"/>
            <w:tcMar>
              <w:top w:w="70" w:type="dxa"/>
              <w:bottom w:w="70" w:type="dxa"/>
              <w:start w:w="120" w:type="dxa"/>
              <w:end w:w="120" w:type="dxa"/>
            </w:tcMar>
          </w:tcPr>
          <w:p>
            <w:pPr>
              <w:keepNext w:val="0"/>
              <w:spacing w:after="40" w:line="252" w:lineRule="auto"/>
            </w:pPr>
            <w:commentRangeStart w:id="3"/>
            <w:r>
              <w:rPr>
                <w:rFonts w:ascii="Calibri" w:hAnsi="Calibri"/>
                <w:b w:val="0"/>
                <w:sz w:val="19"/>
              </w:rPr>
              <w:t>₹3,675–₹7,800</w:t>
            </w:r>
            <w:commentRangeEnd w:id="3"/>
            <w:r>
              <w:rPr>
                <w:rStyle w:val="CommentReference"/>
              </w:rPr>
              <w:commentReference w:id="3"/>
            </w:r>
          </w:p>
        </w:tc>
        <w:tc>
          <w:tcPr>
            <w:tcW w:type="dxa" w:w="4050"/>
            <w:vAlign w:val="center"/>
            <w:tcMar>
              <w:top w:w="70" w:type="dxa"/>
              <w:bottom w:w="70" w:type="dxa"/>
              <w:start w:w="120" w:type="dxa"/>
              <w:end w:w="120" w:type="dxa"/>
            </w:tcMar>
          </w:tcPr>
          <w:p>
            <w:pPr>
              <w:keepNext w:val="0"/>
              <w:spacing w:after="40" w:line="252" w:lineRule="auto"/>
            </w:pPr>
            <w:r>
              <w:rPr>
                <w:rFonts w:ascii="Calibri" w:hAnsi="Calibri"/>
                <w:b w:val="0"/>
                <w:sz w:val="19"/>
              </w:rPr>
              <w:t>Planning arithmetic, not supplier quotes; allow shipping/spares</w:t>
            </w:r>
          </w:p>
        </w:tc>
      </w:tr>
    </w:tbl>
    <w:p>
      <w:pPr>
        <w:widowControl/>
        <w:spacing w:after="20"/>
      </w:pPr>
    </w:p>
    <w:p>
      <w:pPr>
        <w:keepLines/>
        <w:widowControl/>
      </w:pPr>
      <w:r>
        <w:rPr>
          <w:rFonts w:ascii="Calibri" w:hAnsi="Calibri"/>
          <w:sz w:val="22"/>
        </w:rPr>
        <w:t>Plan roughly ₹80,000–₹1.5 lakh for ten homes’ pilot hardware, replacement hubs and spares; obtain itemised quotes before spending. These are engineering-pilot costs, not volume COGS. Reuse the first prototype to validate placement, alerts and power before a custom low-power PCB. Existing owned cells/boards may reduce incremental cash, but production costing must include every part.</w:t>
      </w:r>
    </w:p>
    <w:p>
      <w:pPr>
        <w:pStyle w:val="Heading1"/>
        <w:keepNext/>
        <w:keepLines/>
        <w:pageBreakBefore/>
        <w:widowControl/>
      </w:pPr>
      <w:r>
        <w:rPr>
          <w:color w:val="000000"/>
        </w:rPr>
        <w:t>Commercial model</w:t>
      </w:r>
    </w:p>
    <w:p>
      <w:pPr>
        <w:pStyle w:val="Heading2"/>
        <w:keepNext/>
        <w:keepLines/>
        <w:widowControl/>
      </w:pPr>
      <w:r>
        <w:rPr>
          <w:color w:val="000000"/>
        </w:rPr>
        <w:t>India pricing hypothesis</w:t>
      </w:r>
    </w:p>
    <w:tbl>
      <w:tblPr>
        <w:tblStyle w:val="TableGrid"/>
        <w:tblW w:type="dxa" w:w="9360"/>
        <w:tblLayout w:type="fixed"/>
        <w:tblLook w:firstColumn="1" w:firstRow="1" w:lastColumn="0" w:lastRow="0" w:noHBand="0" w:noVBand="1" w:val="04A0"/>
        <w:jc w:val="left"/>
        <w:tblInd w:w="120" w:type="dxa"/>
      </w:tblPr>
      <w:tblGrid>
        <w:gridCol w:w="2100"/>
        <w:gridCol w:w="2200"/>
        <w:gridCol w:w="5060"/>
      </w:tblGrid>
      <w:tr>
        <w:trPr>
          <w:tblHeader/>
          <w:cantSplit/>
        </w:trPr>
        <w:tc>
          <w:tcPr>
            <w:tcW w:type="dxa" w:w="21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Offer</w:t>
            </w:r>
          </w:p>
        </w:tc>
        <w:tc>
          <w:tcPr>
            <w:tcW w:type="dxa" w:w="22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Price hypothesis</w:t>
            </w:r>
          </w:p>
        </w:tc>
        <w:tc>
          <w:tcPr>
            <w:tcW w:type="dxa" w:w="506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Scope / decision</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Family core</w:t>
            </w:r>
          </w:p>
        </w:tc>
        <w:tc>
          <w:tcPr>
            <w:tcW w:type="dxa" w:w="2200"/>
            <w:vAlign w:val="center"/>
            <w:tcMar>
              <w:top w:w="70" w:type="dxa"/>
              <w:bottom w:w="70" w:type="dxa"/>
              <w:start w:w="120" w:type="dxa"/>
              <w:end w:w="120" w:type="dxa"/>
            </w:tcMar>
          </w:tcPr>
          <w:p>
            <w:pPr>
              <w:keepNext w:val="0"/>
              <w:spacing w:after="40" w:line="252" w:lineRule="auto"/>
            </w:pPr>
            <w:r>
              <w:rPr>
                <w:rFonts w:ascii="Calibri" w:hAnsi="Calibri"/>
                <w:b w:val="0"/>
                <w:sz w:val="19"/>
              </w:rPr>
              <w:t>₹9,999–₹11,999</w:t>
            </w:r>
          </w:p>
        </w:tc>
        <w:tc>
          <w:tcPr>
            <w:tcW w:type="dxa" w:w="5060"/>
            <w:vAlign w:val="center"/>
            <w:tcMar>
              <w:top w:w="70" w:type="dxa"/>
              <w:bottom w:w="70" w:type="dxa"/>
              <w:start w:w="120" w:type="dxa"/>
              <w:end w:w="120" w:type="dxa"/>
            </w:tcMar>
          </w:tcPr>
          <w:p>
            <w:pPr>
              <w:keepNext w:val="0"/>
              <w:spacing w:after="40" w:line="252" w:lineRule="auto"/>
            </w:pPr>
            <w:r>
              <w:rPr>
                <w:rFonts w:ascii="Calibri" w:hAnsi="Calibri"/>
                <w:b w:val="0"/>
                <w:sz w:val="19"/>
              </w:rPr>
              <w:t>Consumer price range to test, not a validated price. Hub + 3 nodes; final tax and service terms disclosed before purchase.</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Lite</w:t>
            </w:r>
          </w:p>
        </w:tc>
        <w:tc>
          <w:tcPr>
            <w:tcW w:type="dxa" w:w="2200"/>
            <w:vAlign w:val="center"/>
            <w:tcMar>
              <w:top w:w="70" w:type="dxa"/>
              <w:bottom w:w="70" w:type="dxa"/>
              <w:start w:w="120" w:type="dxa"/>
              <w:end w:w="120" w:type="dxa"/>
            </w:tcMar>
          </w:tcPr>
          <w:p>
            <w:pPr>
              <w:keepNext w:val="0"/>
              <w:spacing w:after="40" w:line="252" w:lineRule="auto"/>
            </w:pPr>
            <w:r>
              <w:rPr>
                <w:rFonts w:ascii="Calibri" w:hAnsi="Calibri"/>
                <w:b w:val="0"/>
                <w:sz w:val="19"/>
              </w:rPr>
              <w:t>₹6,999 — hold</w:t>
            </w:r>
          </w:p>
        </w:tc>
        <w:tc>
          <w:tcPr>
            <w:tcW w:type="dxa" w:w="5060"/>
            <w:vAlign w:val="center"/>
            <w:tcMar>
              <w:top w:w="70" w:type="dxa"/>
              <w:bottom w:w="70" w:type="dxa"/>
              <w:start w:w="120" w:type="dxa"/>
              <w:end w:w="120" w:type="dxa"/>
            </w:tcMar>
          </w:tcPr>
          <w:p>
            <w:pPr>
              <w:keepNext w:val="0"/>
              <w:spacing w:after="40" w:line="252" w:lineRule="auto"/>
            </w:pPr>
            <w:r>
              <w:rPr>
                <w:rFonts w:ascii="Calibri" w:hAnsi="Calibri"/>
                <w:b w:val="0"/>
                <w:sz w:val="19"/>
              </w:rPr>
              <w:t>Do not launch at this price with a ₹4,500 COGS assumption. Requires a materially cheaper/smaller kit or a separately validated subsidy model.</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Local assisted installation</w:t>
            </w:r>
          </w:p>
        </w:tc>
        <w:tc>
          <w:tcPr>
            <w:tcW w:type="dxa" w:w="2200"/>
            <w:vAlign w:val="center"/>
            <w:tcMar>
              <w:top w:w="70" w:type="dxa"/>
              <w:bottom w:w="70" w:type="dxa"/>
              <w:start w:w="120" w:type="dxa"/>
              <w:end w:w="120" w:type="dxa"/>
            </w:tcMar>
          </w:tcPr>
          <w:p>
            <w:pPr>
              <w:keepNext w:val="0"/>
              <w:spacing w:after="40" w:line="252" w:lineRule="auto"/>
            </w:pPr>
            <w:r>
              <w:rPr>
                <w:rFonts w:ascii="Calibri" w:hAnsi="Calibri"/>
                <w:b w:val="0"/>
                <w:sz w:val="19"/>
              </w:rPr>
              <w:t>Separate quote</w:t>
            </w:r>
          </w:p>
        </w:tc>
        <w:tc>
          <w:tcPr>
            <w:tcW w:type="dxa" w:w="5060"/>
            <w:vAlign w:val="center"/>
            <w:tcMar>
              <w:top w:w="70" w:type="dxa"/>
              <w:bottom w:w="70" w:type="dxa"/>
              <w:start w:w="120" w:type="dxa"/>
              <w:end w:w="120" w:type="dxa"/>
            </w:tcMar>
          </w:tcPr>
          <w:p>
            <w:pPr>
              <w:keepNext w:val="0"/>
              <w:spacing w:after="40" w:line="252" w:lineRule="auto"/>
            </w:pPr>
            <w:r>
              <w:rPr>
                <w:rFonts w:ascii="Calibri" w:hAnsi="Calibri"/>
                <w:b w:val="0"/>
                <w:sz w:val="19"/>
              </w:rPr>
              <w:t>One-city service only at first. Price travel, labour and follow-up; ₹14,999 bundle remains unvalidated.</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Optional Family Plus</w:t>
            </w:r>
          </w:p>
        </w:tc>
        <w:tc>
          <w:tcPr>
            <w:tcW w:type="dxa" w:w="2200"/>
            <w:vAlign w:val="center"/>
            <w:tcMar>
              <w:top w:w="70" w:type="dxa"/>
              <w:bottom w:w="70" w:type="dxa"/>
              <w:start w:w="120" w:type="dxa"/>
              <w:end w:w="120" w:type="dxa"/>
            </w:tcMar>
          </w:tcPr>
          <w:p>
            <w:pPr>
              <w:keepNext w:val="0"/>
              <w:spacing w:after="40" w:line="252" w:lineRule="auto"/>
            </w:pPr>
            <w:r>
              <w:rPr>
                <w:rFonts w:ascii="Calibri" w:hAnsi="Calibri"/>
                <w:b w:val="0"/>
                <w:sz w:val="19"/>
              </w:rPr>
              <w:t>₹299/month — test</w:t>
            </w:r>
          </w:p>
        </w:tc>
        <w:tc>
          <w:tcPr>
            <w:tcW w:type="dxa" w:w="5060"/>
            <w:vAlign w:val="center"/>
            <w:tcMar>
              <w:top w:w="70" w:type="dxa"/>
              <w:bottom w:w="70" w:type="dxa"/>
              <w:start w:w="120" w:type="dxa"/>
              <w:end w:w="120" w:type="dxa"/>
            </w:tcMar>
          </w:tcPr>
          <w:p>
            <w:pPr>
              <w:keepNext w:val="0"/>
              <w:spacing w:after="40" w:line="252" w:lineRule="auto"/>
            </w:pPr>
            <w:r>
              <w:rPr>
                <w:rFonts w:ascii="Calibri" w:hAnsi="Calibri"/>
                <w:b w:val="0"/>
                <w:sz w:val="19"/>
              </w:rPr>
              <w:t>Limited messaging/history/support features. Define usage caps; never promise unlimited phone/SMS or human emergency response.</w:t>
            </w:r>
          </w:p>
        </w:tc>
      </w:tr>
    </w:tbl>
    <w:p>
      <w:pPr>
        <w:widowControl/>
        <w:spacing w:after="20"/>
      </w:pPr>
    </w:p>
    <w:p>
      <w:pPr>
        <w:keepLines/>
        <w:widowControl/>
      </w:pPr>
      <w:r>
        <w:rPr>
          <w:i/>
          <w:color w:val="356779"/>
          <w:sz w:val="18"/>
        </w:rPr>
        <w:t>Service boundary: local observation, local button feedback and device-health indication remain usable without a subscription. Remote push requires an operated backend. Define a funded included-service term and renewal price before sale; do not promise lifetime free remote monitoring. Core warning clarity and resident controls must not be paywalled.</w:t>
      </w:r>
    </w:p>
    <w:p>
      <w:pPr>
        <w:pStyle w:val="Heading2"/>
        <w:keepNext/>
        <w:keepLines/>
        <w:widowControl/>
      </w:pPr>
      <w:r>
        <w:rPr>
          <w:color w:val="000000"/>
        </w:rPr>
        <w:t>Foreign-market hypothesis</w:t>
      </w:r>
    </w:p>
    <w:tbl>
      <w:tblPr>
        <w:tblStyle w:val="TableGrid"/>
        <w:tblW w:type="dxa" w:w="9360"/>
        <w:tblLayout w:type="fixed"/>
        <w:tblLook w:firstColumn="1" w:firstRow="1" w:lastColumn="0" w:lastRow="0" w:noHBand="0" w:noVBand="1" w:val="04A0"/>
        <w:jc w:val="left"/>
        <w:tblInd w:w="120" w:type="dxa"/>
      </w:tblPr>
      <w:tblGrid>
        <w:gridCol w:w="2100"/>
        <w:gridCol w:w="1700"/>
        <w:gridCol w:w="5560"/>
      </w:tblGrid>
      <w:tr>
        <w:trPr>
          <w:tblHeader/>
          <w:cantSplit/>
        </w:trPr>
        <w:tc>
          <w:tcPr>
            <w:tcW w:type="dxa" w:w="21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Offer</w:t>
            </w:r>
          </w:p>
        </w:tc>
        <w:tc>
          <w:tcPr>
            <w:tcW w:type="dxa" w:w="17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Earlier hypothesis</w:t>
            </w:r>
          </w:p>
        </w:tc>
        <w:tc>
          <w:tcPr>
            <w:tcW w:type="dxa" w:w="556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Updated treatment</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Starter</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$149 / €159</w:t>
            </w:r>
          </w:p>
        </w:tc>
        <w:tc>
          <w:tcPr>
            <w:tcW w:type="dxa" w:w="5560"/>
            <w:vAlign w:val="center"/>
            <w:tcMar>
              <w:top w:w="70" w:type="dxa"/>
              <w:bottom w:w="70" w:type="dxa"/>
              <w:start w:w="120" w:type="dxa"/>
              <w:end w:w="120" w:type="dxa"/>
            </w:tcMar>
          </w:tcPr>
          <w:p>
            <w:pPr>
              <w:keepNext w:val="0"/>
              <w:spacing w:after="40" w:line="252" w:lineRule="auto"/>
            </w:pPr>
            <w:r>
              <w:rPr>
                <w:rFonts w:ascii="Calibri" w:hAnsi="Calibri"/>
                <w:b w:val="0"/>
                <w:sz w:val="19"/>
              </w:rPr>
              <w:t>Hold as a research anchor, not a launch quote. Recalculate net revenue, freight, taxes, returns, certification and support for each country.</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Extra event node</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$29–$39</w:t>
            </w:r>
          </w:p>
        </w:tc>
        <w:tc>
          <w:tcPr>
            <w:tcW w:type="dxa" w:w="5560"/>
            <w:vAlign w:val="center"/>
            <w:tcMar>
              <w:top w:w="70" w:type="dxa"/>
              <w:bottom w:w="70" w:type="dxa"/>
              <w:start w:w="120" w:type="dxa"/>
              <w:end w:w="120" w:type="dxa"/>
            </w:tcMar>
          </w:tcPr>
          <w:p>
            <w:pPr>
              <w:keepNext w:val="0"/>
              <w:spacing w:after="40" w:line="252" w:lineRule="auto"/>
            </w:pPr>
            <w:r>
              <w:rPr>
                <w:rFonts w:ascii="Calibri" w:hAnsi="Calibri"/>
                <w:b w:val="0"/>
                <w:sz w:val="19"/>
              </w:rPr>
              <w:t>Unvalidated; depends on landed cost and channel margin.</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Powered presence node</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$49–$69</w:t>
            </w:r>
          </w:p>
        </w:tc>
        <w:tc>
          <w:tcPr>
            <w:tcW w:type="dxa" w:w="5560"/>
            <w:vAlign w:val="center"/>
            <w:tcMar>
              <w:top w:w="70" w:type="dxa"/>
              <w:bottom w:w="70" w:type="dxa"/>
              <w:start w:w="120" w:type="dxa"/>
              <w:end w:w="120" w:type="dxa"/>
            </w:tcMar>
          </w:tcPr>
          <w:p>
            <w:pPr>
              <w:keepNext w:val="0"/>
              <w:spacing w:after="40" w:line="252" w:lineRule="auto"/>
            </w:pPr>
            <w:r>
              <w:rPr>
                <w:rFonts w:ascii="Calibri" w:hAnsi="Calibri"/>
                <w:b w:val="0"/>
                <w:sz w:val="19"/>
              </w:rPr>
              <w:t>Defer until a measured sensing gap justifies additional complexity.</w:t>
            </w:r>
          </w:p>
        </w:tc>
      </w:tr>
      <w:tr>
        <w:trPr>
          <w:cantSplit/>
        </w:trPr>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Family Plus</w:t>
            </w:r>
          </w:p>
        </w:tc>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$5.99/month</w:t>
            </w:r>
          </w:p>
        </w:tc>
        <w:tc>
          <w:tcPr>
            <w:tcW w:type="dxa" w:w="5560"/>
            <w:vAlign w:val="center"/>
            <w:tcMar>
              <w:top w:w="70" w:type="dxa"/>
              <w:bottom w:w="70" w:type="dxa"/>
              <w:start w:w="120" w:type="dxa"/>
              <w:end w:w="120" w:type="dxa"/>
            </w:tcMar>
          </w:tcPr>
          <w:p>
            <w:pPr>
              <w:keepNext w:val="0"/>
              <w:spacing w:after="40" w:line="252" w:lineRule="auto"/>
            </w:pPr>
            <w:r>
              <w:rPr>
                <w:rFonts w:ascii="Calibri" w:hAnsi="Calibri"/>
                <w:b w:val="0"/>
                <w:sz w:val="19"/>
              </w:rPr>
              <w:t>Unvalidated; cost service levels and local messaging before offering.</w:t>
            </w:r>
          </w:p>
        </w:tc>
      </w:tr>
    </w:tbl>
    <w:p>
      <w:pPr>
        <w:widowControl/>
        <w:spacing w:after="20"/>
      </w:pPr>
    </w:p>
    <w:p>
      <w:pPr>
        <w:keepLines/>
        <w:widowControl/>
      </w:pPr>
      <w:r>
        <w:rPr>
          <w:rFonts w:ascii="Calibri" w:hAnsi="Calibri"/>
          <w:sz w:val="22"/>
        </w:rPr>
        <w:t>Illustration only: 1,000 kits at ₹9,999 create ₹99.99 lakh of customer billings, not necessarily revenue. With an illustrative 18% tax included, net hardware revenue is ₹84.74 lakh. A 30% attach rate at ₹299/month gives ₹10.76 lakh annualised subscription billings, not profit or a forecast. Actual tax classification, churn, service start dates and collection must be modelled.</w:t>
      </w:r>
    </w:p>
    <w:p>
      <w:pPr>
        <w:pStyle w:val="Heading2"/>
        <w:keepNext/>
        <w:keepLines/>
        <w:widowControl/>
      </w:pPr>
      <w:r>
        <w:rPr>
          <w:color w:val="000000"/>
        </w:rPr>
        <w:t>Cost and margin gates</w:t>
      </w:r>
    </w:p>
    <w:p>
      <w:pPr>
        <w:pStyle w:val="ListBullet"/>
        <w:keepLines/>
        <w:widowControl/>
        <w:spacing w:after="100" w:line="280" w:lineRule="auto"/>
        <w:ind w:left="720" w:hanging="360"/>
      </w:pPr>
      <w:r>
        <w:rPr>
          <w:rFonts w:ascii="Calibri" w:hAnsi="Calibri"/>
          <w:sz w:val="22"/>
        </w:rPr>
        <w:t>Production COGS must include all hardware, assembly, test yield, packaging and inbound freight; use recoverable input tax consistently. ₹4,500 is a target assumption, not a verified manufacturing quote.</w:t>
      </w:r>
    </w:p>
    <w:p>
      <w:pPr>
        <w:pStyle w:val="ListBullet"/>
        <w:keepLines/>
        <w:widowControl/>
        <w:spacing w:after="100" w:line="280" w:lineRule="auto"/>
        <w:ind w:left="720" w:hanging="360"/>
      </w:pPr>
      <w:r>
        <w:rPr>
          <w:rFonts w:ascii="Calibri" w:hAnsi="Calibri"/>
          <w:sz w:val="22"/>
        </w:rPr>
        <w:t>Target 55% hardware gross margin on net-of-tax revenue, before fulfilment, payment, returns, acquisition and service costs. Target 30–35% contribution only after those costs are explicitly modelled.</w:t>
      </w:r>
    </w:p>
    <w:p>
      <w:pPr>
        <w:pStyle w:val="ListBullet"/>
        <w:keepLines/>
        <w:widowControl/>
        <w:spacing w:after="100" w:line="280" w:lineRule="auto"/>
        <w:ind w:left="720" w:hanging="360"/>
      </w:pPr>
      <w:r>
        <w:rPr>
          <w:rFonts w:ascii="Calibri" w:hAnsi="Calibri"/>
          <w:sz w:val="22"/>
        </w:rPr>
        <w:t>Subscription margin must cover cloud, messaging, support and billing. A 75% target and 3–5% warranty reserve are provisional management assumptions, not observed performance.</w:t>
      </w:r>
    </w:p>
    <w:p>
      <w:pPr>
        <w:pStyle w:val="ListBullet"/>
        <w:keepLines/>
        <w:widowControl/>
        <w:spacing w:after="100" w:line="280" w:lineRule="auto"/>
        <w:ind w:left="720" w:hanging="360"/>
      </w:pPr>
      <w:r>
        <w:rPr>
          <w:rFonts w:ascii="Calibri" w:hAnsi="Calibri"/>
          <w:sz w:val="22"/>
        </w:rPr>
        <w:t>Hardware creates entry; durable economics come from add-ons, service software, referrals, support efficiency and B2B2C partnerships.</w:t>
      </w:r>
    </w:p>
    <w:p>
      <w:pPr>
        <w:pStyle w:val="Heading2"/>
        <w:keepNext/>
        <w:keepLines/>
        <w:widowControl/>
      </w:pPr>
      <w:r>
        <w:rPr>
          <w:color w:val="000000"/>
        </w:rPr>
        <w:t>Corrected tax-aware price sensitivity</w:t>
      </w:r>
    </w:p>
    <w:p>
      <w:pPr>
        <w:keepLines/>
        <w:widowControl/>
      </w:pPr>
      <w:r>
        <w:t>Illustrative calculation only: prices below include assumed 18% tax; COGS is ₹4,500 on a consistent net-tax basis. This is not a GST classification or rate determination. Net revenue = customer price / (1 + tax rate); gross margin = (net revenue − COGS) / net revenue.</w:t>
      </w:r>
    </w:p>
    <w:tbl>
      <w:tblPr>
        <w:tblStyle w:val="TableGrid"/>
        <w:tblW w:type="dxa" w:w="9360"/>
        <w:jc w:val="left"/>
        <w:tblLayout w:type="fixed"/>
        <w:tblLook w:firstColumn="1" w:firstRow="1" w:lastColumn="0" w:lastRow="0" w:noHBand="0" w:noVBand="1" w:val="04A0"/>
        <w:tblInd w:type="dxa" w:w="120"/>
      </w:tblPr>
      <w:tblGrid>
        <w:gridCol w:w="2200"/>
        <w:gridCol w:w="2300"/>
        <w:gridCol w:w="2200"/>
        <w:gridCol w:w="2660"/>
      </w:tblGrid>
      <w:tr>
        <w:trPr>
          <w:tblHeader/>
          <w:cantSplit/>
        </w:trPr>
        <w:tc>
          <w:tcPr>
            <w:tcW w:type="dxa" w:w="2200"/>
            <w:vAlign w:val="center"/>
            <w:tcMar>
              <w:top w:w="70" w:type="dxa"/>
              <w:bottom w:w="70" w:type="dxa"/>
              <w:start w:w="120" w:type="dxa"/>
              <w:end w:w="120" w:type="dxa"/>
            </w:tcMar>
            <w:shd w:fill="F1F4F8"/>
          </w:tcPr>
          <w:p>
            <w:pPr>
              <w:keepNext w:val="0"/>
              <w:spacing w:after="40" w:line="252" w:lineRule="auto"/>
            </w:pPr>
            <w:r>
              <w:rPr>
                <w:rFonts w:ascii="Calibri" w:hAnsi="Calibri"/>
                <w:b/>
                <w:sz w:val="19"/>
              </w:rPr>
              <w:t>Customer price</w:t>
            </w:r>
          </w:p>
        </w:tc>
        <w:tc>
          <w:tcPr>
            <w:tcW w:type="dxa" w:w="2300"/>
            <w:vAlign w:val="center"/>
            <w:tcMar>
              <w:top w:w="70" w:type="dxa"/>
              <w:bottom w:w="70" w:type="dxa"/>
              <w:start w:w="120" w:type="dxa"/>
              <w:end w:w="120" w:type="dxa"/>
            </w:tcMar>
            <w:shd w:fill="F1F4F8"/>
          </w:tcPr>
          <w:p>
            <w:pPr>
              <w:keepNext w:val="0"/>
              <w:spacing w:after="40" w:line="252" w:lineRule="auto"/>
            </w:pPr>
            <w:r>
              <w:rPr>
                <w:rFonts w:ascii="Calibri" w:hAnsi="Calibri"/>
                <w:b/>
                <w:sz w:val="19"/>
              </w:rPr>
              <w:t>Net revenue</w:t>
            </w:r>
          </w:p>
        </w:tc>
        <w:tc>
          <w:tcPr>
            <w:tcW w:type="dxa" w:w="2200"/>
            <w:vAlign w:val="center"/>
            <w:tcMar>
              <w:top w:w="70" w:type="dxa"/>
              <w:bottom w:w="70" w:type="dxa"/>
              <w:start w:w="120" w:type="dxa"/>
              <w:end w:w="120" w:type="dxa"/>
            </w:tcMar>
            <w:shd w:fill="F1F4F8"/>
          </w:tcPr>
          <w:p>
            <w:pPr>
              <w:keepNext w:val="0"/>
              <w:spacing w:after="40" w:line="252" w:lineRule="auto"/>
            </w:pPr>
            <w:r>
              <w:rPr>
                <w:rFonts w:ascii="Calibri" w:hAnsi="Calibri"/>
                <w:b/>
                <w:sz w:val="19"/>
              </w:rPr>
              <w:t>Gross margin</w:t>
            </w:r>
          </w:p>
        </w:tc>
        <w:tc>
          <w:tcPr>
            <w:tcW w:type="dxa" w:w="2660"/>
            <w:vAlign w:val="center"/>
            <w:tcMar>
              <w:top w:w="70" w:type="dxa"/>
              <w:bottom w:w="70" w:type="dxa"/>
              <w:start w:w="120" w:type="dxa"/>
              <w:end w:w="120" w:type="dxa"/>
            </w:tcMar>
            <w:shd w:fill="F1F4F8"/>
          </w:tcPr>
          <w:p>
            <w:pPr>
              <w:keepNext w:val="0"/>
              <w:spacing w:after="40" w:line="252" w:lineRule="auto"/>
            </w:pPr>
            <w:r>
              <w:rPr>
                <w:rFonts w:ascii="Calibri" w:hAnsi="Calibri"/>
                <w:b/>
                <w:sz w:val="19"/>
              </w:rPr>
              <w:t>Max COGS for 55%</w:t>
            </w:r>
          </w:p>
        </w:tc>
      </w:tr>
      <w:tr>
        <w:trPr>
          <w:cantSplit/>
        </w:trPr>
        <w:tc>
          <w:tcPr>
            <w:tcW w:type="dxa" w:w="2200"/>
            <w:vAlign w:val="center"/>
            <w:tcMar>
              <w:top w:w="70" w:type="dxa"/>
              <w:bottom w:w="70" w:type="dxa"/>
              <w:start w:w="120" w:type="dxa"/>
              <w:end w:w="120" w:type="dxa"/>
            </w:tcMar>
          </w:tcPr>
          <w:p>
            <w:pPr>
              <w:keepNext w:val="0"/>
              <w:spacing w:after="40" w:line="252" w:lineRule="auto"/>
            </w:pPr>
            <w:r>
              <w:rPr>
                <w:rFonts w:ascii="Calibri" w:hAnsi="Calibri"/>
                <w:b w:val="0"/>
                <w:sz w:val="19"/>
              </w:rPr>
              <w:t>₹6,999</w:t>
            </w:r>
          </w:p>
        </w:tc>
        <w:tc>
          <w:tcPr>
            <w:tcW w:type="dxa" w:w="2300"/>
            <w:vAlign w:val="center"/>
            <w:tcMar>
              <w:top w:w="70" w:type="dxa"/>
              <w:bottom w:w="70" w:type="dxa"/>
              <w:start w:w="120" w:type="dxa"/>
              <w:end w:w="120" w:type="dxa"/>
            </w:tcMar>
          </w:tcPr>
          <w:p>
            <w:pPr>
              <w:keepNext w:val="0"/>
              <w:spacing w:after="40" w:line="252" w:lineRule="auto"/>
            </w:pPr>
            <w:r>
              <w:rPr>
                <w:rFonts w:ascii="Calibri" w:hAnsi="Calibri"/>
                <w:b w:val="0"/>
                <w:sz w:val="19"/>
              </w:rPr>
              <w:t>₹5,931</w:t>
            </w:r>
          </w:p>
        </w:tc>
        <w:tc>
          <w:tcPr>
            <w:tcW w:type="dxa" w:w="2200"/>
            <w:vAlign w:val="center"/>
            <w:tcMar>
              <w:top w:w="70" w:type="dxa"/>
              <w:bottom w:w="70" w:type="dxa"/>
              <w:start w:w="120" w:type="dxa"/>
              <w:end w:w="120" w:type="dxa"/>
            </w:tcMar>
          </w:tcPr>
          <w:p>
            <w:pPr>
              <w:keepNext w:val="0"/>
              <w:spacing w:after="40" w:line="252" w:lineRule="auto"/>
            </w:pPr>
            <w:r>
              <w:rPr>
                <w:rFonts w:ascii="Calibri" w:hAnsi="Calibri"/>
                <w:b w:val="0"/>
                <w:sz w:val="19"/>
              </w:rPr>
              <w:t>24.1%</w:t>
            </w:r>
          </w:p>
        </w:tc>
        <w:tc>
          <w:tcPr>
            <w:tcW w:type="dxa" w:w="2660"/>
            <w:vAlign w:val="center"/>
            <w:tcMar>
              <w:top w:w="70" w:type="dxa"/>
              <w:bottom w:w="70" w:type="dxa"/>
              <w:start w:w="120" w:type="dxa"/>
              <w:end w:w="120" w:type="dxa"/>
            </w:tcMar>
          </w:tcPr>
          <w:p>
            <w:pPr>
              <w:keepNext w:val="0"/>
              <w:spacing w:after="40" w:line="252" w:lineRule="auto"/>
            </w:pPr>
            <w:r>
              <w:rPr>
                <w:rFonts w:ascii="Calibri" w:hAnsi="Calibri"/>
                <w:b w:val="0"/>
                <w:sz w:val="19"/>
              </w:rPr>
              <w:t>₹2,669</w:t>
            </w:r>
          </w:p>
        </w:tc>
      </w:tr>
      <w:tr>
        <w:trPr>
          <w:cantSplit/>
        </w:trPr>
        <w:tc>
          <w:tcPr>
            <w:tcW w:type="dxa" w:w="2200"/>
            <w:vAlign w:val="center"/>
            <w:tcMar>
              <w:top w:w="70" w:type="dxa"/>
              <w:bottom w:w="70" w:type="dxa"/>
              <w:start w:w="120" w:type="dxa"/>
              <w:end w:w="120" w:type="dxa"/>
            </w:tcMar>
          </w:tcPr>
          <w:p>
            <w:pPr>
              <w:keepNext w:val="0"/>
              <w:spacing w:after="40" w:line="252" w:lineRule="auto"/>
            </w:pPr>
            <w:r>
              <w:rPr>
                <w:rFonts w:ascii="Calibri" w:hAnsi="Calibri"/>
                <w:b w:val="0"/>
                <w:sz w:val="19"/>
              </w:rPr>
              <w:t>₹9,999</w:t>
            </w:r>
          </w:p>
        </w:tc>
        <w:tc>
          <w:tcPr>
            <w:tcW w:type="dxa" w:w="2300"/>
            <w:vAlign w:val="center"/>
            <w:tcMar>
              <w:top w:w="70" w:type="dxa"/>
              <w:bottom w:w="70" w:type="dxa"/>
              <w:start w:w="120" w:type="dxa"/>
              <w:end w:w="120" w:type="dxa"/>
            </w:tcMar>
          </w:tcPr>
          <w:p>
            <w:pPr>
              <w:keepNext w:val="0"/>
              <w:spacing w:after="40" w:line="252" w:lineRule="auto"/>
            </w:pPr>
            <w:r>
              <w:rPr>
                <w:rFonts w:ascii="Calibri" w:hAnsi="Calibri"/>
                <w:b w:val="0"/>
                <w:sz w:val="19"/>
              </w:rPr>
              <w:t>₹8,474</w:t>
            </w:r>
          </w:p>
        </w:tc>
        <w:tc>
          <w:tcPr>
            <w:tcW w:type="dxa" w:w="2200"/>
            <w:vAlign w:val="center"/>
            <w:tcMar>
              <w:top w:w="70" w:type="dxa"/>
              <w:bottom w:w="70" w:type="dxa"/>
              <w:start w:w="120" w:type="dxa"/>
              <w:end w:w="120" w:type="dxa"/>
            </w:tcMar>
          </w:tcPr>
          <w:p>
            <w:pPr>
              <w:keepNext w:val="0"/>
              <w:spacing w:after="40" w:line="252" w:lineRule="auto"/>
            </w:pPr>
            <w:r>
              <w:rPr>
                <w:rFonts w:ascii="Calibri" w:hAnsi="Calibri"/>
                <w:b w:val="0"/>
                <w:sz w:val="19"/>
              </w:rPr>
              <w:t>46.9%</w:t>
            </w:r>
          </w:p>
        </w:tc>
        <w:tc>
          <w:tcPr>
            <w:tcW w:type="dxa" w:w="2660"/>
            <w:vAlign w:val="center"/>
            <w:tcMar>
              <w:top w:w="70" w:type="dxa"/>
              <w:bottom w:w="70" w:type="dxa"/>
              <w:start w:w="120" w:type="dxa"/>
              <w:end w:w="120" w:type="dxa"/>
            </w:tcMar>
          </w:tcPr>
          <w:p>
            <w:pPr>
              <w:keepNext w:val="0"/>
              <w:spacing w:after="40" w:line="252" w:lineRule="auto"/>
            </w:pPr>
            <w:r>
              <w:rPr>
                <w:rFonts w:ascii="Calibri" w:hAnsi="Calibri"/>
                <w:b w:val="0"/>
                <w:sz w:val="19"/>
              </w:rPr>
              <w:t>₹3,813</w:t>
            </w:r>
          </w:p>
        </w:tc>
      </w:tr>
      <w:tr>
        <w:trPr>
          <w:cantSplit/>
        </w:trPr>
        <w:tc>
          <w:tcPr>
            <w:tcW w:type="dxa" w:w="2200"/>
            <w:vAlign w:val="center"/>
            <w:tcMar>
              <w:top w:w="70" w:type="dxa"/>
              <w:bottom w:w="70" w:type="dxa"/>
              <w:start w:w="120" w:type="dxa"/>
              <w:end w:w="120" w:type="dxa"/>
            </w:tcMar>
          </w:tcPr>
          <w:p>
            <w:pPr>
              <w:keepNext w:val="0"/>
              <w:spacing w:after="40" w:line="252" w:lineRule="auto"/>
            </w:pPr>
            <w:r>
              <w:rPr>
                <w:rFonts w:ascii="Calibri" w:hAnsi="Calibri"/>
                <w:b w:val="0"/>
                <w:sz w:val="19"/>
              </w:rPr>
              <w:t>₹11,999</w:t>
            </w:r>
          </w:p>
        </w:tc>
        <w:tc>
          <w:tcPr>
            <w:tcW w:type="dxa" w:w="2300"/>
            <w:vAlign w:val="center"/>
            <w:tcMar>
              <w:top w:w="70" w:type="dxa"/>
              <w:bottom w:w="70" w:type="dxa"/>
              <w:start w:w="120" w:type="dxa"/>
              <w:end w:w="120" w:type="dxa"/>
            </w:tcMar>
          </w:tcPr>
          <w:p>
            <w:pPr>
              <w:keepNext w:val="0"/>
              <w:spacing w:after="40" w:line="252" w:lineRule="auto"/>
            </w:pPr>
            <w:r>
              <w:rPr>
                <w:rFonts w:ascii="Calibri" w:hAnsi="Calibri"/>
                <w:b w:val="0"/>
                <w:sz w:val="19"/>
              </w:rPr>
              <w:t>₹10,169</w:t>
            </w:r>
          </w:p>
        </w:tc>
        <w:tc>
          <w:tcPr>
            <w:tcW w:type="dxa" w:w="2200"/>
            <w:vAlign w:val="center"/>
            <w:tcMar>
              <w:top w:w="70" w:type="dxa"/>
              <w:bottom w:w="70" w:type="dxa"/>
              <w:start w:w="120" w:type="dxa"/>
              <w:end w:w="120" w:type="dxa"/>
            </w:tcMar>
          </w:tcPr>
          <w:p>
            <w:pPr>
              <w:keepNext w:val="0"/>
              <w:spacing w:after="40" w:line="252" w:lineRule="auto"/>
            </w:pPr>
            <w:r>
              <w:rPr>
                <w:rFonts w:ascii="Calibri" w:hAnsi="Calibri"/>
                <w:b w:val="0"/>
                <w:sz w:val="19"/>
              </w:rPr>
              <w:t>55.7%</w:t>
            </w:r>
          </w:p>
        </w:tc>
        <w:tc>
          <w:tcPr>
            <w:tcW w:type="dxa" w:w="2660"/>
            <w:vAlign w:val="center"/>
            <w:tcMar>
              <w:top w:w="70" w:type="dxa"/>
              <w:bottom w:w="70" w:type="dxa"/>
              <w:start w:w="120" w:type="dxa"/>
              <w:end w:w="120" w:type="dxa"/>
            </w:tcMar>
          </w:tcPr>
          <w:p>
            <w:pPr>
              <w:keepNext w:val="0"/>
              <w:spacing w:after="40" w:line="252" w:lineRule="auto"/>
            </w:pPr>
            <w:r>
              <w:rPr>
                <w:rFonts w:ascii="Calibri" w:hAnsi="Calibri"/>
                <w:b w:val="0"/>
                <w:sz w:val="19"/>
              </w:rPr>
              <w:t>₹4,576</w:t>
            </w:r>
          </w:p>
        </w:tc>
      </w:tr>
    </w:tbl>
    <w:p>
      <w:pPr>
        <w:keepLines/>
        <w:widowControl/>
      </w:pPr>
      <w:commentRangeStart w:id="4"/>
      <w:r>
        <w:rPr>
          <w:i/>
          <w:color w:val="356779"/>
          <w:sz w:val="18"/>
        </w:rPr>
        <w:t>The earlier approximately 55% margin estimate at ₹9,999 and ₹4,500 cost ignored included tax. Under this example, roughly ₹11,800 customer pricing is needed for 55% gross margin, before selling/service expenses.</w:t>
      </w:r>
      <w:commentRangeEnd w:id="4"/>
      <w:r>
        <w:rPr>
          <w:rStyle w:val="CommentReference"/>
        </w:rPr>
        <w:commentReference w:id="4"/>
      </w:r>
    </w:p>
    <w:p>
      <w:pPr>
        <w:keepLines/>
        <w:widowControl/>
      </w:pPr>
      <w:r>
        <w:t>At ₹11,999, net revenue is about ₹10,169. Subtract ₹4,500 COGS, ₹600 fulfilment/payment, ₹500 warranty/returns reserve, ₹500 onboarding/service and ₹1,000 acquisition cost: contribution is about ₹3,069 (30.2%). Every cost here is illustrative; cloud commitments and installation may require more. A 20% dealer discount on net revenue would reduce revenue to about ₹8,135 and hardware margin to 44.7% before those costs.</w:t>
      </w:r>
    </w:p>
    <w:p>
      <w:pPr>
        <w:keepLines/>
        <w:widowControl/>
      </w:pPr>
      <w:r>
        <w:t>Operational warning: even 20 minutes of support per home per month becomes about 333 hours/month at 1,000 homes. Scaling beyond a small pilot requires better self-service, lower support incidence and/or paid operational capacity; one founder cannot absorb that workload.</w:t>
      </w:r>
    </w:p>
    <w:p>
      <w:pPr>
        <w:pStyle w:val="Heading1"/>
        <w:keepNext/>
        <w:keepLines/>
        <w:widowControl/>
      </w:pPr>
      <w:r>
        <w:rPr>
          <w:color w:val="000000"/>
        </w:rPr>
        <w:t>Selling model and market entry</w:t>
      </w:r>
    </w:p>
    <w:p>
      <w:pPr>
        <w:pStyle w:val="Heading2"/>
        <w:keepNext/>
        <w:keepLines/>
        <w:widowControl/>
      </w:pPr>
      <w:r>
        <w:rPr>
          <w:color w:val="000000"/>
        </w:rPr>
        <w:t>Beachhead</w:t>
      </w:r>
    </w:p>
    <w:p>
      <w:pPr>
        <w:keepLines/>
        <w:widowControl/>
      </w:pPr>
      <w:r>
        <w:rPr>
          <w:rFonts w:ascii="Calibri" w:hAnsi="Calibri"/>
          <w:sz w:val="22"/>
        </w:rPr>
        <w:t>Start in one city with adult children or NRIs whose independently living parent consents and has a reachable family/local responder. Prefer simpler single-resident homes for the first cohort; label multi-person data as household-level. Do not recruit a resident whose required safety care would depend on this unvalidated pilot. Reassess the resident and payer’s acceptance separately.</w:t>
      </w:r>
    </w:p>
    <w:p>
      <w:pPr>
        <w:pStyle w:val="Heading2"/>
        <w:keepNext/>
        <w:keepLines/>
        <w:widowControl/>
      </w:pPr>
      <w:r>
        <w:rPr>
          <w:color w:val="000000"/>
        </w:rPr>
        <w:t>Sales sequence</w:t>
      </w:r>
    </w:p>
    <w:p>
      <w:pPr>
        <w:pStyle w:val="ListNumber"/>
        <w:keepLines/>
        <w:widowControl/>
        <w:spacing w:after="100" w:line="280" w:lineRule="auto"/>
        <w:ind w:left="720" w:hanging="360"/>
      </w:pPr>
      <w:r>
        <w:rPr>
          <w:rFonts w:ascii="Calibri" w:hAnsi="Calibri"/>
          <w:sz w:val="22"/>
        </w:rPr>
        <w:t>Discovery: interview 10 intercity adult children, 5 NRIs and 5 older residents; add 3–5 care-provider discussions. Test current alternatives, nuisance-alert tolerance, resident consent and a ₹9,999–₹11,999 offer. These are proposed sample sizes, not representative market research.</w:t>
      </w:r>
    </w:p>
    <w:p>
      <w:pPr>
        <w:pStyle w:val="ListNumber"/>
        <w:keepLines/>
        <w:widowControl/>
        <w:spacing w:after="100" w:line="280" w:lineRule="auto"/>
        <w:ind w:left="720" w:hanging="360"/>
      </w:pPr>
      <w:r>
        <w:rPr>
          <w:rFonts w:ascii="Calibri" w:hAnsi="Calibri"/>
          <w:sz w:val="22"/>
        </w:rPr>
        <w:t>Commitment: seek 5 written installation agreements and, where appropriate, 3 clearly refundable ₹1,000 deposits with written refund/delivery terms. Start in 2 homes only after bench reliability gates; deposits do not establish product-market fit.</w:t>
      </w:r>
    </w:p>
    <w:p>
      <w:pPr>
        <w:pStyle w:val="ListNumber"/>
        <w:keepLines/>
        <w:widowControl/>
        <w:spacing w:after="100" w:line="280" w:lineRule="auto"/>
        <w:ind w:left="720" w:hanging="360"/>
      </w:pPr>
      <w:r>
        <w:rPr>
          <w:rFonts w:ascii="Calibri" w:hAnsi="Calibri"/>
          <w:sz w:val="22"/>
        </w:rPr>
        <w:t>Pilot: expand sequentially to 10 homes, document failures and weekly feedback, and test continued paid use. After 30 repeatable installations, assess narrow-city D2C versus partner distribution using actual acquisition and support costs.</w:t>
      </w:r>
    </w:p>
    <w:p>
      <w:pPr>
        <w:pStyle w:val="ListNumber"/>
        <w:keepLines/>
        <w:widowControl/>
        <w:spacing w:after="100" w:line="280" w:lineRule="auto"/>
        <w:ind w:left="720" w:hanging="360"/>
      </w:pPr>
      <w:r>
        <w:rPr>
          <w:rFonts w:ascii="Calibri" w:hAnsi="Calibri"/>
          <w:sz w:val="22"/>
        </w:rPr>
        <w:t>Partners: research elder-care agencies, geriatric-care managers and RWAs during discovery. A contracted partner may later own installation or human response; never imply integration or affiliation before agreement. Validate wholesale margin, data roles, response hours and incident ownership.</w:t>
      </w:r>
    </w:p>
    <w:p>
      <w:pPr>
        <w:pStyle w:val="Heading2"/>
        <w:keepNext/>
        <w:keepLines/>
        <w:widowControl/>
      </w:pPr>
      <w:r>
        <w:rPr>
          <w:color w:val="000000"/>
        </w:rPr>
        <w:t>India vs foreign-market fit</w:t>
      </w:r>
    </w:p>
    <w:tbl>
      <w:tblPr>
        <w:tblStyle w:val="TableGrid"/>
        <w:tblW w:type="dxa" w:w="9360"/>
        <w:tblLayout w:type="fixed"/>
        <w:tblLook w:firstColumn="1" w:firstRow="1" w:lastColumn="0" w:lastRow="0" w:noHBand="0" w:noVBand="1" w:val="04A0"/>
        <w:jc w:val="left"/>
        <w:tblInd w:w="120" w:type="dxa"/>
      </w:tblPr>
      <w:tblGrid>
        <w:gridCol w:w="1700"/>
        <w:gridCol w:w="3830"/>
        <w:gridCol w:w="3830"/>
      </w:tblGrid>
      <w:tr>
        <w:trPr>
          <w:tblHeader/>
          <w:cantSplit/>
        </w:trPr>
        <w:tc>
          <w:tcPr>
            <w:tcW w:type="dxa" w:w="17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Dimension</w:t>
            </w:r>
          </w:p>
        </w:tc>
        <w:tc>
          <w:tcPr>
            <w:tcW w:type="dxa" w:w="383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India launch</w:t>
            </w:r>
          </w:p>
        </w:tc>
        <w:tc>
          <w:tcPr>
            <w:tcW w:type="dxa" w:w="383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US / UK / EU expansion</w:t>
            </w:r>
          </w:p>
        </w:tc>
      </w:tr>
      <w:tr>
        <w:trPr>
          <w:cantSplit/>
        </w:trPr>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Customer wedge</w:t>
            </w:r>
          </w:p>
        </w:tc>
        <w:tc>
          <w:tcPr>
            <w:tcW w:type="dxa" w:w="3830"/>
            <w:vAlign w:val="center"/>
            <w:tcMar>
              <w:top w:w="70" w:type="dxa"/>
              <w:bottom w:w="70" w:type="dxa"/>
              <w:start w:w="120" w:type="dxa"/>
              <w:end w:w="120" w:type="dxa"/>
            </w:tcMar>
          </w:tcPr>
          <w:p>
            <w:pPr>
              <w:keepNext w:val="0"/>
              <w:spacing w:after="40" w:line="252" w:lineRule="auto"/>
            </w:pPr>
            <w:r>
              <w:rPr>
                <w:rFonts w:ascii="Calibri" w:hAnsi="Calibri"/>
                <w:b w:val="0"/>
                <w:sz w:val="19"/>
              </w:rPr>
              <w:t>Away-living child; resident consent; one-city support</w:t>
            </w:r>
          </w:p>
        </w:tc>
        <w:tc>
          <w:tcPr>
            <w:tcW w:type="dxa" w:w="3830"/>
            <w:vAlign w:val="center"/>
            <w:tcMar>
              <w:top w:w="70" w:type="dxa"/>
              <w:bottom w:w="70" w:type="dxa"/>
              <w:start w:w="120" w:type="dxa"/>
              <w:end w:w="120" w:type="dxa"/>
            </w:tcMar>
          </w:tcPr>
          <w:p>
            <w:pPr>
              <w:keepNext w:val="0"/>
              <w:spacing w:after="40" w:line="252" w:lineRule="auto"/>
            </w:pPr>
            <w:r>
              <w:rPr>
                <w:rFonts w:ascii="Calibri" w:hAnsi="Calibri"/>
                <w:b w:val="0"/>
                <w:sz w:val="19"/>
              </w:rPr>
              <w:t>Do not assume higher purchasing power means easier entry</w:t>
            </w:r>
          </w:p>
        </w:tc>
      </w:tr>
      <w:tr>
        <w:trPr>
          <w:cantSplit/>
        </w:trPr>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Potential advantage</w:t>
            </w:r>
          </w:p>
        </w:tc>
        <w:tc>
          <w:tcPr>
            <w:tcW w:type="dxa" w:w="3830"/>
            <w:vAlign w:val="center"/>
            <w:tcMar>
              <w:top w:w="70" w:type="dxa"/>
              <w:bottom w:w="70" w:type="dxa"/>
              <w:start w:w="120" w:type="dxa"/>
              <w:end w:w="120" w:type="dxa"/>
            </w:tcMar>
          </w:tcPr>
          <w:p>
            <w:pPr>
              <w:keepNext w:val="0"/>
              <w:spacing w:after="40" w:line="252" w:lineRule="auto"/>
            </w:pPr>
            <w:r>
              <w:rPr>
                <w:rFonts w:ascii="Calibri" w:hAnsi="Calibri"/>
                <w:b w:val="0"/>
                <w:sz w:val="19"/>
              </w:rPr>
              <w:t>Local installation, Hindi/English UI, transparent alerts</w:t>
            </w:r>
          </w:p>
        </w:tc>
        <w:tc>
          <w:tcPr>
            <w:tcW w:type="dxa" w:w="3830"/>
            <w:vAlign w:val="center"/>
            <w:tcMar>
              <w:top w:w="70" w:type="dxa"/>
              <w:bottom w:w="70" w:type="dxa"/>
              <w:start w:w="120" w:type="dxa"/>
              <w:end w:w="120" w:type="dxa"/>
            </w:tcMar>
          </w:tcPr>
          <w:p>
            <w:pPr>
              <w:keepNext w:val="0"/>
              <w:spacing w:after="40" w:line="252" w:lineRule="auto"/>
            </w:pPr>
            <w:r>
              <w:rPr>
                <w:rFonts w:ascii="Calibri" w:hAnsi="Calibri"/>
                <w:b w:val="0"/>
                <w:sz w:val="19"/>
              </w:rPr>
              <w:t>Country-specific value beyond cheaper hardware; established competitors already exist</w:t>
            </w:r>
          </w:p>
        </w:tc>
      </w:tr>
      <w:tr>
        <w:trPr>
          <w:cantSplit/>
        </w:trPr>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Main constraint</w:t>
            </w:r>
          </w:p>
        </w:tc>
        <w:tc>
          <w:tcPr>
            <w:tcW w:type="dxa" w:w="3830"/>
            <w:vAlign w:val="center"/>
            <w:tcMar>
              <w:top w:w="70" w:type="dxa"/>
              <w:bottom w:w="70" w:type="dxa"/>
              <w:start w:w="120" w:type="dxa"/>
              <w:end w:w="120" w:type="dxa"/>
            </w:tcMar>
          </w:tcPr>
          <w:p>
            <w:pPr>
              <w:keepNext w:val="0"/>
              <w:spacing w:after="40" w:line="252" w:lineRule="auto"/>
            </w:pPr>
            <w:r>
              <w:rPr>
                <w:rFonts w:ascii="Calibri" w:hAnsi="Calibri"/>
                <w:b w:val="0"/>
                <w:sz w:val="19"/>
              </w:rPr>
              <w:t>Trust, unreliable connectivity, response ownership, pricing</w:t>
            </w:r>
          </w:p>
        </w:tc>
        <w:tc>
          <w:tcPr>
            <w:tcW w:type="dxa" w:w="3830"/>
            <w:vAlign w:val="center"/>
            <w:tcMar>
              <w:top w:w="70" w:type="dxa"/>
              <w:bottom w:w="70" w:type="dxa"/>
              <w:start w:w="120" w:type="dxa"/>
              <w:end w:w="120" w:type="dxa"/>
            </w:tcMar>
          </w:tcPr>
          <w:p>
            <w:pPr>
              <w:keepNext w:val="0"/>
              <w:spacing w:after="40" w:line="252" w:lineRule="auto"/>
            </w:pPr>
            <w:r>
              <w:rPr>
                <w:rFonts w:ascii="Calibri" w:hAnsi="Calibri"/>
                <w:b w:val="0"/>
                <w:sz w:val="19"/>
              </w:rPr>
              <w:t>Radio/product/security/privacy obligations, local support, returns and channel economics</w:t>
            </w:r>
          </w:p>
        </w:tc>
      </w:tr>
      <w:tr>
        <w:trPr>
          <w:cantSplit/>
        </w:trPr>
        <w:tc>
          <w:tcPr>
            <w:tcW w:type="dxa" w:w="1700"/>
            <w:vAlign w:val="center"/>
            <w:tcMar>
              <w:top w:w="70" w:type="dxa"/>
              <w:bottom w:w="70" w:type="dxa"/>
              <w:start w:w="120" w:type="dxa"/>
              <w:end w:w="120" w:type="dxa"/>
            </w:tcMar>
          </w:tcPr>
          <w:p>
            <w:pPr>
              <w:keepNext w:val="0"/>
              <w:spacing w:after="40" w:line="252" w:lineRule="auto"/>
            </w:pPr>
            <w:r>
              <w:rPr>
                <w:rFonts w:ascii="Calibri" w:hAnsi="Calibri"/>
                <w:b w:val="0"/>
                <w:sz w:val="19"/>
              </w:rPr>
              <w:t>Order</w:t>
            </w:r>
          </w:p>
        </w:tc>
        <w:tc>
          <w:tcPr>
            <w:tcW w:type="dxa" w:w="3830"/>
            <w:vAlign w:val="center"/>
            <w:tcMar>
              <w:top w:w="70" w:type="dxa"/>
              <w:bottom w:w="70" w:type="dxa"/>
              <w:start w:w="120" w:type="dxa"/>
              <w:end w:w="120" w:type="dxa"/>
            </w:tcMar>
          </w:tcPr>
          <w:p>
            <w:pPr>
              <w:keepNext w:val="0"/>
              <w:spacing w:after="40" w:line="252" w:lineRule="auto"/>
            </w:pPr>
            <w:r>
              <w:rPr>
                <w:rFonts w:ascii="Calibri" w:hAnsi="Calibri"/>
                <w:b w:val="0"/>
                <w:sz w:val="19"/>
              </w:rPr>
              <w:t>2-home rehearsal → 10-home pilot → paid repeatability</w:t>
            </w:r>
          </w:p>
        </w:tc>
        <w:tc>
          <w:tcPr>
            <w:tcW w:type="dxa" w:w="3830"/>
            <w:vAlign w:val="center"/>
            <w:tcMar>
              <w:top w:w="70" w:type="dxa"/>
              <w:bottom w:w="70" w:type="dxa"/>
              <w:start w:w="120" w:type="dxa"/>
              <w:end w:w="120" w:type="dxa"/>
            </w:tcMar>
          </w:tcPr>
          <w:p>
            <w:pPr>
              <w:keepNext w:val="0"/>
              <w:spacing w:after="40" w:line="252" w:lineRule="auto"/>
            </w:pPr>
            <w:r>
              <w:rPr>
                <w:rFonts w:ascii="Calibri" w:hAnsi="Calibri"/>
                <w:b w:val="0"/>
                <w:sz w:val="19"/>
              </w:rPr>
              <w:t>Only after Indian field evidence and funded country/partner plan; 100 homes alone is not certification</w:t>
            </w:r>
          </w:p>
        </w:tc>
      </w:tr>
    </w:tbl>
    <w:p>
      <w:pPr>
        <w:widowControl/>
        <w:spacing w:after="20"/>
      </w:pPr>
    </w:p>
    <w:p>
      <w:pPr>
        <w:pStyle w:val="Heading1"/>
        <w:keepNext/>
        <w:keepLines/>
        <w:widowControl/>
      </w:pPr>
      <w:r>
        <w:rPr>
          <w:color w:val="000000"/>
        </w:rPr>
        <w:t>Effort, capital and success gates</w:t>
      </w:r>
    </w:p>
    <w:tbl>
      <w:tblPr>
        <w:tblStyle w:val="TableGrid"/>
        <w:tblW w:type="dxa" w:w="9360"/>
        <w:tblLayout w:type="fixed"/>
        <w:tblLook w:firstColumn="1" w:firstRow="1" w:lastColumn="0" w:lastRow="0" w:noHBand="0" w:noVBand="1" w:val="04A0"/>
        <w:jc w:val="left"/>
        <w:tblInd w:w="120" w:type="dxa"/>
      </w:tblPr>
      <w:tblGrid>
        <w:gridCol w:w="1800"/>
        <w:gridCol w:w="2100"/>
        <w:gridCol w:w="2100"/>
        <w:gridCol w:w="3360"/>
      </w:tblGrid>
      <w:tr>
        <w:trPr>
          <w:tblHeader/>
          <w:cantSplit/>
        </w:trPr>
        <w:tc>
          <w:tcPr>
            <w:tcW w:type="dxa" w:w="18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Stage</w:t>
            </w:r>
          </w:p>
        </w:tc>
        <w:tc>
          <w:tcPr>
            <w:tcW w:type="dxa" w:w="21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Part-time elapsed estimate</w:t>
            </w:r>
          </w:p>
        </w:tc>
        <w:tc>
          <w:tcPr>
            <w:tcW w:type="dxa" w:w="21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Cash envelope</w:t>
            </w:r>
          </w:p>
        </w:tc>
        <w:tc>
          <w:tcPr>
            <w:tcW w:type="dxa" w:w="336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Advance only when</w:t>
            </w:r>
          </w:p>
        </w:tc>
      </w:tr>
      <w:tr>
        <w:trPr>
          <w:cantSplit/>
        </w:trPr>
        <w:tc>
          <w:tcPr>
            <w:tcW w:type="dxa" w:w="1800"/>
            <w:vAlign w:val="center"/>
            <w:tcMar>
              <w:top w:w="70" w:type="dxa"/>
              <w:bottom w:w="70" w:type="dxa"/>
              <w:start w:w="120" w:type="dxa"/>
              <w:end w:w="120" w:type="dxa"/>
            </w:tcMar>
          </w:tcPr>
          <w:p>
            <w:pPr>
              <w:keepNext w:val="0"/>
              <w:spacing w:after="40" w:line="252" w:lineRule="auto"/>
            </w:pPr>
            <w:r>
              <w:rPr>
                <w:rFonts w:ascii="Calibri" w:hAnsi="Calibri"/>
                <w:b w:val="0"/>
                <w:sz w:val="19"/>
              </w:rPr>
              <w:t>Discovery + bench</w:t>
            </w:r>
          </w:p>
        </w:tc>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Months 1–3</w:t>
            </w:r>
          </w:p>
        </w:tc>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₹5,000–₹20,000</w:t>
            </w:r>
          </w:p>
        </w:tc>
        <w:tc>
          <w:tcPr>
            <w:tcW w:type="dxa" w:w="3360"/>
            <w:vAlign w:val="center"/>
            <w:tcMar>
              <w:top w:w="70" w:type="dxa"/>
              <w:bottom w:w="70" w:type="dxa"/>
              <w:start w:w="120" w:type="dxa"/>
              <w:end w:w="120" w:type="dxa"/>
            </w:tcMar>
          </w:tcPr>
          <w:p>
            <w:pPr>
              <w:keepNext w:val="0"/>
              <w:spacing w:after="40" w:line="252" w:lineRule="auto"/>
            </w:pPr>
            <w:r>
              <w:rPr>
                <w:rFonts w:ascii="Calibri" w:hAnsi="Calibri"/>
                <w:b w:val="0"/>
                <w:sz w:val="19"/>
              </w:rPr>
              <w:t>Consent and basic demand evidence; repeatable local events</w:t>
            </w:r>
          </w:p>
        </w:tc>
      </w:tr>
      <w:tr>
        <w:trPr>
          <w:cantSplit/>
        </w:trPr>
        <w:tc>
          <w:tcPr>
            <w:tcW w:type="dxa" w:w="1800"/>
            <w:vAlign w:val="center"/>
            <w:tcMar>
              <w:top w:w="70" w:type="dxa"/>
              <w:bottom w:w="70" w:type="dxa"/>
              <w:start w:w="120" w:type="dxa"/>
              <w:end w:w="120" w:type="dxa"/>
            </w:tcMar>
          </w:tcPr>
          <w:p>
            <w:pPr>
              <w:keepNext w:val="0"/>
              <w:spacing w:after="40" w:line="252" w:lineRule="auto"/>
            </w:pPr>
            <w:r>
              <w:rPr>
                <w:rFonts w:ascii="Calibri" w:hAnsi="Calibri"/>
                <w:b w:val="0"/>
                <w:sz w:val="19"/>
              </w:rPr>
              <w:t>Two-home rehearsal</w:t>
            </w:r>
          </w:p>
        </w:tc>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Months 4–5</w:t>
            </w:r>
          </w:p>
        </w:tc>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₹25,000–₹60,000 total</w:t>
            </w:r>
          </w:p>
        </w:tc>
        <w:tc>
          <w:tcPr>
            <w:tcW w:type="dxa" w:w="3360"/>
            <w:vAlign w:val="center"/>
            <w:tcMar>
              <w:top w:w="70" w:type="dxa"/>
              <w:bottom w:w="70" w:type="dxa"/>
              <w:start w:w="120" w:type="dxa"/>
              <w:end w:w="120" w:type="dxa"/>
            </w:tcMar>
          </w:tcPr>
          <w:p>
            <w:pPr>
              <w:keepNext w:val="0"/>
              <w:spacing w:after="40" w:line="252" w:lineRule="auto"/>
            </w:pPr>
            <w:r>
              <w:rPr>
                <w:rFonts w:ascii="Calibri" w:hAnsi="Calibri"/>
                <w:b w:val="0"/>
                <w:sz w:val="19"/>
              </w:rPr>
              <w:t>Outage, stale-data, button and notification tests pass</w:t>
            </w:r>
          </w:p>
        </w:tc>
      </w:tr>
      <w:tr>
        <w:trPr>
          <w:cantSplit/>
        </w:trPr>
        <w:tc>
          <w:tcPr>
            <w:tcW w:type="dxa" w:w="1800"/>
            <w:vAlign w:val="center"/>
            <w:tcMar>
              <w:top w:w="70" w:type="dxa"/>
              <w:bottom w:w="70" w:type="dxa"/>
              <w:start w:w="120" w:type="dxa"/>
              <w:end w:w="120" w:type="dxa"/>
            </w:tcMar>
          </w:tcPr>
          <w:p>
            <w:pPr>
              <w:keepNext w:val="0"/>
              <w:spacing w:after="40" w:line="252" w:lineRule="auto"/>
            </w:pPr>
            <w:r>
              <w:rPr>
                <w:rFonts w:ascii="Calibri" w:hAnsi="Calibri"/>
                <w:b w:val="0"/>
                <w:sz w:val="19"/>
              </w:rPr>
              <w:t>Ten-home pilot</w:t>
            </w:r>
          </w:p>
        </w:tc>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Months 6–8</w:t>
            </w:r>
          </w:p>
        </w:tc>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₹1–₹2 lakh total</w:t>
            </w:r>
          </w:p>
        </w:tc>
        <w:tc>
          <w:tcPr>
            <w:tcW w:type="dxa" w:w="3360"/>
            <w:vAlign w:val="center"/>
            <w:tcMar>
              <w:top w:w="70" w:type="dxa"/>
              <w:bottom w:w="70" w:type="dxa"/>
              <w:start w:w="120" w:type="dxa"/>
              <w:end w:w="120" w:type="dxa"/>
            </w:tcMar>
          </w:tcPr>
          <w:p>
            <w:pPr>
              <w:keepNext w:val="0"/>
              <w:spacing w:after="40" w:line="252" w:lineRule="auto"/>
            </w:pPr>
            <w:r>
              <w:rPr>
                <w:rFonts w:ascii="Calibri" w:hAnsi="Calibri"/>
                <w:b w:val="0"/>
                <w:sz w:val="19"/>
              </w:rPr>
              <w:t>30-day use, nuisance alerts and support measured</w:t>
            </w:r>
          </w:p>
        </w:tc>
      </w:tr>
      <w:tr>
        <w:trPr>
          <w:cantSplit/>
        </w:trPr>
        <w:tc>
          <w:tcPr>
            <w:tcW w:type="dxa" w:w="1800"/>
            <w:vAlign w:val="center"/>
            <w:tcMar>
              <w:top w:w="70" w:type="dxa"/>
              <w:bottom w:w="70" w:type="dxa"/>
              <w:start w:w="120" w:type="dxa"/>
              <w:end w:w="120" w:type="dxa"/>
            </w:tcMar>
          </w:tcPr>
          <w:p>
            <w:pPr>
              <w:keepNext w:val="0"/>
              <w:spacing w:after="40" w:line="252" w:lineRule="auto"/>
            </w:pPr>
            <w:r>
              <w:rPr>
                <w:rFonts w:ascii="Calibri" w:hAnsi="Calibri"/>
                <w:b w:val="0"/>
                <w:sz w:val="19"/>
              </w:rPr>
              <w:t>30 paid homes</w:t>
            </w:r>
          </w:p>
        </w:tc>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Months 9–12+</w:t>
            </w:r>
          </w:p>
        </w:tc>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₹2.5–₹5 lakh total</w:t>
            </w:r>
          </w:p>
        </w:tc>
        <w:tc>
          <w:tcPr>
            <w:tcW w:type="dxa" w:w="3360"/>
            <w:vAlign w:val="center"/>
            <w:tcMar>
              <w:top w:w="70" w:type="dxa"/>
              <w:bottom w:w="70" w:type="dxa"/>
              <w:start w:w="120" w:type="dxa"/>
              <w:end w:w="120" w:type="dxa"/>
            </w:tcMar>
          </w:tcPr>
          <w:p>
            <w:pPr>
              <w:keepNext w:val="0"/>
              <w:spacing w:after="40" w:line="252" w:lineRule="auto"/>
            </w:pPr>
            <w:r>
              <w:rPr>
                <w:rFonts w:ascii="Calibri" w:hAnsi="Calibri"/>
                <w:b w:val="0"/>
                <w:sz w:val="19"/>
              </w:rPr>
              <w:t>Renewal, cost and support gates met</w:t>
            </w:r>
          </w:p>
        </w:tc>
      </w:tr>
      <w:tr>
        <w:trPr>
          <w:cantSplit/>
        </w:trPr>
        <w:tc>
          <w:tcPr>
            <w:tcW w:type="dxa" w:w="1800"/>
            <w:vAlign w:val="center"/>
            <w:tcMar>
              <w:top w:w="70" w:type="dxa"/>
              <w:bottom w:w="70" w:type="dxa"/>
              <w:start w:w="120" w:type="dxa"/>
              <w:end w:w="120" w:type="dxa"/>
            </w:tcMar>
          </w:tcPr>
          <w:p>
            <w:pPr>
              <w:keepNext w:val="0"/>
              <w:spacing w:after="40" w:line="252" w:lineRule="auto"/>
            </w:pPr>
            <w:r>
              <w:rPr>
                <w:rFonts w:ascii="Calibri" w:hAnsi="Calibri"/>
                <w:b w:val="0"/>
                <w:sz w:val="19"/>
              </w:rPr>
              <w:t>DFM + first 100</w:t>
            </w:r>
          </w:p>
        </w:tc>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Months 15–24+</w:t>
            </w:r>
          </w:p>
        </w:tc>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₹12–₹25 lakh total</w:t>
            </w:r>
          </w:p>
        </w:tc>
        <w:tc>
          <w:tcPr>
            <w:tcW w:type="dxa" w:w="3360"/>
            <w:vAlign w:val="center"/>
            <w:tcMar>
              <w:top w:w="70" w:type="dxa"/>
              <w:bottom w:w="70" w:type="dxa"/>
              <w:start w:w="120" w:type="dxa"/>
              <w:end w:w="120" w:type="dxa"/>
            </w:tcMar>
          </w:tcPr>
          <w:p>
            <w:pPr>
              <w:keepNext w:val="0"/>
              <w:spacing w:after="40" w:line="252" w:lineRule="auto"/>
            </w:pPr>
            <w:r>
              <w:rPr>
                <w:rFonts w:ascii="Calibri" w:hAnsi="Calibri"/>
                <w:b w:val="0"/>
                <w:sz w:val="19"/>
              </w:rPr>
              <w:t>Quoted manufacturing, compliance, warranty and operational plan</w:t>
            </w:r>
          </w:p>
        </w:tc>
      </w:tr>
      <w:tr>
        <w:trPr>
          <w:cantSplit/>
        </w:trPr>
        <w:tc>
          <w:tcPr>
            <w:tcW w:type="dxa" w:w="1800"/>
            <w:vAlign w:val="center"/>
            <w:tcMar>
              <w:top w:w="70" w:type="dxa"/>
              <w:bottom w:w="70" w:type="dxa"/>
              <w:start w:w="120" w:type="dxa"/>
              <w:end w:w="120" w:type="dxa"/>
            </w:tcMar>
          </w:tcPr>
          <w:p>
            <w:pPr>
              <w:keepNext w:val="0"/>
              <w:spacing w:after="40" w:line="252" w:lineRule="auto"/>
            </w:pPr>
            <w:r>
              <w:rPr>
                <w:rFonts w:ascii="Calibri" w:hAnsi="Calibri"/>
                <w:b w:val="0"/>
                <w:sz w:val="19"/>
              </w:rPr>
              <w:t>Foreign expansion</w:t>
            </w:r>
          </w:p>
        </w:tc>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Not calendar-driven</w:t>
            </w:r>
          </w:p>
        </w:tc>
        <w:tc>
          <w:tcPr>
            <w:tcW w:type="dxa" w:w="2100"/>
            <w:vAlign w:val="center"/>
            <w:tcMar>
              <w:top w:w="70" w:type="dxa"/>
              <w:bottom w:w="70" w:type="dxa"/>
              <w:start w:w="120" w:type="dxa"/>
              <w:end w:w="120" w:type="dxa"/>
            </w:tcMar>
          </w:tcPr>
          <w:p>
            <w:pPr>
              <w:keepNext w:val="0"/>
              <w:spacing w:after="40" w:line="252" w:lineRule="auto"/>
            </w:pPr>
            <w:r>
              <w:rPr>
                <w:rFonts w:ascii="Calibri" w:hAnsi="Calibri"/>
                <w:b w:val="0"/>
                <w:sz w:val="19"/>
              </w:rPr>
              <w:t>Separate funded budget</w:t>
            </w:r>
          </w:p>
        </w:tc>
        <w:tc>
          <w:tcPr>
            <w:tcW w:type="dxa" w:w="3360"/>
            <w:vAlign w:val="center"/>
            <w:tcMar>
              <w:top w:w="70" w:type="dxa"/>
              <w:bottom w:w="70" w:type="dxa"/>
              <w:start w:w="120" w:type="dxa"/>
              <w:end w:w="120" w:type="dxa"/>
            </w:tcMar>
          </w:tcPr>
          <w:p>
            <w:pPr>
              <w:keepNext w:val="0"/>
              <w:spacing w:after="40" w:line="252" w:lineRule="auto"/>
            </w:pPr>
            <w:r>
              <w:rPr>
                <w:rFonts w:ascii="Calibri" w:hAnsi="Calibri"/>
                <w:b w:val="0"/>
                <w:sz w:val="19"/>
              </w:rPr>
              <w:t>Country-specific verification and an accountable support/channel partner</w:t>
            </w:r>
          </w:p>
        </w:tc>
      </w:tr>
    </w:tbl>
    <w:p>
      <w:pPr>
        <w:widowControl/>
        <w:spacing w:after="20"/>
      </w:pPr>
    </w:p>
    <w:p>
      <w:pPr>
        <w:keepLines/>
        <w:widowControl/>
      </w:pPr>
      <w:r>
        <w:rPr>
          <w:i/>
          <w:color w:val="356779"/>
          <w:sz w:val="18"/>
        </w:rPr>
        <w:t>Planning assumption: one engineer at roughly 10–15 focused hours/week alongside a job, with AI assistance but no staffed operations team. Estimates are not delivery commitments; cash excludes founder salary and must be re-quoted. Full-time work may shorten elapsed time, but field observation cannot simply be compressed.</w:t>
      </w:r>
    </w:p>
    <w:p>
      <w:pPr>
        <w:pStyle w:val="Heading2"/>
        <w:keepNext/>
        <w:keepLines/>
        <w:widowControl/>
      </w:pPr>
      <w:commentRangeStart w:id="5"/>
      <w:r>
        <w:rPr>
          <w:color w:val="000000"/>
        </w:rPr>
        <w:t>Evidence-based decision gates — replacing probability estimates</w:t>
      </w:r>
      <w:commentRangeEnd w:id="5"/>
      <w:r>
        <w:rPr>
          <w:rStyle w:val="CommentReference"/>
          <w:color w:val="000000"/>
        </w:rPr>
        <w:commentReference w:id="5"/>
      </w:r>
    </w:p>
    <w:tbl>
      <w:tblPr>
        <w:tblStyle w:val="TableGrid"/>
        <w:tblW w:type="dxa" w:w="9360"/>
        <w:tblLayout w:type="fixed"/>
        <w:tblLook w:firstColumn="1" w:firstRow="1" w:lastColumn="0" w:lastRow="0" w:noHBand="0" w:noVBand="1" w:val="04A0"/>
        <w:jc w:val="left"/>
        <w:tblInd w:w="120" w:type="dxa"/>
      </w:tblPr>
      <w:tblGrid>
        <w:gridCol w:w="2600"/>
        <w:gridCol w:w="3200"/>
        <w:gridCol w:w="3560"/>
      </w:tblGrid>
      <w:tr>
        <w:trPr>
          <w:tblHeader/>
          <w:cantSplit/>
        </w:trPr>
        <w:tc>
          <w:tcPr>
            <w:tcW w:type="dxa" w:w="26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Milestone</w:t>
            </w:r>
          </w:p>
        </w:tc>
        <w:tc>
          <w:tcPr>
            <w:tcW w:type="dxa" w:w="32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Evidence gate</w:t>
            </w:r>
          </w:p>
        </w:tc>
        <w:tc>
          <w:tcPr>
            <w:tcW w:type="dxa" w:w="356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Decision</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Problem / consent</w:t>
            </w:r>
          </w:p>
        </w:tc>
        <w:tc>
          <w:tcPr>
            <w:tcW w:type="dxa" w:w="3200"/>
            <w:vAlign w:val="center"/>
            <w:tcMar>
              <w:top w:w="70" w:type="dxa"/>
              <w:bottom w:w="70" w:type="dxa"/>
              <w:start w:w="120" w:type="dxa"/>
              <w:end w:w="120" w:type="dxa"/>
            </w:tcMar>
          </w:tcPr>
          <w:p>
            <w:pPr>
              <w:keepNext w:val="0"/>
              <w:spacing w:after="40" w:line="252" w:lineRule="auto"/>
            </w:pPr>
            <w:r>
              <w:rPr>
                <w:rFonts w:ascii="Calibri" w:hAnsi="Calibri"/>
                <w:b w:val="0"/>
                <w:sz w:val="19"/>
              </w:rPr>
              <w:t>5 installation commitments; resident opt-in</w:t>
            </w:r>
          </w:p>
        </w:tc>
        <w:tc>
          <w:tcPr>
            <w:tcW w:type="dxa" w:w="3560"/>
            <w:vAlign w:val="center"/>
            <w:tcMar>
              <w:top w:w="70" w:type="dxa"/>
              <w:bottom w:w="70" w:type="dxa"/>
              <w:start w:w="120" w:type="dxa"/>
              <w:end w:w="120" w:type="dxa"/>
            </w:tcMar>
          </w:tcPr>
          <w:p>
            <w:pPr>
              <w:keepNext w:val="0"/>
              <w:spacing w:after="40" w:line="252" w:lineRule="auto"/>
            </w:pPr>
            <w:r>
              <w:rPr>
                <w:rFonts w:ascii="Calibri" w:hAnsi="Calibri"/>
                <w:b w:val="0"/>
                <w:sz w:val="19"/>
              </w:rPr>
              <w:t>If interest is only curiosity or surveillance is rejected, narrow or stop</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Bench reliability</w:t>
            </w:r>
          </w:p>
        </w:tc>
        <w:tc>
          <w:tcPr>
            <w:tcW w:type="dxa" w:w="3200"/>
            <w:vAlign w:val="center"/>
            <w:tcMar>
              <w:top w:w="70" w:type="dxa"/>
              <w:bottom w:w="70" w:type="dxa"/>
              <w:start w:w="120" w:type="dxa"/>
              <w:end w:w="120" w:type="dxa"/>
            </w:tcMar>
          </w:tcPr>
          <w:p>
            <w:pPr>
              <w:keepNext w:val="0"/>
              <w:spacing w:after="40" w:line="252" w:lineRule="auto"/>
            </w:pPr>
            <w:r>
              <w:rPr>
                <w:rFonts w:ascii="Calibri" w:hAnsi="Calibri"/>
                <w:b w:val="0"/>
                <w:sz w:val="19"/>
              </w:rPr>
              <w:t>Scripted events, reboots, outage recovery pass</w:t>
            </w:r>
          </w:p>
        </w:tc>
        <w:tc>
          <w:tcPr>
            <w:tcW w:type="dxa" w:w="3560"/>
            <w:vAlign w:val="center"/>
            <w:tcMar>
              <w:top w:w="70" w:type="dxa"/>
              <w:bottom w:w="70" w:type="dxa"/>
              <w:start w:w="120" w:type="dxa"/>
              <w:end w:w="120" w:type="dxa"/>
            </w:tcMar>
          </w:tcPr>
          <w:p>
            <w:pPr>
              <w:keepNext w:val="0"/>
              <w:spacing w:after="40" w:line="252" w:lineRule="auto"/>
            </w:pPr>
            <w:r>
              <w:rPr>
                <w:rFonts w:ascii="Calibri" w:hAnsi="Calibri"/>
                <w:b w:val="0"/>
                <w:sz w:val="19"/>
              </w:rPr>
              <w:t>Unexplained misses block field expansion</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Ten-home usefulness</w:t>
            </w:r>
          </w:p>
        </w:tc>
        <w:tc>
          <w:tcPr>
            <w:tcW w:type="dxa" w:w="3200"/>
            <w:vAlign w:val="center"/>
            <w:tcMar>
              <w:top w:w="70" w:type="dxa"/>
              <w:bottom w:w="70" w:type="dxa"/>
              <w:start w:w="120" w:type="dxa"/>
              <w:end w:w="120" w:type="dxa"/>
            </w:tcMar>
          </w:tcPr>
          <w:p>
            <w:pPr>
              <w:keepNext w:val="0"/>
              <w:spacing w:after="40" w:line="252" w:lineRule="auto"/>
            </w:pPr>
            <w:r>
              <w:rPr>
                <w:rFonts w:ascii="Calibri" w:hAnsi="Calibri"/>
                <w:b w:val="0"/>
                <w:sz w:val="19"/>
              </w:rPr>
              <w:t>At least 7/10 keep enabled for 30 days</w:t>
            </w:r>
          </w:p>
        </w:tc>
        <w:tc>
          <w:tcPr>
            <w:tcW w:type="dxa" w:w="3560"/>
            <w:vAlign w:val="center"/>
            <w:tcMar>
              <w:top w:w="70" w:type="dxa"/>
              <w:bottom w:w="70" w:type="dxa"/>
              <w:start w:w="120" w:type="dxa"/>
              <w:end w:w="120" w:type="dxa"/>
            </w:tcMar>
          </w:tcPr>
          <w:p>
            <w:pPr>
              <w:keepNext w:val="0"/>
              <w:spacing w:after="40" w:line="252" w:lineRule="auto"/>
            </w:pPr>
            <w:r>
              <w:rPr>
                <w:rFonts w:ascii="Calibri" w:hAnsi="Calibri"/>
                <w:b w:val="0"/>
                <w:sz w:val="19"/>
              </w:rPr>
              <w:t>Investigate why others stop; do not hide withdrawals</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Alert quality</w:t>
            </w:r>
          </w:p>
        </w:tc>
        <w:tc>
          <w:tcPr>
            <w:tcW w:type="dxa" w:w="3200"/>
            <w:vAlign w:val="center"/>
            <w:tcMar>
              <w:top w:w="70" w:type="dxa"/>
              <w:bottom w:w="70" w:type="dxa"/>
              <w:start w:w="120" w:type="dxa"/>
              <w:end w:w="120" w:type="dxa"/>
            </w:tcMar>
          </w:tcPr>
          <w:p>
            <w:pPr>
              <w:keepNext w:val="0"/>
              <w:spacing w:after="40" w:line="252" w:lineRule="auto"/>
            </w:pPr>
            <w:r>
              <w:rPr>
                <w:rFonts w:ascii="Calibri" w:hAnsi="Calibri"/>
                <w:b w:val="0"/>
                <w:sz w:val="19"/>
              </w:rPr>
              <w:t>Below 1 false high-priority escalation/home-month after tuning</w:t>
            </w:r>
          </w:p>
        </w:tc>
        <w:tc>
          <w:tcPr>
            <w:tcW w:type="dxa" w:w="3560"/>
            <w:vAlign w:val="center"/>
            <w:tcMar>
              <w:top w:w="70" w:type="dxa"/>
              <w:bottom w:w="70" w:type="dxa"/>
              <w:start w:w="120" w:type="dxa"/>
              <w:end w:w="120" w:type="dxa"/>
            </w:tcMar>
          </w:tcPr>
          <w:p>
            <w:pPr>
              <w:keepNext w:val="0"/>
              <w:spacing w:after="40" w:line="252" w:lineRule="auto"/>
            </w:pPr>
            <w:r>
              <w:rPr>
                <w:rFonts w:ascii="Calibri" w:hAnsi="Calibri"/>
                <w:b w:val="0"/>
                <w:sz w:val="19"/>
              </w:rPr>
              <w:t>Also examine missed scripted events and routine nudge usefulness</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Price acceptance</w:t>
            </w:r>
          </w:p>
        </w:tc>
        <w:tc>
          <w:tcPr>
            <w:tcW w:type="dxa" w:w="3200"/>
            <w:vAlign w:val="center"/>
            <w:tcMar>
              <w:top w:w="70" w:type="dxa"/>
              <w:bottom w:w="70" w:type="dxa"/>
              <w:start w:w="120" w:type="dxa"/>
              <w:end w:w="120" w:type="dxa"/>
            </w:tcMar>
          </w:tcPr>
          <w:p>
            <w:pPr>
              <w:keepNext w:val="0"/>
              <w:spacing w:after="40" w:line="252" w:lineRule="auto"/>
            </w:pPr>
            <w:r>
              <w:rPr>
                <w:rFonts w:ascii="Calibri" w:hAnsi="Calibri"/>
                <w:b w:val="0"/>
                <w:sz w:val="19"/>
              </w:rPr>
              <w:t>At least 5/10 agree to continued paid use at disclosed terms</w:t>
            </w:r>
          </w:p>
        </w:tc>
        <w:tc>
          <w:tcPr>
            <w:tcW w:type="dxa" w:w="3560"/>
            <w:vAlign w:val="center"/>
            <w:tcMar>
              <w:top w:w="70" w:type="dxa"/>
              <w:bottom w:w="70" w:type="dxa"/>
              <w:start w:w="120" w:type="dxa"/>
              <w:end w:w="120" w:type="dxa"/>
            </w:tcMar>
          </w:tcPr>
          <w:p>
            <w:pPr>
              <w:keepNext w:val="0"/>
              <w:spacing w:after="40" w:line="252" w:lineRule="auto"/>
            </w:pPr>
            <w:r>
              <w:rPr>
                <w:rFonts w:ascii="Calibri" w:hAnsi="Calibri"/>
                <w:b w:val="0"/>
                <w:sz w:val="19"/>
              </w:rPr>
              <w:t>Small-sample gate, not a population conversion estimate</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Economics / support</w:t>
            </w:r>
          </w:p>
        </w:tc>
        <w:tc>
          <w:tcPr>
            <w:tcW w:type="dxa" w:w="3200"/>
            <w:vAlign w:val="center"/>
            <w:tcMar>
              <w:top w:w="70" w:type="dxa"/>
              <w:bottom w:w="70" w:type="dxa"/>
              <w:start w:w="120" w:type="dxa"/>
              <w:end w:w="120" w:type="dxa"/>
            </w:tcMar>
          </w:tcPr>
          <w:p>
            <w:pPr>
              <w:keepNext w:val="0"/>
              <w:spacing w:after="40" w:line="252" w:lineRule="auto"/>
            </w:pPr>
            <w:r>
              <w:rPr>
                <w:rFonts w:ascii="Calibri" w:hAnsi="Calibri"/>
                <w:b w:val="0"/>
                <w:sz w:val="19"/>
              </w:rPr>
              <w:t>Itemised COGS, acquisition and service cost measured</w:t>
            </w:r>
          </w:p>
        </w:tc>
        <w:tc>
          <w:tcPr>
            <w:tcW w:type="dxa" w:w="3560"/>
            <w:vAlign w:val="center"/>
            <w:tcMar>
              <w:top w:w="70" w:type="dxa"/>
              <w:bottom w:w="70" w:type="dxa"/>
              <w:start w:w="120" w:type="dxa"/>
              <w:end w:w="120" w:type="dxa"/>
            </w:tcMar>
          </w:tcPr>
          <w:p>
            <w:pPr>
              <w:keepNext w:val="0"/>
              <w:spacing w:after="40" w:line="252" w:lineRule="auto"/>
            </w:pPr>
            <w:r>
              <w:rPr>
                <w:rFonts w:ascii="Calibri" w:hAnsi="Calibri"/>
                <w:b w:val="0"/>
                <w:sz w:val="19"/>
              </w:rPr>
              <w:t>Reprice or redesign if contribution/support is unsustainable</w:t>
            </w:r>
          </w:p>
        </w:tc>
      </w:tr>
      <w:tr>
        <w:trPr>
          <w:cantSplit/>
        </w:trPr>
        <w:tc>
          <w:tcPr>
            <w:tcW w:type="dxa" w:w="2600"/>
            <w:vAlign w:val="center"/>
            <w:tcMar>
              <w:top w:w="70" w:type="dxa"/>
              <w:bottom w:w="70" w:type="dxa"/>
              <w:start w:w="120" w:type="dxa"/>
              <w:end w:w="120" w:type="dxa"/>
            </w:tcMar>
          </w:tcPr>
          <w:p>
            <w:pPr>
              <w:keepNext w:val="0"/>
              <w:spacing w:after="40" w:line="252" w:lineRule="auto"/>
            </w:pPr>
            <w:r>
              <w:rPr>
                <w:rFonts w:ascii="Calibri" w:hAnsi="Calibri"/>
                <w:b w:val="0"/>
                <w:sz w:val="19"/>
              </w:rPr>
              <w:t>Scale / export</w:t>
            </w:r>
          </w:p>
        </w:tc>
        <w:tc>
          <w:tcPr>
            <w:tcW w:type="dxa" w:w="3200"/>
            <w:vAlign w:val="center"/>
            <w:tcMar>
              <w:top w:w="70" w:type="dxa"/>
              <w:bottom w:w="70" w:type="dxa"/>
              <w:start w:w="120" w:type="dxa"/>
              <w:end w:w="120" w:type="dxa"/>
            </w:tcMar>
          </w:tcPr>
          <w:p>
            <w:pPr>
              <w:keepNext w:val="0"/>
              <w:spacing w:after="40" w:line="252" w:lineRule="auto"/>
            </w:pPr>
            <w:r>
              <w:rPr>
                <w:rFonts w:ascii="Calibri" w:hAnsi="Calibri"/>
                <w:b w:val="0"/>
                <w:sz w:val="19"/>
              </w:rPr>
              <w:t>Repeatable installs, partner capacity and compliance plan</w:t>
            </w:r>
          </w:p>
        </w:tc>
        <w:tc>
          <w:tcPr>
            <w:tcW w:type="dxa" w:w="3560"/>
            <w:vAlign w:val="center"/>
            <w:tcMar>
              <w:top w:w="70" w:type="dxa"/>
              <w:bottom w:w="70" w:type="dxa"/>
              <w:start w:w="120" w:type="dxa"/>
              <w:end w:w="120" w:type="dxa"/>
            </w:tcMar>
          </w:tcPr>
          <w:p>
            <w:pPr>
              <w:keepNext w:val="0"/>
              <w:spacing w:after="40" w:line="252" w:lineRule="auto"/>
            </w:pPr>
            <w:r>
              <w:rPr>
                <w:rFonts w:ascii="Calibri" w:hAnsi="Calibri"/>
                <w:b w:val="0"/>
                <w:sz w:val="19"/>
              </w:rPr>
              <w:t>No numerical chance of success is assigned without evidence</w:t>
            </w:r>
          </w:p>
        </w:tc>
      </w:tr>
    </w:tbl>
    <w:p>
      <w:pPr>
        <w:widowControl/>
        <w:spacing w:after="20"/>
      </w:pPr>
    </w:p>
    <w:p>
      <w:pPr>
        <w:pStyle w:val="Heading1"/>
        <w:keepNext/>
        <w:keepLines/>
        <w:widowControl/>
        <w:spacing w:before="360"/>
      </w:pPr>
      <w:r>
        <w:rPr>
          <w:color w:val="000000"/>
        </w:rPr>
        <w:t>First 90 days and staged pilot roadmap</w:t>
      </w:r>
    </w:p>
    <w:tbl>
      <w:tblPr>
        <w:tblStyle w:val="TableGrid"/>
        <w:tblW w:type="dxa" w:w="9360"/>
        <w:tblLayout w:type="fixed"/>
        <w:tblLook w:firstColumn="1" w:firstRow="1" w:lastColumn="0" w:lastRow="0" w:noHBand="0" w:noVBand="1" w:val="04A0"/>
        <w:jc w:val="left"/>
        <w:tblInd w:w="120" w:type="dxa"/>
      </w:tblPr>
      <w:tblGrid>
        <w:gridCol w:w="1350"/>
        <w:gridCol w:w="2900"/>
        <w:gridCol w:w="5110"/>
      </w:tblGrid>
      <w:tr>
        <w:trPr>
          <w:tblHeader/>
          <w:cantSplit/>
        </w:trPr>
        <w:tc>
          <w:tcPr>
            <w:tcW w:type="dxa" w:w="135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Period</w:t>
            </w:r>
          </w:p>
        </w:tc>
        <w:tc>
          <w:tcPr>
            <w:tcW w:type="dxa" w:w="29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Focus</w:t>
            </w:r>
          </w:p>
        </w:tc>
        <w:tc>
          <w:tcPr>
            <w:tcW w:type="dxa" w:w="511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Deliverable</w:t>
            </w:r>
          </w:p>
        </w:tc>
      </w:tr>
      <w:tr>
        <w:trPr>
          <w:cantSplit/>
        </w:trPr>
        <w:tc>
          <w:tcPr>
            <w:tcW w:type="dxa" w:w="1350"/>
            <w:vAlign w:val="center"/>
            <w:tcMar>
              <w:top w:w="70" w:type="dxa"/>
              <w:bottom w:w="70" w:type="dxa"/>
              <w:start w:w="120" w:type="dxa"/>
              <w:end w:w="120" w:type="dxa"/>
            </w:tcMar>
          </w:tcPr>
          <w:p>
            <w:pPr>
              <w:keepNext w:val="0"/>
              <w:spacing w:after="40" w:line="252" w:lineRule="auto"/>
            </w:pPr>
            <w:r>
              <w:rPr>
                <w:rFonts w:ascii="Calibri" w:hAnsi="Calibri"/>
                <w:b w:val="0"/>
                <w:sz w:val="19"/>
              </w:rPr>
              <w:t>Weeks 1–4</w:t>
            </w:r>
          </w:p>
        </w:tc>
        <w:tc>
          <w:tcPr>
            <w:tcW w:type="dxa" w:w="2900"/>
            <w:vAlign w:val="center"/>
            <w:tcMar>
              <w:top w:w="70" w:type="dxa"/>
              <w:bottom w:w="70" w:type="dxa"/>
              <w:start w:w="120" w:type="dxa"/>
              <w:end w:w="120" w:type="dxa"/>
            </w:tcMar>
          </w:tcPr>
          <w:p>
            <w:pPr>
              <w:keepNext w:val="0"/>
              <w:spacing w:after="40" w:line="252" w:lineRule="auto"/>
            </w:pPr>
            <w:r>
              <w:rPr>
                <w:rFonts w:ascii="Calibri" w:hAnsi="Calibri"/>
                <w:b w:val="0"/>
                <w:sz w:val="19"/>
              </w:rPr>
              <w:t>Customer discovery + architecture</w:t>
            </w:r>
          </w:p>
        </w:tc>
        <w:tc>
          <w:tcPr>
            <w:tcW w:type="dxa" w:w="5110"/>
            <w:vAlign w:val="center"/>
            <w:tcMar>
              <w:top w:w="70" w:type="dxa"/>
              <w:bottom w:w="70" w:type="dxa"/>
              <w:start w:w="120" w:type="dxa"/>
              <w:end w:w="120" w:type="dxa"/>
            </w:tcMar>
          </w:tcPr>
          <w:p>
            <w:pPr>
              <w:keepNext w:val="0"/>
              <w:spacing w:after="40" w:line="252" w:lineRule="auto"/>
            </w:pPr>
            <w:r>
              <w:rPr>
                <w:rFonts w:ascii="Calibri" w:hAnsi="Calibri"/>
                <w:b w:val="0"/>
                <w:sz w:val="19"/>
              </w:rPr>
              <w:t>20 family/resident interviews; provider input; three alert mock-ups; consent, responder and price test</w:t>
            </w:r>
          </w:p>
        </w:tc>
      </w:tr>
      <w:tr>
        <w:trPr>
          <w:cantSplit/>
        </w:trPr>
        <w:tc>
          <w:tcPr>
            <w:tcW w:type="dxa" w:w="1350"/>
            <w:vAlign w:val="center"/>
            <w:tcMar>
              <w:top w:w="70" w:type="dxa"/>
              <w:bottom w:w="70" w:type="dxa"/>
              <w:start w:w="120" w:type="dxa"/>
              <w:end w:w="120" w:type="dxa"/>
            </w:tcMar>
          </w:tcPr>
          <w:p>
            <w:pPr>
              <w:keepNext w:val="0"/>
              <w:spacing w:after="40" w:line="252" w:lineRule="auto"/>
            </w:pPr>
            <w:r>
              <w:rPr>
                <w:rFonts w:ascii="Calibri" w:hAnsi="Calibri"/>
                <w:b w:val="0"/>
                <w:sz w:val="19"/>
              </w:rPr>
              <w:t>Weeks 5–8</w:t>
            </w:r>
          </w:p>
        </w:tc>
        <w:tc>
          <w:tcPr>
            <w:tcW w:type="dxa" w:w="2900"/>
            <w:vAlign w:val="center"/>
            <w:tcMar>
              <w:top w:w="70" w:type="dxa"/>
              <w:bottom w:w="70" w:type="dxa"/>
              <w:start w:w="120" w:type="dxa"/>
              <w:end w:w="120" w:type="dxa"/>
            </w:tcMar>
          </w:tcPr>
          <w:p>
            <w:pPr>
              <w:keepNext w:val="0"/>
              <w:spacing w:after="40" w:line="252" w:lineRule="auto"/>
            </w:pPr>
            <w:r>
              <w:rPr>
                <w:rFonts w:ascii="Calibri" w:hAnsi="Calibri"/>
                <w:b w:val="0"/>
                <w:sz w:val="19"/>
              </w:rPr>
              <w:t>Bench prototype</w:t>
            </w:r>
          </w:p>
        </w:tc>
        <w:tc>
          <w:tcPr>
            <w:tcW w:type="dxa" w:w="5110"/>
            <w:vAlign w:val="center"/>
            <w:tcMar>
              <w:top w:w="70" w:type="dxa"/>
              <w:bottom w:w="70" w:type="dxa"/>
              <w:start w:w="120" w:type="dxa"/>
              <w:end w:w="120" w:type="dxa"/>
            </w:tcMar>
          </w:tcPr>
          <w:p>
            <w:pPr>
              <w:keepNext w:val="0"/>
              <w:spacing w:after="40" w:line="252" w:lineRule="auto"/>
            </w:pPr>
            <w:r>
              <w:rPr>
                <w:rFonts w:ascii="Calibri" w:hAnsi="Calibri"/>
                <w:b w:val="0"/>
                <w:sz w:val="19"/>
              </w:rPr>
              <w:t>S3 hub + 3 C3 nodes; event log; physical button; actual power and radio measurements</w:t>
            </w:r>
          </w:p>
        </w:tc>
      </w:tr>
      <w:tr>
        <w:trPr>
          <w:cantSplit/>
        </w:trPr>
        <w:tc>
          <w:tcPr>
            <w:tcW w:type="dxa" w:w="1350"/>
            <w:vAlign w:val="center"/>
            <w:tcMar>
              <w:top w:w="70" w:type="dxa"/>
              <w:bottom w:w="70" w:type="dxa"/>
              <w:start w:w="120" w:type="dxa"/>
              <w:end w:w="120" w:type="dxa"/>
            </w:tcMar>
          </w:tcPr>
          <w:p>
            <w:pPr>
              <w:keepNext w:val="0"/>
              <w:spacing w:after="40" w:line="252" w:lineRule="auto"/>
            </w:pPr>
            <w:r>
              <w:rPr>
                <w:rFonts w:ascii="Calibri" w:hAnsi="Calibri"/>
                <w:b w:val="0"/>
                <w:sz w:val="19"/>
              </w:rPr>
              <w:t>Weeks 9–12</w:t>
            </w:r>
          </w:p>
        </w:tc>
        <w:tc>
          <w:tcPr>
            <w:tcW w:type="dxa" w:w="2900"/>
            <w:vAlign w:val="center"/>
            <w:tcMar>
              <w:top w:w="70" w:type="dxa"/>
              <w:bottom w:w="70" w:type="dxa"/>
              <w:start w:w="120" w:type="dxa"/>
              <w:end w:w="120" w:type="dxa"/>
            </w:tcMar>
          </w:tcPr>
          <w:p>
            <w:pPr>
              <w:keepNext w:val="0"/>
              <w:spacing w:after="40" w:line="252" w:lineRule="auto"/>
            </w:pPr>
            <w:r>
              <w:rPr>
                <w:rFonts w:ascii="Calibri" w:hAnsi="Calibri"/>
                <w:b w:val="0"/>
                <w:sz w:val="19"/>
              </w:rPr>
              <w:t>End-to-end validation</w:t>
            </w:r>
          </w:p>
        </w:tc>
        <w:tc>
          <w:tcPr>
            <w:tcW w:type="dxa" w:w="5110"/>
            <w:vAlign w:val="center"/>
            <w:tcMar>
              <w:top w:w="70" w:type="dxa"/>
              <w:bottom w:w="70" w:type="dxa"/>
              <w:start w:w="120" w:type="dxa"/>
              <w:end w:w="120" w:type="dxa"/>
            </w:tcMar>
          </w:tcPr>
          <w:p>
            <w:pPr>
              <w:keepNext w:val="0"/>
              <w:spacing w:after="40" w:line="252" w:lineRule="auto"/>
            </w:pPr>
            <w:r>
              <w:rPr>
                <w:rFonts w:ascii="Calibri" w:hAnsi="Calibri"/>
                <w:b w:val="0"/>
                <w:sz w:val="19"/>
              </w:rPr>
              <w:t>Simple PWA/push; stale-data states; retry/duplicate tests; no automatic ten-home deployment</w:t>
            </w:r>
          </w:p>
        </w:tc>
      </w:tr>
      <w:tr>
        <w:trPr>
          <w:cantSplit/>
        </w:trPr>
        <w:tc>
          <w:tcPr>
            <w:tcW w:type="dxa" w:w="1350"/>
            <w:vAlign w:val="center"/>
            <w:tcMar>
              <w:top w:w="70" w:type="dxa"/>
              <w:bottom w:w="70" w:type="dxa"/>
              <w:start w:w="120" w:type="dxa"/>
              <w:end w:w="120" w:type="dxa"/>
            </w:tcMar>
          </w:tcPr>
          <w:p>
            <w:pPr>
              <w:keepNext w:val="0"/>
              <w:spacing w:after="40" w:line="252" w:lineRule="auto"/>
            </w:pPr>
            <w:r>
              <w:rPr>
                <w:rFonts w:ascii="Calibri" w:hAnsi="Calibri"/>
                <w:b w:val="0"/>
                <w:sz w:val="19"/>
              </w:rPr>
              <w:t>Months 4–5</w:t>
            </w:r>
          </w:p>
        </w:tc>
        <w:tc>
          <w:tcPr>
            <w:tcW w:type="dxa" w:w="2900"/>
            <w:vAlign w:val="center"/>
            <w:tcMar>
              <w:top w:w="70" w:type="dxa"/>
              <w:bottom w:w="70" w:type="dxa"/>
              <w:start w:w="120" w:type="dxa"/>
              <w:end w:w="120" w:type="dxa"/>
            </w:tcMar>
          </w:tcPr>
          <w:p>
            <w:pPr>
              <w:keepNext w:val="0"/>
              <w:spacing w:after="40" w:line="252" w:lineRule="auto"/>
            </w:pPr>
            <w:r>
              <w:rPr>
                <w:rFonts w:ascii="Calibri" w:hAnsi="Calibri"/>
                <w:b w:val="0"/>
                <w:sz w:val="19"/>
              </w:rPr>
              <w:t>Two-home rehearsal</w:t>
            </w:r>
          </w:p>
        </w:tc>
        <w:tc>
          <w:tcPr>
            <w:tcW w:type="dxa" w:w="5110"/>
            <w:vAlign w:val="center"/>
            <w:tcMar>
              <w:top w:w="70" w:type="dxa"/>
              <w:bottom w:w="70" w:type="dxa"/>
              <w:start w:w="120" w:type="dxa"/>
              <w:end w:w="120" w:type="dxa"/>
            </w:tcMar>
          </w:tcPr>
          <w:p>
            <w:pPr>
              <w:keepNext w:val="0"/>
              <w:spacing w:after="40" w:line="252" w:lineRule="auto"/>
            </w:pPr>
            <w:r>
              <w:rPr>
                <w:rFonts w:ascii="Calibri" w:hAnsi="Calibri"/>
                <w:b w:val="0"/>
                <w:sz w:val="19"/>
              </w:rPr>
              <w:t>Placement, permissions, false-alert review and outage tests with consenting users</w:t>
            </w:r>
          </w:p>
        </w:tc>
      </w:tr>
      <w:tr>
        <w:trPr>
          <w:cantSplit/>
        </w:trPr>
        <w:tc>
          <w:tcPr>
            <w:tcW w:type="dxa" w:w="1350"/>
            <w:vAlign w:val="center"/>
            <w:tcMar>
              <w:top w:w="70" w:type="dxa"/>
              <w:bottom w:w="70" w:type="dxa"/>
              <w:start w:w="120" w:type="dxa"/>
              <w:end w:w="120" w:type="dxa"/>
            </w:tcMar>
          </w:tcPr>
          <w:p>
            <w:pPr>
              <w:keepNext w:val="0"/>
              <w:spacing w:after="40" w:line="252" w:lineRule="auto"/>
            </w:pPr>
            <w:r>
              <w:rPr>
                <w:rFonts w:ascii="Calibri" w:hAnsi="Calibri"/>
                <w:b w:val="0"/>
                <w:sz w:val="19"/>
              </w:rPr>
              <w:t>Months 6–8</w:t>
            </w:r>
          </w:p>
        </w:tc>
        <w:tc>
          <w:tcPr>
            <w:tcW w:type="dxa" w:w="2900"/>
            <w:vAlign w:val="center"/>
            <w:tcMar>
              <w:top w:w="70" w:type="dxa"/>
              <w:bottom w:w="70" w:type="dxa"/>
              <w:start w:w="120" w:type="dxa"/>
              <w:end w:w="120" w:type="dxa"/>
            </w:tcMar>
          </w:tcPr>
          <w:p>
            <w:pPr>
              <w:keepNext w:val="0"/>
              <w:spacing w:after="40" w:line="252" w:lineRule="auto"/>
            </w:pPr>
            <w:r>
              <w:rPr>
                <w:rFonts w:ascii="Calibri" w:hAnsi="Calibri"/>
                <w:b w:val="0"/>
                <w:sz w:val="19"/>
              </w:rPr>
              <w:t>Ten-home pilot</w:t>
            </w:r>
          </w:p>
        </w:tc>
        <w:tc>
          <w:tcPr>
            <w:tcW w:type="dxa" w:w="5110"/>
            <w:vAlign w:val="center"/>
            <w:tcMar>
              <w:top w:w="70" w:type="dxa"/>
              <w:bottom w:w="70" w:type="dxa"/>
              <w:start w:w="120" w:type="dxa"/>
              <w:end w:w="120" w:type="dxa"/>
            </w:tcMar>
          </w:tcPr>
          <w:p>
            <w:pPr>
              <w:keepNext w:val="0"/>
              <w:spacing w:after="40" w:line="252" w:lineRule="auto"/>
            </w:pPr>
            <w:r>
              <w:rPr>
                <w:rFonts w:ascii="Calibri" w:hAnsi="Calibri"/>
                <w:b w:val="0"/>
                <w:sz w:val="19"/>
              </w:rPr>
              <w:t>30-day observation per home; willingness to continue; support and cost records</w:t>
            </w:r>
          </w:p>
        </w:tc>
      </w:tr>
      <w:tr>
        <w:trPr>
          <w:cantSplit/>
        </w:trPr>
        <w:tc>
          <w:tcPr>
            <w:tcW w:type="dxa" w:w="1350"/>
            <w:vAlign w:val="center"/>
            <w:tcMar>
              <w:top w:w="70" w:type="dxa"/>
              <w:bottom w:w="70" w:type="dxa"/>
              <w:start w:w="120" w:type="dxa"/>
              <w:end w:w="120" w:type="dxa"/>
            </w:tcMar>
          </w:tcPr>
          <w:p>
            <w:pPr>
              <w:keepNext w:val="0"/>
              <w:spacing w:after="40" w:line="252" w:lineRule="auto"/>
            </w:pPr>
            <w:r>
              <w:rPr>
                <w:rFonts w:ascii="Calibri" w:hAnsi="Calibri"/>
                <w:b w:val="0"/>
                <w:sz w:val="19"/>
              </w:rPr>
              <w:t>After pilot</w:t>
            </w:r>
          </w:p>
        </w:tc>
        <w:tc>
          <w:tcPr>
            <w:tcW w:type="dxa" w:w="2900"/>
            <w:vAlign w:val="center"/>
            <w:tcMar>
              <w:top w:w="70" w:type="dxa"/>
              <w:bottom w:w="70" w:type="dxa"/>
              <w:start w:w="120" w:type="dxa"/>
              <w:end w:w="120" w:type="dxa"/>
            </w:tcMar>
          </w:tcPr>
          <w:p>
            <w:pPr>
              <w:keepNext w:val="0"/>
              <w:spacing w:after="40" w:line="252" w:lineRule="auto"/>
            </w:pPr>
            <w:r>
              <w:rPr>
                <w:rFonts w:ascii="Calibri" w:hAnsi="Calibri"/>
                <w:b w:val="0"/>
                <w:sz w:val="19"/>
              </w:rPr>
              <w:t>Continue, narrow or stop</w:t>
            </w:r>
          </w:p>
        </w:tc>
        <w:tc>
          <w:tcPr>
            <w:tcW w:type="dxa" w:w="5110"/>
            <w:vAlign w:val="center"/>
            <w:tcMar>
              <w:top w:w="70" w:type="dxa"/>
              <w:bottom w:w="70" w:type="dxa"/>
              <w:start w:w="120" w:type="dxa"/>
              <w:end w:w="120" w:type="dxa"/>
            </w:tcMar>
          </w:tcPr>
          <w:p>
            <w:pPr>
              <w:keepNext w:val="0"/>
              <w:spacing w:after="40" w:line="252" w:lineRule="auto"/>
            </w:pPr>
            <w:r>
              <w:rPr>
                <w:rFonts w:ascii="Calibri" w:hAnsi="Calibri"/>
                <w:b w:val="0"/>
                <w:sz w:val="19"/>
              </w:rPr>
              <w:t>Use evidence gates before PCB tooling, feature expansion or distribution spend</w:t>
            </w:r>
          </w:p>
        </w:tc>
      </w:tr>
    </w:tbl>
    <w:p>
      <w:pPr>
        <w:widowControl/>
        <w:spacing w:after="20"/>
      </w:pPr>
    </w:p>
    <w:tbl>
      <w:tblPr>
        <w:tblW w:type="dxa" w:w="9360"/>
        <w:tblLayout w:type="fixed"/>
        <w:tblLook w:firstColumn="1" w:firstRow="1" w:lastColumn="0" w:lastRow="0" w:noHBand="0" w:noVBand="1" w:val="04A0"/>
        <w:jc w:val="left"/>
        <w:tblInd w:w="120" w:type="dxa"/>
      </w:tblPr>
      <w:tblGrid>
        <w:gridCol w:w="9360"/>
      </w:tblGrid>
      <w:tr>
        <w:trPr>
          <w:cantSplit/>
        </w:trPr>
        <w:tc>
          <w:tcPr>
            <w:tcW w:type="dxa" w:w="9360"/>
            <w:tcMar>
              <w:top w:w="110" w:type="dxa"/>
              <w:start w:w="120" w:type="dxa"/>
              <w:bottom w:w="110" w:type="dxa"/>
              <w:end w:w="120" w:type="dxa"/>
            </w:tcMar>
            <w:shd w:fill="F4F6F9"/>
            <w:vAlign w:val="center"/>
          </w:tcPr>
          <w:p>
            <w:pPr>
              <w:spacing w:after="40"/>
            </w:pPr>
            <w:r>
              <w:rPr>
                <w:rFonts w:ascii="Calibri" w:hAnsi="Calibri"/>
                <w:b/>
                <w:color w:val="9B1C1C"/>
                <w:sz w:val="22"/>
              </w:rPr>
              <w:t>Kill / pivot rule  Pause expansion if resident consent is absent, scripted critical events are missed, coverage loss is hidden, fewer than 7/10 pilot homes remain active after 30 days, false high-priority alerts remain above one/home-month, or willingness to pay and service economics fail. Fix the cause; do not add AI features to disguise weak fit.</w:t>
            </w:r>
          </w:p>
        </w:tc>
      </w:tr>
    </w:tbl>
    <w:p>
      <w:pPr>
        <w:widowControl/>
        <w:spacing w:after="20"/>
      </w:pPr>
    </w:p>
    <w:p>
      <w:pPr>
        <w:pStyle w:val="Heading1"/>
        <w:keepNext/>
        <w:keepLines/>
        <w:widowControl/>
      </w:pPr>
      <w:r>
        <w:rPr>
          <w:color w:val="000000"/>
        </w:rPr>
        <w:t>Why Family Check-in remains the preferred first-business hypothesis</w:t>
      </w:r>
    </w:p>
    <w:tbl>
      <w:tblPr>
        <w:tblStyle w:val="TableGrid"/>
        <w:tblW w:type="dxa" w:w="9360"/>
        <w:tblLayout w:type="fixed"/>
        <w:tblLook w:firstColumn="1" w:firstRow="1" w:lastColumn="0" w:lastRow="0" w:noHBand="0" w:noVBand="1" w:val="04A0"/>
        <w:jc w:val="left"/>
        <w:tblInd w:w="120" w:type="dxa"/>
      </w:tblPr>
      <w:tblGrid>
        <w:gridCol w:w="1850"/>
        <w:gridCol w:w="3755"/>
        <w:gridCol w:w="3755"/>
      </w:tblGrid>
      <w:tr>
        <w:trPr>
          <w:tblHeader/>
          <w:cantSplit/>
        </w:trPr>
        <w:tc>
          <w:tcPr>
            <w:tcW w:type="dxa" w:w="185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Criterion</w:t>
            </w:r>
          </w:p>
        </w:tc>
        <w:tc>
          <w:tcPr>
            <w:tcW w:type="dxa" w:w="3755"/>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Family Check-in &amp; Home Risk</w:t>
            </w:r>
          </w:p>
        </w:tc>
        <w:tc>
          <w:tcPr>
            <w:tcW w:type="dxa" w:w="3755"/>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Kids’ AI camera / activity buddy</w:t>
            </w:r>
          </w:p>
        </w:tc>
      </w:tr>
      <w:tr>
        <w:trPr>
          <w:cantSplit/>
        </w:trPr>
        <w:tc>
          <w:tcPr>
            <w:tcW w:type="dxa" w:w="1850"/>
            <w:vAlign w:val="center"/>
            <w:tcMar>
              <w:top w:w="70" w:type="dxa"/>
              <w:bottom w:w="70" w:type="dxa"/>
              <w:start w:w="120" w:type="dxa"/>
              <w:end w:w="120" w:type="dxa"/>
            </w:tcMar>
          </w:tcPr>
          <w:p>
            <w:pPr>
              <w:keepNext w:val="0"/>
              <w:spacing w:after="40" w:line="252" w:lineRule="auto"/>
            </w:pPr>
            <w:r>
              <w:rPr>
                <w:rFonts w:ascii="Calibri" w:hAnsi="Calibri"/>
                <w:b w:val="0"/>
                <w:sz w:val="19"/>
              </w:rPr>
              <w:t>Buyer need</w:t>
            </w:r>
          </w:p>
        </w:tc>
        <w:tc>
          <w:tcPr>
            <w:tcW w:type="dxa" w:w="3755"/>
            <w:vAlign w:val="center"/>
            <w:tcMar>
              <w:top w:w="70" w:type="dxa"/>
              <w:bottom w:w="70" w:type="dxa"/>
              <w:start w:w="120" w:type="dxa"/>
              <w:end w:w="120" w:type="dxa"/>
            </w:tcMar>
          </w:tcPr>
          <w:p>
            <w:pPr>
              <w:keepNext w:val="0"/>
              <w:spacing w:after="40" w:line="252" w:lineRule="auto"/>
            </w:pPr>
            <w:r>
              <w:rPr>
                <w:rFonts w:ascii="Calibri" w:hAnsi="Calibri"/>
                <w:b w:val="0"/>
                <w:sz w:val="19"/>
              </w:rPr>
              <w:t>Continuing reassurance need with an identifiable adult payer; still needs validation</w:t>
            </w:r>
          </w:p>
        </w:tc>
        <w:tc>
          <w:tcPr>
            <w:tcW w:type="dxa" w:w="3755"/>
            <w:vAlign w:val="center"/>
            <w:tcMar>
              <w:top w:w="70" w:type="dxa"/>
              <w:bottom w:w="70" w:type="dxa"/>
              <w:start w:w="120" w:type="dxa"/>
              <w:end w:w="120" w:type="dxa"/>
            </w:tcMar>
          </w:tcPr>
          <w:p>
            <w:pPr>
              <w:keepNext w:val="0"/>
              <w:spacing w:after="40" w:line="252" w:lineRule="auto"/>
            </w:pPr>
            <w:r>
              <w:rPr>
                <w:rFonts w:ascii="Calibri" w:hAnsi="Calibri"/>
                <w:b w:val="0"/>
                <w:sz w:val="19"/>
              </w:rPr>
              <w:t>Engagement/screen-time relief; retention and willingness to pay untested</w:t>
            </w:r>
          </w:p>
        </w:tc>
      </w:tr>
      <w:tr>
        <w:trPr>
          <w:cantSplit/>
        </w:trPr>
        <w:tc>
          <w:tcPr>
            <w:tcW w:type="dxa" w:w="1850"/>
            <w:vAlign w:val="center"/>
            <w:tcMar>
              <w:top w:w="70" w:type="dxa"/>
              <w:bottom w:w="70" w:type="dxa"/>
              <w:start w:w="120" w:type="dxa"/>
              <w:end w:w="120" w:type="dxa"/>
            </w:tcMar>
          </w:tcPr>
          <w:p>
            <w:pPr>
              <w:keepNext w:val="0"/>
              <w:spacing w:after="40" w:line="252" w:lineRule="auto"/>
            </w:pPr>
            <w:r>
              <w:rPr>
                <w:rFonts w:ascii="Calibri" w:hAnsi="Calibri"/>
                <w:b w:val="0"/>
                <w:sz w:val="19"/>
              </w:rPr>
              <w:t>Competition</w:t>
            </w:r>
          </w:p>
        </w:tc>
        <w:tc>
          <w:tcPr>
            <w:tcW w:type="dxa" w:w="3755"/>
            <w:vAlign w:val="center"/>
            <w:tcMar>
              <w:top w:w="70" w:type="dxa"/>
              <w:bottom w:w="70" w:type="dxa"/>
              <w:start w:w="120" w:type="dxa"/>
              <w:end w:w="120" w:type="dxa"/>
            </w:tcMar>
          </w:tcPr>
          <w:p>
            <w:pPr>
              <w:keepNext w:val="0"/>
              <w:spacing w:after="40" w:line="252" w:lineRule="auto"/>
            </w:pPr>
            <w:r>
              <w:rPr>
                <w:rFonts w:ascii="Calibri" w:hAnsi="Calibri"/>
                <w:b w:val="0"/>
                <w:sz w:val="19"/>
              </w:rPr>
              <w:t>Nomo/OdeCare and care services already overlap; geography/workflow may differentiate</w:t>
            </w:r>
          </w:p>
        </w:tc>
        <w:tc>
          <w:tcPr>
            <w:tcW w:type="dxa" w:w="3755"/>
            <w:vAlign w:val="center"/>
            <w:tcMar>
              <w:top w:w="70" w:type="dxa"/>
              <w:bottom w:w="70" w:type="dxa"/>
              <w:start w:w="120" w:type="dxa"/>
              <w:end w:w="120" w:type="dxa"/>
            </w:tcMar>
          </w:tcPr>
          <w:p>
            <w:pPr>
              <w:keepNext w:val="0"/>
              <w:spacing w:after="40" w:line="252" w:lineRule="auto"/>
            </w:pPr>
            <w:r>
              <w:rPr>
                <w:rFonts w:ascii="Calibri" w:hAnsi="Calibri"/>
                <w:b w:val="0"/>
                <w:sz w:val="19"/>
              </w:rPr>
              <w:t>Affordable AI companions such as $99 ESP32-S3 StackChan set a benchmark [S19]</w:t>
            </w:r>
          </w:p>
        </w:tc>
      </w:tr>
      <w:tr>
        <w:trPr>
          <w:cantSplit/>
        </w:trPr>
        <w:tc>
          <w:tcPr>
            <w:tcW w:type="dxa" w:w="1850"/>
            <w:vAlign w:val="center"/>
            <w:tcMar>
              <w:top w:w="70" w:type="dxa"/>
              <w:bottom w:w="70" w:type="dxa"/>
              <w:start w:w="120" w:type="dxa"/>
              <w:end w:w="120" w:type="dxa"/>
            </w:tcMar>
          </w:tcPr>
          <w:p>
            <w:pPr>
              <w:keepNext w:val="0"/>
              <w:spacing w:after="40" w:line="252" w:lineRule="auto"/>
            </w:pPr>
            <w:r>
              <w:rPr>
                <w:rFonts w:ascii="Calibri" w:hAnsi="Calibri"/>
                <w:b w:val="0"/>
                <w:sz w:val="19"/>
              </w:rPr>
              <w:t>Defensibility</w:t>
            </w:r>
          </w:p>
        </w:tc>
        <w:tc>
          <w:tcPr>
            <w:tcW w:type="dxa" w:w="3755"/>
            <w:vAlign w:val="center"/>
            <w:tcMar>
              <w:top w:w="70" w:type="dxa"/>
              <w:bottom w:w="70" w:type="dxa"/>
              <w:start w:w="120" w:type="dxa"/>
              <w:end w:w="120" w:type="dxa"/>
            </w:tcMar>
          </w:tcPr>
          <w:p>
            <w:pPr>
              <w:keepNext w:val="0"/>
              <w:spacing w:after="40" w:line="252" w:lineRule="auto"/>
            </w:pPr>
            <w:r>
              <w:rPr>
                <w:rFonts w:ascii="Calibri" w:hAnsi="Calibri"/>
                <w:b w:val="0"/>
                <w:sz w:val="19"/>
              </w:rPr>
              <w:t>Trust, low-noise alerts, onboarding and response partnerships; none established yet</w:t>
            </w:r>
          </w:p>
        </w:tc>
        <w:tc>
          <w:tcPr>
            <w:tcW w:type="dxa" w:w="3755"/>
            <w:vAlign w:val="center"/>
            <w:tcMar>
              <w:top w:w="70" w:type="dxa"/>
              <w:bottom w:w="70" w:type="dxa"/>
              <w:start w:w="120" w:type="dxa"/>
              <w:end w:w="120" w:type="dxa"/>
            </w:tcMar>
          </w:tcPr>
          <w:p>
            <w:pPr>
              <w:keepNext w:val="0"/>
              <w:spacing w:after="40" w:line="252" w:lineRule="auto"/>
            </w:pPr>
            <w:r>
              <w:rPr>
                <w:rFonts w:ascii="Calibri" w:hAnsi="Calibri"/>
                <w:b w:val="0"/>
                <w:sz w:val="19"/>
              </w:rPr>
              <w:t>Activity/content quality, child appeal and repeat engagement</w:t>
            </w:r>
          </w:p>
        </w:tc>
      </w:tr>
      <w:tr>
        <w:trPr>
          <w:cantSplit/>
        </w:trPr>
        <w:tc>
          <w:tcPr>
            <w:tcW w:type="dxa" w:w="1850"/>
            <w:vAlign w:val="center"/>
            <w:tcMar>
              <w:top w:w="70" w:type="dxa"/>
              <w:bottom w:w="70" w:type="dxa"/>
              <w:start w:w="120" w:type="dxa"/>
              <w:end w:w="120" w:type="dxa"/>
            </w:tcMar>
          </w:tcPr>
          <w:p>
            <w:pPr>
              <w:keepNext w:val="0"/>
              <w:spacing w:after="40" w:line="252" w:lineRule="auto"/>
            </w:pPr>
            <w:r>
              <w:rPr>
                <w:rFonts w:ascii="Calibri" w:hAnsi="Calibri"/>
                <w:b w:val="0"/>
                <w:sz w:val="19"/>
              </w:rPr>
              <w:t>Risk</w:t>
            </w:r>
          </w:p>
        </w:tc>
        <w:tc>
          <w:tcPr>
            <w:tcW w:type="dxa" w:w="3755"/>
            <w:vAlign w:val="center"/>
            <w:tcMar>
              <w:top w:w="70" w:type="dxa"/>
              <w:bottom w:w="70" w:type="dxa"/>
              <w:start w:w="120" w:type="dxa"/>
              <w:end w:w="120" w:type="dxa"/>
            </w:tcMar>
          </w:tcPr>
          <w:p>
            <w:pPr>
              <w:keepNext w:val="0"/>
              <w:spacing w:after="40" w:line="252" w:lineRule="auto"/>
            </w:pPr>
            <w:r>
              <w:rPr>
                <w:rFonts w:ascii="Calibri" w:hAnsi="Calibri"/>
                <w:b w:val="0"/>
                <w:sz w:val="19"/>
              </w:rPr>
              <w:t>Consent, sensitive routine data, false reassurance and reliability remain substantial</w:t>
            </w:r>
          </w:p>
        </w:tc>
        <w:tc>
          <w:tcPr>
            <w:tcW w:type="dxa" w:w="3755"/>
            <w:vAlign w:val="center"/>
            <w:tcMar>
              <w:top w:w="70" w:type="dxa"/>
              <w:bottom w:w="70" w:type="dxa"/>
              <w:start w:w="120" w:type="dxa"/>
              <w:end w:w="120" w:type="dxa"/>
            </w:tcMar>
          </w:tcPr>
          <w:p>
            <w:pPr>
              <w:keepNext w:val="0"/>
              <w:spacing w:after="40" w:line="252" w:lineRule="auto"/>
            </w:pPr>
            <w:r>
              <w:rPr>
                <w:rFonts w:ascii="Calibri" w:hAnsi="Calibri"/>
                <w:b w:val="0"/>
                <w:sz w:val="19"/>
              </w:rPr>
              <w:t>Child data, camera/audio, content safety and parental trust</w:t>
            </w:r>
          </w:p>
        </w:tc>
      </w:tr>
      <w:tr>
        <w:trPr>
          <w:cantSplit/>
        </w:trPr>
        <w:tc>
          <w:tcPr>
            <w:tcW w:type="dxa" w:w="1850"/>
            <w:vAlign w:val="center"/>
            <w:tcMar>
              <w:top w:w="70" w:type="dxa"/>
              <w:bottom w:w="70" w:type="dxa"/>
              <w:start w:w="120" w:type="dxa"/>
              <w:end w:w="120" w:type="dxa"/>
            </w:tcMar>
          </w:tcPr>
          <w:p>
            <w:pPr>
              <w:keepNext w:val="0"/>
              <w:spacing w:after="40" w:line="252" w:lineRule="auto"/>
            </w:pPr>
            <w:r>
              <w:rPr>
                <w:rFonts w:ascii="Calibri" w:hAnsi="Calibri"/>
                <w:b w:val="0"/>
                <w:sz w:val="19"/>
              </w:rPr>
              <w:t>Solo-engineer fit</w:t>
            </w:r>
          </w:p>
        </w:tc>
        <w:tc>
          <w:tcPr>
            <w:tcW w:type="dxa" w:w="3755"/>
            <w:vAlign w:val="center"/>
            <w:tcMar>
              <w:top w:w="70" w:type="dxa"/>
              <w:bottom w:w="70" w:type="dxa"/>
              <w:start w:w="120" w:type="dxa"/>
              <w:end w:w="120" w:type="dxa"/>
            </w:tcMar>
          </w:tcPr>
          <w:p>
            <w:pPr>
              <w:keepNext w:val="0"/>
              <w:spacing w:after="40" w:line="252" w:lineRule="auto"/>
            </w:pPr>
            <w:r>
              <w:rPr>
                <w:rFonts w:ascii="Calibri" w:hAnsi="Calibri"/>
                <w:b w:val="0"/>
                <w:sz w:val="19"/>
              </w:rPr>
              <w:t>Strong systems/reliability fit; field support is the main burden</w:t>
            </w:r>
          </w:p>
        </w:tc>
        <w:tc>
          <w:tcPr>
            <w:tcW w:type="dxa" w:w="3755"/>
            <w:vAlign w:val="center"/>
            <w:tcMar>
              <w:top w:w="70" w:type="dxa"/>
              <w:bottom w:w="70" w:type="dxa"/>
              <w:start w:w="120" w:type="dxa"/>
              <w:end w:w="120" w:type="dxa"/>
            </w:tcMar>
          </w:tcPr>
          <w:p>
            <w:pPr>
              <w:keepNext w:val="0"/>
              <w:spacing w:after="40" w:line="252" w:lineRule="auto"/>
            </w:pPr>
            <w:r>
              <w:rPr>
                <w:rFonts w:ascii="Calibri" w:hAnsi="Calibri"/>
                <w:b w:val="0"/>
                <w:sz w:val="19"/>
              </w:rPr>
              <w:t>Hardware is only part of the effort; content and cloud experience add work</w:t>
            </w:r>
          </w:p>
        </w:tc>
      </w:tr>
      <w:tr>
        <w:trPr>
          <w:cantSplit/>
        </w:trPr>
        <w:tc>
          <w:tcPr>
            <w:tcW w:type="dxa" w:w="1850"/>
            <w:vAlign w:val="center"/>
            <w:tcMar>
              <w:top w:w="70" w:type="dxa"/>
              <w:bottom w:w="70" w:type="dxa"/>
              <w:start w:w="120" w:type="dxa"/>
              <w:end w:w="120" w:type="dxa"/>
            </w:tcMar>
          </w:tcPr>
          <w:p>
            <w:pPr>
              <w:keepNext w:val="0"/>
              <w:spacing w:after="40" w:line="252" w:lineRule="auto"/>
            </w:pPr>
            <w:r>
              <w:rPr>
                <w:rFonts w:ascii="Calibri" w:hAnsi="Calibri"/>
                <w:b w:val="0"/>
                <w:sz w:val="19"/>
              </w:rPr>
              <w:t>Decision</w:t>
            </w:r>
          </w:p>
        </w:tc>
        <w:tc>
          <w:tcPr>
            <w:tcW w:type="dxa" w:w="3755"/>
            <w:vAlign w:val="center"/>
            <w:tcMar>
              <w:top w:w="70" w:type="dxa"/>
              <w:bottom w:w="70" w:type="dxa"/>
              <w:start w:w="120" w:type="dxa"/>
              <w:end w:w="120" w:type="dxa"/>
            </w:tcMar>
          </w:tcPr>
          <w:p>
            <w:pPr>
              <w:keepNext w:val="0"/>
              <w:spacing w:after="40" w:line="252" w:lineRule="auto"/>
            </w:pPr>
            <w:r>
              <w:rPr>
                <w:rFonts w:ascii="Calibri" w:hAnsi="Calibri"/>
                <w:b w:val="0"/>
                <w:sz w:val="19"/>
              </w:rPr>
              <w:t>Primary candidate for a constrained pilot; not a proven higher probability</w:t>
            </w:r>
          </w:p>
        </w:tc>
        <w:tc>
          <w:tcPr>
            <w:tcW w:type="dxa" w:w="3755"/>
            <w:vAlign w:val="center"/>
            <w:tcMar>
              <w:top w:w="70" w:type="dxa"/>
              <w:bottom w:w="70" w:type="dxa"/>
              <w:start w:w="120" w:type="dxa"/>
              <w:end w:w="120" w:type="dxa"/>
            </w:tcMar>
          </w:tcPr>
          <w:p>
            <w:pPr>
              <w:keepNext w:val="0"/>
              <w:spacing w:after="40" w:line="252" w:lineRule="auto"/>
            </w:pPr>
            <w:r>
              <w:rPr>
                <w:rFonts w:ascii="Calibri" w:hAnsi="Calibri"/>
                <w:b w:val="0"/>
                <w:sz w:val="19"/>
              </w:rPr>
              <w:t>Separate experiment; revisit if family trials show materially better demand</w:t>
            </w:r>
          </w:p>
        </w:tc>
      </w:tr>
    </w:tbl>
    <w:p>
      <w:pPr>
        <w:widowControl/>
        <w:spacing w:after="20"/>
      </w:pPr>
    </w:p>
    <w:p>
      <w:pPr>
        <w:keepLines/>
        <w:widowControl/>
      </w:pPr>
      <w:r>
        <w:rPr>
          <w:rFonts w:ascii="Calibri" w:hAnsi="Calibri"/>
          <w:sz w:val="22"/>
        </w:rPr>
        <w:t>Ranking is based on recurring need, clear payer, technical fit and execution burden—not on a claim that the business is already validated. A narrowly scoped appliance sensor is a fallback if caregiving support proves too demanding. Keep the kids’ concept as a separate experiment; paid demand evidence can change this ranking.</w:t>
      </w:r>
    </w:p>
    <w:p>
      <w:pPr>
        <w:pStyle w:val="Heading1"/>
        <w:keepNext/>
        <w:keepLines/>
        <w:widowControl/>
      </w:pPr>
      <w:r>
        <w:rPr>
          <w:color w:val="000000"/>
        </w:rPr>
        <w:t>Risks and mitigations</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cantSplit/>
        </w:trPr>
        <w:tc>
          <w:tcPr>
            <w:tcW w:type="dxa" w:w="250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Risk</w:t>
            </w:r>
          </w:p>
        </w:tc>
        <w:tc>
          <w:tcPr>
            <w:tcW w:type="dxa" w:w="6860"/>
            <w:tcMar>
              <w:top w:w="70" w:type="dxa"/>
              <w:start w:w="120" w:type="dxa"/>
              <w:bottom w:w="70" w:type="dxa"/>
              <w:end w:w="120" w:type="dxa"/>
            </w:tcMar>
            <w:shd w:fill="F2F4F7"/>
            <w:vAlign w:val="center"/>
          </w:tcPr>
          <w:p>
            <w:pPr>
              <w:keepNext w:val="0"/>
              <w:spacing w:after="40" w:line="252" w:lineRule="auto"/>
            </w:pPr>
            <w:r>
              <w:rPr>
                <w:rFonts w:ascii="Calibri" w:hAnsi="Calibri"/>
                <w:b/>
                <w:color w:val="0B2545"/>
                <w:sz w:val="19"/>
              </w:rPr>
              <w:t>Mitigation / launch gate</w:t>
            </w:r>
          </w:p>
        </w:tc>
      </w:tr>
      <w:tr>
        <w:trPr>
          <w:cantSplit/>
        </w:trPr>
        <w:tc>
          <w:tcPr>
            <w:tcW w:type="dxa" w:w="2500"/>
            <w:vAlign w:val="center"/>
            <w:tcMar>
              <w:top w:w="70" w:type="dxa"/>
              <w:bottom w:w="70" w:type="dxa"/>
              <w:start w:w="120" w:type="dxa"/>
              <w:end w:w="120" w:type="dxa"/>
            </w:tcMar>
          </w:tcPr>
          <w:p>
            <w:pPr>
              <w:keepNext w:val="0"/>
              <w:spacing w:after="40" w:line="252" w:lineRule="auto"/>
            </w:pPr>
            <w:r>
              <w:rPr>
                <w:rFonts w:ascii="Calibri" w:hAnsi="Calibri"/>
                <w:b w:val="0"/>
                <w:sz w:val="19"/>
              </w:rPr>
              <w:t>False urgency or false reassurance</w:t>
            </w:r>
          </w:p>
        </w:tc>
        <w:tc>
          <w:tcPr>
            <w:tcW w:type="dxa" w:w="6860"/>
            <w:vAlign w:val="center"/>
            <w:tcMar>
              <w:top w:w="70" w:type="dxa"/>
              <w:bottom w:w="70" w:type="dxa"/>
              <w:start w:w="120" w:type="dxa"/>
              <w:end w:w="120" w:type="dxa"/>
            </w:tcMar>
          </w:tcPr>
          <w:p>
            <w:pPr>
              <w:keepNext w:val="0"/>
              <w:spacing w:after="40" w:line="252" w:lineRule="auto"/>
            </w:pPr>
            <w:r>
              <w:rPr>
                <w:rFonts w:ascii="Calibri" w:hAnsi="Calibri"/>
                <w:b w:val="0"/>
                <w:sz w:val="19"/>
              </w:rPr>
              <w:t>Evidence-first messages; away/visitor modes; no identity or health inference from PIR; test missed events as well as nuisance alerts.</w:t>
            </w:r>
          </w:p>
        </w:tc>
      </w:tr>
      <w:tr>
        <w:trPr>
          <w:cantSplit/>
        </w:trPr>
        <w:tc>
          <w:tcPr>
            <w:tcW w:type="dxa" w:w="2500"/>
            <w:vAlign w:val="center"/>
            <w:tcMar>
              <w:top w:w="70" w:type="dxa"/>
              <w:bottom w:w="70" w:type="dxa"/>
              <w:start w:w="120" w:type="dxa"/>
              <w:end w:w="120" w:type="dxa"/>
            </w:tcMar>
          </w:tcPr>
          <w:p>
            <w:pPr>
              <w:keepNext w:val="0"/>
              <w:spacing w:after="40" w:line="252" w:lineRule="auto"/>
            </w:pPr>
            <w:r>
              <w:rPr>
                <w:rFonts w:ascii="Calibri" w:hAnsi="Calibri"/>
                <w:b w:val="0"/>
                <w:sz w:val="19"/>
              </w:rPr>
              <w:t>Resident privacy / consent</w:t>
            </w:r>
          </w:p>
        </w:tc>
        <w:tc>
          <w:tcPr>
            <w:tcW w:type="dxa" w:w="6860"/>
            <w:vAlign w:val="center"/>
            <w:tcMar>
              <w:top w:w="70" w:type="dxa"/>
              <w:bottom w:w="70" w:type="dxa"/>
              <w:start w:w="120" w:type="dxa"/>
              <w:end w:w="120" w:type="dxa"/>
            </w:tcMar>
          </w:tcPr>
          <w:p>
            <w:pPr>
              <w:keepNext w:val="0"/>
              <w:spacing w:after="40" w:line="252" w:lineRule="auto"/>
            </w:pPr>
            <w:r>
              <w:rPr>
                <w:rFonts w:ascii="Calibri" w:hAnsi="Calibri"/>
                <w:b w:val="0"/>
                <w:sz w:val="19"/>
              </w:rPr>
              <w:t>Resident opt-in and pause; least-privilege family roles; short justified retention; deletion/export; no cameras/audio in V1.</w:t>
            </w:r>
          </w:p>
        </w:tc>
      </w:tr>
      <w:tr>
        <w:trPr>
          <w:cantSplit/>
        </w:trPr>
        <w:tc>
          <w:tcPr>
            <w:tcW w:type="dxa" w:w="2500"/>
            <w:vAlign w:val="center"/>
            <w:tcMar>
              <w:top w:w="70" w:type="dxa"/>
              <w:bottom w:w="70" w:type="dxa"/>
              <w:start w:w="120" w:type="dxa"/>
              <w:end w:w="120" w:type="dxa"/>
            </w:tcMar>
          </w:tcPr>
          <w:p>
            <w:pPr>
              <w:keepNext w:val="0"/>
              <w:spacing w:after="40" w:line="252" w:lineRule="auto"/>
            </w:pPr>
            <w:r>
              <w:rPr>
                <w:rFonts w:ascii="Calibri" w:hAnsi="Calibri"/>
                <w:b w:val="0"/>
                <w:sz w:val="19"/>
              </w:rPr>
              <w:t>Power / internet loss</w:t>
            </w:r>
          </w:p>
        </w:tc>
        <w:tc>
          <w:tcPr>
            <w:tcW w:type="dxa" w:w="6860"/>
            <w:vAlign w:val="center"/>
            <w:tcMar>
              <w:top w:w="70" w:type="dxa"/>
              <w:bottom w:w="70" w:type="dxa"/>
              <w:start w:w="120" w:type="dxa"/>
              <w:end w:w="120" w:type="dxa"/>
            </w:tcMar>
          </w:tcPr>
          <w:p>
            <w:pPr>
              <w:keepNext w:val="0"/>
              <w:spacing w:after="40" w:line="252" w:lineRule="auto"/>
            </w:pPr>
            <w:r>
              <w:rPr>
                <w:rFonts w:ascii="Calibri" w:hAnsi="Calibri"/>
                <w:b w:val="0"/>
                <w:sz w:val="19"/>
              </w:rPr>
              <w:t>Hub backup; cloud heartbeat; explicit degraded/stale state; queued sync. Remote delivery needs connectivity or separately engineered backup.</w:t>
            </w:r>
          </w:p>
        </w:tc>
      </w:tr>
      <w:tr>
        <w:trPr>
          <w:cantSplit/>
        </w:trPr>
        <w:tc>
          <w:tcPr>
            <w:tcW w:type="dxa" w:w="2500"/>
            <w:vAlign w:val="center"/>
            <w:tcMar>
              <w:top w:w="70" w:type="dxa"/>
              <w:bottom w:w="70" w:type="dxa"/>
              <w:start w:w="120" w:type="dxa"/>
              <w:end w:w="120" w:type="dxa"/>
            </w:tcMar>
          </w:tcPr>
          <w:p>
            <w:pPr>
              <w:keepNext w:val="0"/>
              <w:spacing w:after="40" w:line="252" w:lineRule="auto"/>
            </w:pPr>
            <w:r>
              <w:rPr>
                <w:rFonts w:ascii="Calibri" w:hAnsi="Calibri"/>
                <w:b w:val="0"/>
                <w:sz w:val="19"/>
              </w:rPr>
              <w:t>Battery / hardware</w:t>
            </w:r>
          </w:p>
        </w:tc>
        <w:tc>
          <w:tcPr>
            <w:tcW w:type="dxa" w:w="6860"/>
            <w:vAlign w:val="center"/>
            <w:tcMar>
              <w:top w:w="70" w:type="dxa"/>
              <w:bottom w:w="70" w:type="dxa"/>
              <w:start w:w="120" w:type="dxa"/>
              <w:end w:w="120" w:type="dxa"/>
            </w:tcMar>
          </w:tcPr>
          <w:p>
            <w:pPr>
              <w:keepNext w:val="0"/>
              <w:spacing w:after="40" w:line="252" w:lineRule="auto"/>
            </w:pPr>
            <w:r>
              <w:rPr>
                <w:rFonts w:ascii="Calibri" w:hAnsi="Calibri"/>
                <w:b w:val="0"/>
                <w:sz w:val="19"/>
              </w:rPr>
              <w:t>Protected packs and power-path review; actual event/idle current; thermal and low-battery tests; no unsupported 12-month claim.</w:t>
            </w:r>
          </w:p>
        </w:tc>
      </w:tr>
      <w:tr>
        <w:trPr>
          <w:cantSplit/>
        </w:trPr>
        <w:tc>
          <w:tcPr>
            <w:tcW w:type="dxa" w:w="2500"/>
            <w:vAlign w:val="center"/>
            <w:tcMar>
              <w:top w:w="70" w:type="dxa"/>
              <w:bottom w:w="70" w:type="dxa"/>
              <w:start w:w="120" w:type="dxa"/>
              <w:end w:w="120" w:type="dxa"/>
            </w:tcMar>
          </w:tcPr>
          <w:p>
            <w:pPr>
              <w:keepNext w:val="0"/>
              <w:spacing w:after="40" w:line="252" w:lineRule="auto"/>
            </w:pPr>
            <w:r>
              <w:rPr>
                <w:rFonts w:ascii="Calibri" w:hAnsi="Calibri"/>
                <w:b w:val="0"/>
                <w:sz w:val="19"/>
              </w:rPr>
              <w:t>Support and installation</w:t>
            </w:r>
          </w:p>
        </w:tc>
        <w:tc>
          <w:tcPr>
            <w:tcW w:type="dxa" w:w="6860"/>
            <w:vAlign w:val="center"/>
            <w:tcMar>
              <w:top w:w="70" w:type="dxa"/>
              <w:bottom w:w="70" w:type="dxa"/>
              <w:start w:w="120" w:type="dxa"/>
              <w:end w:w="120" w:type="dxa"/>
            </w:tcMar>
          </w:tcPr>
          <w:p>
            <w:pPr>
              <w:keepNext w:val="0"/>
              <w:spacing w:after="40" w:line="252" w:lineRule="auto"/>
            </w:pPr>
            <w:r>
              <w:rPr>
                <w:rFonts w:ascii="Calibri" w:hAnsi="Calibri"/>
                <w:b w:val="0"/>
                <w:sz w:val="19"/>
              </w:rPr>
              <w:t>One-city cohort; documented placements; self-test; log founder minutes; scale with funded operational capacity.</w:t>
            </w:r>
          </w:p>
        </w:tc>
      </w:tr>
      <w:tr>
        <w:trPr>
          <w:cantSplit/>
        </w:trPr>
        <w:tc>
          <w:tcPr>
            <w:tcW w:type="dxa" w:w="2500"/>
            <w:vAlign w:val="center"/>
            <w:tcMar>
              <w:top w:w="70" w:type="dxa"/>
              <w:bottom w:w="70" w:type="dxa"/>
              <w:start w:w="120" w:type="dxa"/>
              <w:end w:w="120" w:type="dxa"/>
            </w:tcMar>
          </w:tcPr>
          <w:p>
            <w:pPr>
              <w:keepNext w:val="0"/>
              <w:spacing w:after="40" w:line="252" w:lineRule="auto"/>
            </w:pPr>
            <w:r>
              <w:rPr>
                <w:rFonts w:ascii="Calibri" w:hAnsi="Calibri"/>
                <w:b w:val="0"/>
                <w:sz w:val="19"/>
              </w:rPr>
              <w:t>Liability / response gap</w:t>
            </w:r>
          </w:p>
        </w:tc>
        <w:tc>
          <w:tcPr>
            <w:tcW w:type="dxa" w:w="6860"/>
            <w:vAlign w:val="center"/>
            <w:tcMar>
              <w:top w:w="70" w:type="dxa"/>
              <w:bottom w:w="70" w:type="dxa"/>
              <w:start w:w="120" w:type="dxa"/>
              <w:end w:w="120" w:type="dxa"/>
            </w:tcMar>
          </w:tcPr>
          <w:p>
            <w:pPr>
              <w:keepNext w:val="0"/>
              <w:spacing w:after="40" w:line="252" w:lineRule="auto"/>
            </w:pPr>
            <w:r>
              <w:rPr>
                <w:rFonts w:ascii="Calibri" w:hAnsi="Calibri"/>
                <w:b w:val="0"/>
                <w:sz w:val="19"/>
              </w:rPr>
              <w:t>No medical diagnosis, fall guarantee, shutoff or dispatch. Agree who responds and what occurs if nobody acknowledges. Disclaimers alone do not determine regulatory status.</w:t>
            </w:r>
          </w:p>
        </w:tc>
      </w:tr>
      <w:tr>
        <w:trPr>
          <w:cantSplit/>
        </w:trPr>
        <w:tc>
          <w:tcPr>
            <w:tcW w:type="dxa" w:w="2500"/>
            <w:vAlign w:val="center"/>
            <w:tcMar>
              <w:top w:w="70" w:type="dxa"/>
              <w:bottom w:w="70" w:type="dxa"/>
              <w:start w:w="120" w:type="dxa"/>
              <w:end w:w="120" w:type="dxa"/>
            </w:tcMar>
          </w:tcPr>
          <w:p>
            <w:pPr>
              <w:keepNext w:val="0"/>
              <w:spacing w:after="40" w:line="252" w:lineRule="auto"/>
            </w:pPr>
            <w:r>
              <w:rPr>
                <w:rFonts w:ascii="Calibri" w:hAnsi="Calibri"/>
                <w:b w:val="0"/>
                <w:sz w:val="19"/>
              </w:rPr>
              <w:t>India launch compliance</w:t>
            </w:r>
          </w:p>
        </w:tc>
        <w:tc>
          <w:tcPr>
            <w:tcW w:type="dxa" w:w="6860"/>
            <w:vAlign w:val="center"/>
            <w:tcMar>
              <w:top w:w="70" w:type="dxa"/>
              <w:bottom w:w="70" w:type="dxa"/>
              <w:start w:w="120" w:type="dxa"/>
              <w:end w:w="120" w:type="dxa"/>
            </w:tcMar>
          </w:tcPr>
          <w:p>
            <w:pPr>
              <w:keepNext w:val="0"/>
              <w:spacing w:after="40" w:line="252" w:lineRule="auto"/>
            </w:pPr>
            <w:r>
              <w:rPr>
                <w:rFonts w:ascii="Calibri" w:hAnsi="Calibri"/>
                <w:b w:val="0"/>
                <w:sz w:val="19"/>
              </w:rPr>
              <w:t>Confirm WPC/ETA and applicable battery, electrical, labelling and waste obligations with qualified specialists before sale [S13].</w:t>
            </w:r>
          </w:p>
        </w:tc>
      </w:tr>
      <w:tr>
        <w:trPr>
          <w:cantSplit/>
        </w:trPr>
        <w:tc>
          <w:tcPr>
            <w:tcW w:type="dxa" w:w="2500"/>
            <w:vAlign w:val="center"/>
            <w:tcMar>
              <w:top w:w="70" w:type="dxa"/>
              <w:bottom w:w="70" w:type="dxa"/>
              <w:start w:w="120" w:type="dxa"/>
              <w:end w:w="120" w:type="dxa"/>
            </w:tcMar>
          </w:tcPr>
          <w:p>
            <w:pPr>
              <w:keepNext w:val="0"/>
              <w:spacing w:after="40" w:line="252" w:lineRule="auto"/>
            </w:pPr>
            <w:r>
              <w:rPr>
                <w:rFonts w:ascii="Calibri" w:hAnsi="Calibri"/>
                <w:b w:val="0"/>
                <w:sz w:val="19"/>
              </w:rPr>
              <w:t>Data law / exports</w:t>
            </w:r>
          </w:p>
        </w:tc>
        <w:tc>
          <w:tcPr>
            <w:tcW w:type="dxa" w:w="6860"/>
            <w:vAlign w:val="center"/>
            <w:tcMar>
              <w:top w:w="70" w:type="dxa"/>
              <w:bottom w:w="70" w:type="dxa"/>
              <w:start w:w="120" w:type="dxa"/>
              <w:end w:w="120" w:type="dxa"/>
            </w:tcMar>
          </w:tcPr>
          <w:p>
            <w:pPr>
              <w:keepNext w:val="0"/>
              <w:spacing w:after="40" w:line="252" w:lineRule="auto"/>
            </w:pPr>
            <w:r>
              <w:rPr>
                <w:rFonts w:ascii="Calibri" w:hAnsi="Calibri"/>
                <w:b w:val="0"/>
                <w:sz w:val="19"/>
              </w:rPr>
              <w:t>Review applicable India DPDP commencement and duties [S14]. For EU, assess GDPR, radio/product rules and CRA scope; for US/UK obtain local compliance review.</w:t>
            </w:r>
          </w:p>
        </w:tc>
      </w:tr>
      <w:tr>
        <w:trPr>
          <w:cantSplit/>
        </w:trPr>
        <w:tc>
          <w:tcPr>
            <w:tcW w:type="dxa" w:w="2500"/>
            <w:vAlign w:val="center"/>
            <w:tcMar>
              <w:top w:w="70" w:type="dxa"/>
              <w:bottom w:w="70" w:type="dxa"/>
              <w:start w:w="120" w:type="dxa"/>
              <w:end w:w="120" w:type="dxa"/>
            </w:tcMar>
          </w:tcPr>
          <w:p>
            <w:pPr>
              <w:keepNext w:val="0"/>
              <w:spacing w:after="40" w:line="252" w:lineRule="auto"/>
            </w:pPr>
            <w:r>
              <w:rPr>
                <w:rFonts w:ascii="Calibri" w:hAnsi="Calibri"/>
                <w:b w:val="0"/>
                <w:sz w:val="19"/>
              </w:rPr>
              <w:t>Ongoing cyber obligations</w:t>
            </w:r>
          </w:p>
        </w:tc>
        <w:tc>
          <w:tcPr>
            <w:tcW w:type="dxa" w:w="6860"/>
            <w:vAlign w:val="center"/>
            <w:tcMar>
              <w:top w:w="70" w:type="dxa"/>
              <w:bottom w:w="70" w:type="dxa"/>
              <w:start w:w="120" w:type="dxa"/>
              <w:end w:w="120" w:type="dxa"/>
            </w:tcMar>
          </w:tcPr>
          <w:p>
            <w:pPr>
              <w:keepNext w:val="0"/>
              <w:spacing w:after="40" w:line="252" w:lineRule="auto"/>
            </w:pPr>
            <w:r>
              <w:rPr>
                <w:rFonts w:ascii="Calibri" w:hAnsi="Calibri"/>
                <w:b w:val="0"/>
                <w:sz w:val="19"/>
              </w:rPr>
              <w:t>Security owner, vulnerability contact, supported-update term and incident process. EU CRA reporting starts 11 Sep 2026; main duties 11 Dec 2027 [S15–S16].</w:t>
            </w:r>
          </w:p>
        </w:tc>
      </w:tr>
    </w:tbl>
    <w:p>
      <w:pPr>
        <w:widowControl/>
        <w:spacing w:after="20"/>
      </w:pPr>
    </w:p>
    <w:p>
      <w:pPr>
        <w:pStyle w:val="Heading2"/>
        <w:keepNext/>
        <w:keepLines/>
        <w:widowControl/>
      </w:pPr>
      <w:r>
        <w:rPr>
          <w:color w:val="000000"/>
        </w:rPr>
        <w:t>Minimum release evidence</w:t>
      </w:r>
    </w:p>
    <w:p>
      <w:pPr>
        <w:keepLines/>
        <w:widowControl/>
      </w:pPr>
      <w:r>
        <w:t>Before taking production orders: signed intended-use/claims review; documented consent and privacy workflow; end-to-end failure tests; quoted BOM and tax treatment; installation/support ownership; update and vulnerability-response plan; and explicit remote-service duration. A working demonstration does not satisfy these commercial release gates.</w:t>
      </w:r>
    </w:p>
    <w:p>
      <w:pPr>
        <w:pStyle w:val="Heading1"/>
        <w:keepNext/>
        <w:keepLines/>
        <w:widowControl/>
      </w:pPr>
      <w:r>
        <w:rPr>
          <w:color w:val="000000"/>
        </w:rPr>
        <w:t>Source notes and research register</w:t>
      </w:r>
    </w:p>
    <w:p>
      <w:pPr>
        <w:keepLines/>
        <w:widowControl/>
      </w:pPr>
      <w:r>
        <w:rPr>
          <w:rFonts w:ascii="Calibri" w:hAnsi="Calibri"/>
          <w:sz w:val="22"/>
        </w:rPr>
        <w:t>Research checked 2 September 2026. Bracketed identifiers link claims to the primary sources below. Vendor features, pricing and availability are stated offers, not independently tested performance or sales evidence. Sources pre-dating this week are labelled background. Commercial assumptions and proposed gates are our analysis.</w:t>
      </w:r>
    </w:p>
    <w:p>
      <w:pPr>
        <w:widowControl/>
        <w:spacing w:after="20"/>
      </w:pPr>
    </w:p>
    <w:p>
      <w:pPr>
        <w:keepLines/>
        <w:widowControl/>
        <w:spacing w:after="100"/>
      </w:pPr>
      <w:r>
        <w:rPr>
          <w:b/>
          <w:sz w:val="19"/>
        </w:rPr>
        <w:t xml:space="preserve">[S1] Nomo — Essential Care Kit. </w:t>
      </w:r>
      <w:hyperlink r:id="rId12">
        <w:r>
          <w:rPr>
            <w:color w:val="2877AA"/>
            <w:sz w:val="19"/>
          </w:rPr>
          <w:t>Official source</w:t>
        </w:r>
      </w:hyperlink>
      <w:r>
        <w:rPr>
          <w:sz w:val="19"/>
        </w:rPr>
        <w:t xml:space="preserve"> — Current US-only listing; hardware and monthly/annual subscription. Supplier claims not independently tested.</w:t>
      </w:r>
    </w:p>
    <w:p>
      <w:pPr>
        <w:keepLines/>
        <w:widowControl/>
        <w:spacing w:after="100"/>
      </w:pPr>
      <w:r>
        <w:rPr>
          <w:b/>
          <w:sz w:val="19"/>
        </w:rPr>
        <w:t xml:space="preserve">[S2] OdeCare — Elderly monitoring system cost. </w:t>
      </w:r>
      <w:hyperlink r:id="rId13">
        <w:r>
          <w:rPr>
            <w:color w:val="2877AA"/>
            <w:sz w:val="19"/>
          </w:rPr>
          <w:t>Official source</w:t>
        </w:r>
      </w:hyperlink>
      <w:r>
        <w:rPr>
          <w:sz w:val="19"/>
        </w:rPr>
        <w:t xml:space="preserve"> — 24 Aug 2026; vendor’s installed kit and subscription comparison. Local installation eligibility requires confirmation.</w:t>
      </w:r>
    </w:p>
    <w:p>
      <w:pPr>
        <w:keepLines/>
        <w:widowControl/>
        <w:spacing w:after="100"/>
      </w:pPr>
      <w:r>
        <w:rPr>
          <w:b/>
          <w:sz w:val="19"/>
        </w:rPr>
        <w:t xml:space="preserve">[S3] CarePredict @Home — Official store. </w:t>
      </w:r>
      <w:hyperlink r:id="rId14">
        <w:r>
          <w:rPr>
            <w:color w:val="2877AA"/>
            <w:sz w:val="19"/>
          </w:rPr>
          <w:t>Official source</w:t>
        </w:r>
      </w:hyperlink>
      <w:r>
        <w:rPr>
          <w:sz w:val="19"/>
        </w:rPr>
        <w:t xml:space="preserve"> — Current kit/subscription prices and wearable architecture.</w:t>
      </w:r>
    </w:p>
    <w:p>
      <w:pPr>
        <w:keepLines/>
        <w:widowControl/>
        <w:spacing w:after="100"/>
      </w:pPr>
      <w:r>
        <w:rPr>
          <w:b/>
          <w:sz w:val="19"/>
        </w:rPr>
        <w:t xml:space="preserve">[S4] Careium — Doris activity alarm. </w:t>
      </w:r>
      <w:hyperlink r:id="rId15">
        <w:r>
          <w:rPr>
            <w:color w:val="2877AA"/>
            <w:sz w:val="19"/>
          </w:rPr>
          <w:t>Official source</w:t>
        </w:r>
      </w:hyperlink>
      <w:r>
        <w:rPr>
          <w:sz w:val="19"/>
        </w:rPr>
        <w:t xml:space="preserve"> — Current out-of-stock notice and monitoring-centre model. Published tax/contract presentation is inconsistent; request a quote.</w:t>
      </w:r>
    </w:p>
    <w:p>
      <w:pPr>
        <w:keepLines/>
        <w:widowControl/>
        <w:spacing w:after="100"/>
      </w:pPr>
      <w:r>
        <w:rPr>
          <w:b/>
          <w:sz w:val="19"/>
        </w:rPr>
        <w:t xml:space="preserve">[S5] Emoha — Care plans. </w:t>
      </w:r>
      <w:hyperlink r:id="rId16">
        <w:r>
          <w:rPr>
            <w:color w:val="2877AA"/>
            <w:sz w:val="19"/>
          </w:rPr>
          <w:t>Official source</w:t>
        </w:r>
      </w:hyperlink>
      <w:r>
        <w:rPr>
          <w:sz w:val="19"/>
        </w:rPr>
        <w:t xml:space="preserve"> — Current advertised India service tiers; benefits and commercial terms vary by plan.</w:t>
      </w:r>
    </w:p>
    <w:p>
      <w:pPr>
        <w:keepLines/>
        <w:widowControl/>
        <w:spacing w:after="100"/>
      </w:pPr>
      <w:r>
        <w:rPr>
          <w:b/>
          <w:sz w:val="19"/>
        </w:rPr>
        <w:t xml:space="preserve">[S6] Anvayaa — Care plans. </w:t>
      </w:r>
      <w:hyperlink r:id="rId17">
        <w:r>
          <w:rPr>
            <w:color w:val="2877AA"/>
            <w:sz w:val="19"/>
          </w:rPr>
          <w:t>Official source</w:t>
        </w:r>
      </w:hyperlink>
      <w:r>
        <w:rPr>
          <w:sz w:val="19"/>
        </w:rPr>
        <w:t xml:space="preserve"> — USD view of India care plans; annual price, tax and city qualifications.</w:t>
      </w:r>
    </w:p>
    <w:p>
      <w:pPr>
        <w:keepLines/>
        <w:widowControl/>
        <w:spacing w:after="100"/>
      </w:pPr>
      <w:r>
        <w:rPr>
          <w:b/>
          <w:sz w:val="19"/>
        </w:rPr>
        <w:t xml:space="preserve">[S7] Samarth — Technology for parents in India. </w:t>
      </w:r>
      <w:hyperlink r:id="rId18">
        <w:r>
          <w:rPr>
            <w:color w:val="2877AA"/>
            <w:sz w:val="19"/>
          </w:rPr>
          <w:t>Official source</w:t>
        </w:r>
      </w:hyperlink>
      <w:r>
        <w:rPr>
          <w:sz w:val="19"/>
        </w:rPr>
        <w:t xml:space="preserve"> — 30 Jun 2026; provider perspective on sensors and connectivity. Context, not independent market-size evidence.</w:t>
      </w:r>
    </w:p>
    <w:p>
      <w:pPr>
        <w:keepLines/>
        <w:widowControl/>
        <w:spacing w:after="100"/>
      </w:pPr>
      <w:r>
        <w:rPr>
          <w:b/>
          <w:sz w:val="19"/>
        </w:rPr>
        <w:t xml:space="preserve">[S8] AARP — 2024 Home and Community Preferences. </w:t>
      </w:r>
      <w:hyperlink r:id="rId19">
        <w:r>
          <w:rPr>
            <w:color w:val="2877AA"/>
            <w:sz w:val="19"/>
          </w:rPr>
          <w:t>Official source</w:t>
        </w:r>
      </w:hyperlink>
      <w:r>
        <w:rPr>
          <w:sz w:val="19"/>
        </w:rPr>
        <w:t xml:space="preserve"> — Historical survey; 75% of US adults 50+ preferred remaining in their current home.</w:t>
      </w:r>
    </w:p>
    <w:p>
      <w:pPr>
        <w:keepLines/>
        <w:widowControl/>
        <w:spacing w:after="100"/>
      </w:pPr>
      <w:r>
        <w:rPr>
          <w:b/>
          <w:sz w:val="19"/>
        </w:rPr>
        <w:t xml:space="preserve">[S9] UNFPA — India Ageing Report 2023. </w:t>
      </w:r>
      <w:hyperlink r:id="rId20">
        <w:r>
          <w:rPr>
            <w:color w:val="2877AA"/>
            <w:sz w:val="19"/>
          </w:rPr>
          <w:t>Official source</w:t>
        </w:r>
      </w:hyperlink>
      <w:r>
        <w:rPr>
          <w:sz w:val="19"/>
        </w:rPr>
        <w:t xml:space="preserve"> — Historical demographic/care background, not a forecast of kit sales.</w:t>
      </w:r>
    </w:p>
    <w:p>
      <w:pPr>
        <w:keepLines/>
        <w:widowControl/>
        <w:spacing w:after="100"/>
      </w:pPr>
      <w:r>
        <w:rPr>
          <w:b/>
          <w:sz w:val="19"/>
        </w:rPr>
        <w:t xml:space="preserve">[S10] ESPHome — Starter Kit launch. </w:t>
      </w:r>
      <w:hyperlink r:id="rId21">
        <w:r>
          <w:rPr>
            <w:color w:val="2877AA"/>
            <w:sz w:val="19"/>
          </w:rPr>
          <w:t>Official source</w:t>
        </w:r>
      </w:hyperlink>
      <w:r>
        <w:rPr>
          <w:sz w:val="19"/>
        </w:rPr>
        <w:t xml:space="preserve"> — 12 Aug 2026 launch. Pricing reference: https://esphome.io/starter-kit/ ($40/€41 recommended; retailer prices vary).</w:t>
      </w:r>
    </w:p>
    <w:p>
      <w:pPr>
        <w:keepLines/>
        <w:widowControl/>
        <w:spacing w:after="100"/>
      </w:pPr>
      <w:r>
        <w:rPr>
          <w:b/>
          <w:sz w:val="19"/>
        </w:rPr>
        <w:t xml:space="preserve">[S11] Espressif — RainMaker Neo release. </w:t>
      </w:r>
      <w:hyperlink r:id="rId22">
        <w:r>
          <w:rPr>
            <w:color w:val="2877AA"/>
            <w:sz w:val="19"/>
          </w:rPr>
          <w:t>Official source</w:t>
        </w:r>
      </w:hyperlink>
      <w:r>
        <w:rPr>
          <w:sz w:val="19"/>
        </w:rPr>
        <w:t xml:space="preserve"> — 5 Aug 2026; open device/cloud/app stack. Public implementation: https://github.com/espressif/esp-rainmaker-neo . AWS/service charges remain.</w:t>
      </w:r>
    </w:p>
    <w:p>
      <w:pPr>
        <w:keepLines/>
        <w:widowControl/>
        <w:spacing w:after="100"/>
      </w:pPr>
      <w:r>
        <w:rPr>
          <w:b/>
          <w:sz w:val="19"/>
        </w:rPr>
        <w:t xml:space="preserve">[S12] Espressif — ESP-NOW Programming Guide. </w:t>
      </w:r>
      <w:hyperlink r:id="rId23">
        <w:r>
          <w:rPr>
            <w:color w:val="2877AA"/>
            <w:sz w:val="19"/>
          </w:rPr>
          <w:t>Official source</w:t>
        </w:r>
      </w:hyperlink>
      <w:r>
        <w:rPr>
          <w:sz w:val="19"/>
        </w:rPr>
        <w:t xml:space="preserve"> — Technical reference for peer channels, send callbacks and application acknowledgement/retry.</w:t>
      </w:r>
    </w:p>
    <w:p>
      <w:pPr>
        <w:keepLines/>
        <w:widowControl/>
        <w:spacing w:after="100"/>
      </w:pPr>
      <w:r>
        <w:rPr>
          <w:b/>
          <w:sz w:val="19"/>
        </w:rPr>
        <w:t xml:space="preserve">[S13] DoT — Equipment Type Approval. </w:t>
      </w:r>
      <w:hyperlink r:id="rId24">
        <w:r>
          <w:rPr>
            <w:color w:val="2877AA"/>
            <w:sz w:val="19"/>
          </w:rPr>
          <w:t>Official source</w:t>
        </w:r>
      </w:hyperlink>
      <w:r>
        <w:rPr>
          <w:sz w:val="19"/>
        </w:rPr>
        <w:t xml:space="preserve"> — Official India WPC/ETA route; obtain product-specific compliance advice.</w:t>
      </w:r>
    </w:p>
    <w:p>
      <w:pPr>
        <w:keepLines/>
        <w:widowControl/>
        <w:spacing w:after="100"/>
      </w:pPr>
      <w:r>
        <w:rPr>
          <w:b/>
          <w:sz w:val="19"/>
        </w:rPr>
        <w:t xml:space="preserve">[S14] MeitY — DPDP Rules 2025, official Gazette. </w:t>
      </w:r>
      <w:hyperlink r:id="rId25">
        <w:r>
          <w:rPr>
            <w:color w:val="2877AA"/>
            <w:sz w:val="19"/>
          </w:rPr>
          <w:t>Official source</w:t>
        </w:r>
      </w:hyperlink>
      <w:r>
        <w:rPr>
          <w:sz w:val="19"/>
        </w:rPr>
        <w:t xml:space="preserve"> — Official rules include staged commencement. Counsel must map applicable duties and timing to the actual launch.</w:t>
      </w:r>
    </w:p>
    <w:p>
      <w:pPr>
        <w:keepLines/>
        <w:widowControl/>
        <w:spacing w:after="100"/>
      </w:pPr>
      <w:r>
        <w:rPr>
          <w:b/>
          <w:sz w:val="19"/>
        </w:rPr>
        <w:t xml:space="preserve">[S15] European Commission — CRA reporting. </w:t>
      </w:r>
      <w:hyperlink r:id="rId26">
        <w:r>
          <w:rPr>
            <w:color w:val="2877AA"/>
            <w:sz w:val="19"/>
          </w:rPr>
          <w:t>Official source</w:t>
        </w:r>
      </w:hyperlink>
      <w:r>
        <w:rPr>
          <w:sz w:val="19"/>
        </w:rPr>
        <w:t xml:space="preserve"> — Reporting obligations from 11 Sep 2026 for in-scope products/manufacturers.</w:t>
      </w:r>
    </w:p>
    <w:p>
      <w:pPr>
        <w:keepLines/>
        <w:widowControl/>
        <w:spacing w:after="100"/>
      </w:pPr>
      <w:r>
        <w:rPr>
          <w:b/>
          <w:sz w:val="19"/>
        </w:rPr>
        <w:t xml:space="preserve">[S16] European Commission — Cyber Resilience Act. </w:t>
      </w:r>
      <w:hyperlink r:id="rId27">
        <w:r>
          <w:rPr>
            <w:color w:val="2877AA"/>
            <w:sz w:val="19"/>
          </w:rPr>
          <w:t>Official source</w:t>
        </w:r>
      </w:hyperlink>
      <w:r>
        <w:rPr>
          <w:sz w:val="19"/>
        </w:rPr>
        <w:t xml:space="preserve"> — Main obligations from 11 Dec 2027. Scope and transitional provisions require review.</w:t>
      </w:r>
    </w:p>
    <w:p>
      <w:pPr>
        <w:keepLines/>
        <w:widowControl/>
        <w:spacing w:after="100"/>
      </w:pPr>
      <w:r>
        <w:rPr>
          <w:b/>
          <w:sz w:val="19"/>
        </w:rPr>
        <w:t xml:space="preserve">[S17] Open Home Foundation — Survey dataset. </w:t>
      </w:r>
      <w:hyperlink r:id="rId28">
        <w:r>
          <w:rPr>
            <w:color w:val="2877AA"/>
            <w:sz w:val="19"/>
          </w:rPr>
          <w:t>Official source</w:t>
        </w:r>
      </w:hyperlink>
      <w:r>
        <w:rPr>
          <w:sz w:val="19"/>
        </w:rPr>
        <w:t xml:space="preserve"> — Published 26 Aug 2026; 8,616 responses collected Dec 2024–Feb 2025. Potential discovery input, not current growth evidence.</w:t>
      </w:r>
    </w:p>
    <w:p>
      <w:pPr>
        <w:keepLines/>
        <w:widowControl/>
        <w:spacing w:after="100"/>
      </w:pPr>
      <w:r>
        <w:rPr>
          <w:b/>
          <w:sz w:val="19"/>
        </w:rPr>
        <w:t xml:space="preserve">[S18] Careium — European telecare sensor portfolio. </w:t>
      </w:r>
      <w:hyperlink r:id="rId29">
        <w:r>
          <w:rPr>
            <w:color w:val="2877AA"/>
            <w:sz w:val="19"/>
          </w:rPr>
          <w:t>Official source</w:t>
        </w:r>
      </w:hyperlink>
      <w:r>
        <w:rPr>
          <w:sz w:val="19"/>
        </w:rPr>
        <w:t xml:space="preserve"> — Motion 9200 activity monitoring establishes category competition; no comparable public EU kit price verified.</w:t>
      </w:r>
    </w:p>
    <w:p>
      <w:pPr>
        <w:keepLines/>
        <w:widowControl/>
        <w:spacing w:after="100"/>
      </w:pPr>
      <w:r>
        <w:rPr>
          <w:b/>
          <w:sz w:val="19"/>
        </w:rPr>
        <w:t xml:space="preserve">[S19] M5Stack — StackChan official listing. </w:t>
      </w:r>
      <w:hyperlink r:id="rId30">
        <w:r>
          <w:rPr>
            <w:color w:val="2877AA"/>
            <w:sz w:val="19"/>
          </w:rPr>
          <w:t>Official source</w:t>
        </w:r>
      </w:hyperlink>
      <w:r>
        <w:rPr>
          <w:sz w:val="19"/>
        </w:rPr>
        <w:t xml:space="preserve"> — Existing $99 ESP32-S3 desktop companion; hardware price excludes delivered-cost/AI-service verification, not a launch this week.</w:t>
      </w:r>
    </w:p>
    <w:p>
      <w:pPr>
        <w:keepLines/>
        <w:widowControl/>
      </w:pPr>
      <w:r>
        <w:rPr>
          <w:i/>
          <w:color w:val="356779"/>
          <w:sz w:val="18"/>
        </w:rPr>
        <w:t>Research boundary: no paid customer interviews, supplier quotations, clinical validation or production battery-life tests were conducted for this update. [S17] can inform later research, but no dataset-level statistical analysis is claimed.</w:t>
      </w:r>
    </w:p>
    <w:p>
      <w:pPr>
        <w:keepLines/>
        <w:widowControl/>
      </w:pPr>
      <w:r>
        <w:rPr>
          <w:rFonts w:ascii="Calibri" w:hAnsi="Calibri"/>
          <w:sz w:val="22"/>
        </w:rPr>
        <w:t>Planning document only—not medical, legal, regulatory, tax or investment advice. Before launch, validate intended use, product claims, radio/battery safety, data protection, consumer terms, tax classification and local response arrangements with qualified professionals. Recheck prices and obligations at the decision date.</w:t>
      </w:r>
    </w:p>
    <w:p>
      <w:pPr>
        <w:pStyle w:val="Heading1"/>
      </w:pPr>
      <w:r>
        <w:rPr>
          <w:color w:val="000000"/>
        </w:rPr>
        <w:t>Revision and implementation status</w:t>
      </w:r>
    </w:p>
    <w:p>
      <w:r>
        <w:t>Edition 2.0 expands the supplied baseline and carries forward the version 1.4 AI session design. Code 1.4.2 changes comments and version metadata only. Base P0 remains the development priority. Existing tests cover components; no complete hardware or unattended field acceptance is claimed. Read progress.txt and the workbook for current gaps.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search review" w:initials="RR" w:date="2026-09-02T17:11:31Z">
    <w:p>
      <w:pPr>
        <w:pStyle w:val="CommentText"/>
      </w:pPr>
      <w:r>
        <w:rPr>
          <w:rStyle w:val="CommentReference"/>
        </w:rPr>
        <w:annotationRef/>
      </w:r>
      <w:r>
        <w:t>Revision 2 — 2 September 2026: Qualified the business ranking and safety claims. No public evidence establishes the probability that this particular product will succeed.</w:t>
      </w:r>
    </w:p>
  </w:comment>
  <w:comment w:id="1" w:author="Research review" w:initials="RR" w:date="2026-09-02T17:11:31Z">
    <w:p>
      <w:pPr>
        <w:pStyle w:val="CommentText"/>
      </w:pPr>
      <w:r>
        <w:rPr>
          <w:rStyle w:val="CommentReference"/>
        </w:rPr>
        <w:annotationRef/>
      </w:r>
      <w:r>
        <w:t>Revision 2 — 2 September 2026: Prices checked 2 September 2026. Added annual Nomo option, Indian services and UK availability caveat. Hardware platforms of care competitors are not verified as ESP32.</w:t>
      </w:r>
    </w:p>
  </w:comment>
  <w:comment w:id="2" w:author="Research review" w:initials="RR" w:date="2026-09-02T17:11:31Z">
    <w:p>
      <w:pPr>
        <w:pStyle w:val="CommentText"/>
      </w:pPr>
      <w:r>
        <w:rPr>
          <w:rStyle w:val="CommentReference"/>
        </w:rPr>
        <w:annotationRef/>
      </w:r>
      <w:r>
        <w:t>Revision 2 — 2 September 2026: Moved fridge, leak and humidity out of the initial caregiver MVP. Device health remains essential, not an optional paid feature.</w:t>
      </w:r>
    </w:p>
  </w:comment>
  <w:comment w:id="3" w:author="Research review" w:initials="RR" w:date="2026-09-02T17:11:31Z">
    <w:p>
      <w:pPr>
        <w:pStyle w:val="CommentText"/>
      </w:pPr>
      <w:r>
        <w:rPr>
          <w:rStyle w:val="CommentReference"/>
        </w:rPr>
        <w:annotationRef/>
      </w:r>
      <w:r>
        <w:t>Revision 2 — 2 September 2026: The old prototype total did not match the full BOM range. This total is recalculated for the narrower P0; optional sensors and newly purchased tools are excluded explicitly.</w:t>
      </w:r>
    </w:p>
  </w:comment>
  <w:comment w:id="4" w:author="Research review" w:initials="RR" w:date="2026-09-02T17:11:31Z">
    <w:p>
      <w:pPr>
        <w:pStyle w:val="CommentText"/>
      </w:pPr>
      <w:r>
        <w:rPr>
          <w:rStyle w:val="CommentReference"/>
        </w:rPr>
        <w:annotationRef/>
      </w:r>
      <w:r>
        <w:t>Revision 2 — 2 September 2026: Corrected the earlier tax-agnostic margin statement. Actual product classification and recoverable input tax require accountant review.</w:t>
      </w:r>
    </w:p>
  </w:comment>
  <w:comment w:id="5" w:author="Research review" w:initials="RR" w:date="2026-09-02T17:11:31Z">
    <w:p>
      <w:pPr>
        <w:pStyle w:val="CommentText"/>
      </w:pPr>
      <w:r>
        <w:rPr>
          <w:rStyle w:val="CommentReference"/>
        </w:rPr>
        <w:annotationRef/>
      </w:r>
      <w:r>
        <w:t>Revision 2 — 2 September 2026: Removed unsupported 85–95%, 20–35% and other probability estimates. Pilot thresholds are proposed management decisions, not statistical success forecasts.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sz w:val="16"/>
      </w:rPr>
      <w:t xml:space="preserve">Ghar Sajag | Documentation 2.0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color w:val="000000"/>
      </w:rPr>
      <w:t>Ghar Sajag | Documentation 2.0 | Reference code 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yperlink" Target="https://nomosmartcare.com/products/essential-care-kit" TargetMode="External"/><Relationship Id="rId13" Type="http://schemas.openxmlformats.org/officeDocument/2006/relationships/hyperlink" Target="https://odecare.com/blog/elderly-monitoring-system-cost" TargetMode="External"/><Relationship Id="rId14" Type="http://schemas.openxmlformats.org/officeDocument/2006/relationships/hyperlink" Target="https://shop.carepredict.com/" TargetMode="External"/><Relationship Id="rId15" Type="http://schemas.openxmlformats.org/officeDocument/2006/relationships/hyperlink" Target="https://www.careium.co.uk/compare-personal-alarms/home-activity-monitoring-alarm/doris/" TargetMode="External"/><Relationship Id="rId16" Type="http://schemas.openxmlformats.org/officeDocument/2006/relationships/hyperlink" Target="https://emoha.com/plans" TargetMode="External"/><Relationship Id="rId17" Type="http://schemas.openxmlformats.org/officeDocument/2006/relationships/hyperlink" Target="https://anvayaa.com/care-plans/" TargetMode="External"/><Relationship Id="rId18" Type="http://schemas.openxmlformats.org/officeDocument/2006/relationships/hyperlink" Target="https://care.samarth.community/blog/safety/technology-ai-technology-smart-devices-elder-care-parents-india/" TargetMode="External"/><Relationship Id="rId19" Type="http://schemas.openxmlformats.org/officeDocument/2006/relationships/hyperlink" Target="https://www.aarp.org/pri/topics/livable-communities/housing/2024-home-community-preferences/" TargetMode="External"/><Relationship Id="rId20" Type="http://schemas.openxmlformats.org/officeDocument/2006/relationships/hyperlink" Target="https://india.unfpa.org/en/publications/caring-our-elders-institutional-responses-india-ageing-report-2023" TargetMode="External"/><Relationship Id="rId21" Type="http://schemas.openxmlformats.org/officeDocument/2006/relationships/hyperlink" Target="https://esphome.io/blog/2026/08/12/the-esphome-starter-kit-is-here/" TargetMode="External"/><Relationship Id="rId22" Type="http://schemas.openxmlformats.org/officeDocument/2006/relationships/hyperlink" Target="https://www.espressif.com/en/news/ESP_RainMaker_Neo_Release" TargetMode="External"/><Relationship Id="rId23" Type="http://schemas.openxmlformats.org/officeDocument/2006/relationships/hyperlink" Target="https://docs.espressif.com/projects/esp-idf/en/stable/esp32/api-reference/network/esp_now.html" TargetMode="External"/><Relationship Id="rId24" Type="http://schemas.openxmlformats.org/officeDocument/2006/relationships/hyperlink" Target="https://www.eservices.dot.gov.in/equipment-type-approval-eta" TargetMode="External"/><Relationship Id="rId25" Type="http://schemas.openxmlformats.org/officeDocument/2006/relationships/hyperlink" Target="https://www.meity.gov.in/static/uploads/2025/11/53450e6e5dc0bfa85ebd78686cadad39.pdf" TargetMode="External"/><Relationship Id="rId26" Type="http://schemas.openxmlformats.org/officeDocument/2006/relationships/hyperlink" Target="https://digital-strategy.ec.europa.eu/en/policies/cra-reporting" TargetMode="External"/><Relationship Id="rId27" Type="http://schemas.openxmlformats.org/officeDocument/2006/relationships/hyperlink" Target="https://digital-strategy.ec.europa.eu/en/policies/cyber-resilience-act" TargetMode="External"/><Relationship Id="rId28" Type="http://schemas.openxmlformats.org/officeDocument/2006/relationships/hyperlink" Target="https://www.openhomefoundation.org/blog/home-assistant-survey-dataset/" TargetMode="External"/><Relationship Id="rId29" Type="http://schemas.openxmlformats.org/officeDocument/2006/relationships/hyperlink" Target="https://www.careium.com/en/telecare-solutions/accessories/" TargetMode="External"/><Relationship Id="rId30" Type="http://schemas.openxmlformats.org/officeDocument/2006/relationships/hyperlink" Target="https://shop.m5stack.com/products/stackchan-kawaii-co-created-open-source-ai-desktop-ro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Check-in &amp; Home Risk System — Startup Blueprint</dc:title>
  <dc:subject>Research update and gated India-first pilot plan, 2 September 2026</dc:subject>
  <dc:creator>Rahul Rathor</dc:creator>
  <cp:keywords/>
  <dc:description>Revision 2: evidence-grounded market update; corrected tax-aware economics; narrowed MVP; no unsupported success probabilities.</dc:description>
  <cp:lastModifiedBy/>
  <cp:revision>1</cp:revision>
  <dcterms:created xsi:type="dcterms:W3CDTF">2013-12-23T23:15:00Z</dcterms:created>
  <dcterms:modified xsi:type="dcterms:W3CDTF">2013-12-23T23:15:00Z</dcterms:modified>
  <cp:category/>
</cp:coreProperties>
</file>