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cro"/>
      </w:pPr>
      <w:r>
        <w:t>PRODUCT REQUIREMENTS + DETAILED SOFTWARE DESIGN</w:t>
      </w:r>
    </w:p>
    <w:p>
      <w:pPr>
        <w:pStyle w:val="Title"/>
      </w:pPr>
      <w:r>
        <w:rPr>
          <w:color w:val="000000"/>
        </w:rPr>
        <w:t>Ghar Sajag P0 Requirements and Software Design</w:t>
      </w:r>
    </w:p>
    <w:p>
      <w:pPr>
        <w:pStyle w:val="Subtitle"/>
      </w:pPr>
      <w:r>
        <w:rPr>
          <w:color w:val="000000"/>
        </w:rPr>
        <w:t>Complete P0 engineering specification</w:t>
      </w:r>
    </w:p>
    <w:p>
      <w:pPr>
        <w:pStyle w:val="Micro"/>
      </w:pPr>
      <w:r>
        <w:t>Prepared for Rahul Rathor • 12 September 2026 • Documentation 2.2</w:t>
      </w:r>
    </w:p>
    <w:p>
      <w:pPr>
        <w:pStyle w:val="Heading1"/>
      </w:pPr>
      <w:r>
        <w:t>Edition 2.2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2.2 accompanies reference code 1.5.4 with Parivar Sathi PWA/RoutineConfig patch v3.3.2. The core source release remains 1.5.4; v3.3 through v3.3.2 are incremental PWA/routine/validation patches on that source line. The latest supplied package adds configurable morning-sequence logic, configurable night bathroom/common-room visit monitoring, post-door-close inactivity detection, Device Schedules editing, browser-stability fixes and validation-state cleanup while preserving the existing generic-event rule engine, node-to-hub protocol and relational data-model contract.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r>
        <w:tc>
          <w:tcPr>
            <w:tcW w:type="dxa" w:w="4680"/>
          </w:tcPr>
          <w:p>
            <w:r>
              <w:t>Host validated</w:t>
            </w:r>
          </w:p>
        </w:tc>
        <w:tc>
          <w:tcPr>
            <w:tcW w:type="dxa" w:w="4680"/>
          </w:tcPr>
          <w:p>
            <w:r>
              <w:t>The implemented reference behavior has current host release-gate evidence. It does not imply hardware/pilot acceptance.</w:t>
            </w:r>
          </w:p>
        </w:tc>
      </w:tr>
      <w:tr>
        <w:tc>
          <w:tcPr>
            <w:tcW w:type="dxa" w:w="4680"/>
          </w:tcPr>
          <w:p>
            <w:r>
              <w:t>Browser/manual required</w:t>
            </w:r>
          </w:p>
        </w:tc>
        <w:tc>
          <w:tcPr>
            <w:tcW w:type="dxa" w:w="4680"/>
          </w:tcPr>
          <w:p>
            <w:r>
              <w:t>A browser/PWA path exists, but current evidence requires the generated manual visual plan unless Playwright/Chromium is installed and release-gate-browser passes.</w:t>
            </w:r>
          </w:p>
        </w:tc>
      </w:tr>
      <w:tr>
        <w:tc>
          <w:tcPr>
            <w:tcW w:type="dxa" w:w="4680"/>
          </w:tcPr>
          <w:p>
            <w:r>
              <w:t>Physical/HIL pending</w:t>
            </w:r>
          </w:p>
        </w:tc>
        <w:tc>
          <w:tcPr>
            <w:tcW w:type="dxa" w:w="4680"/>
          </w:tcPr>
          <w:p>
            <w:r>
              <w:t>Real GPIO/RF/power/flash/OTA/provider/installed-home evidence is still required before unattended pilot claims.</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Ghar_Sajag_P0_Requirements_and_Software_Design_v1.3(2).docx.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1"/>
      </w:pPr>
      <w:r>
        <w:t>Documentation 2.2 current implementation overlay</w:t>
      </w:r>
    </w:p>
    <w:p>
      <w:r>
        <w:t>Authority. This 2.2 overlay updates implementation status and approved P0 decisions against reference code 1.5.4 plus the Parivar Sathi PWA/RoutineConfig v3.3.2 patch line. Where retained Edition 2.0/2.1 status text or historical diagrams conflict with this overlay or the current traceability/validation pack, the 2.2 overlay governs current implementation status. Requirement IDs remain stable unless explicitly revised below.</w:t>
      </w:r>
    </w:p>
    <w:tbl>
      <w:tblPr>
        <w:tblW w:type="auto" w:w="0"/>
        <w:tblLook w:firstColumn="1" w:firstRow="1" w:lastColumn="0" w:lastRow="0" w:noHBand="0" w:noVBand="1" w:val="04A0"/>
      </w:tblPr>
      <w:tblGrid>
        <w:gridCol w:w="4680"/>
        <w:gridCol w:w="4680"/>
      </w:tblGrid>
      <w:tr>
        <w:tc>
          <w:tcPr>
            <w:tcW w:type="dxa" w:w="4680"/>
            <w:shd w:fill="D9EAD3"/>
          </w:tcPr>
          <w:p>
            <w:r>
              <w:rPr>
                <w:b/>
              </w:rPr>
              <w:t>Area</w:t>
            </w:r>
          </w:p>
        </w:tc>
        <w:tc>
          <w:tcPr>
            <w:tcW w:type="dxa" w:w="4680"/>
            <w:shd w:fill="D9EAD3"/>
          </w:tcPr>
          <w:p>
            <w:r>
              <w:t>Current 2.2 baseline</w:t>
            </w:r>
          </w:p>
        </w:tc>
      </w:tr>
      <w:tr>
        <w:tc>
          <w:tcPr>
            <w:tcW w:type="dxa" w:w="4680"/>
          </w:tcPr>
          <w:p>
            <w:r>
              <w:t>Rules and settings</w:t>
            </w:r>
          </w:p>
        </w:tc>
        <w:tc>
          <w:tcPr>
            <w:tcW w:type="dxa" w:w="4680"/>
          </w:tcPr>
          <w:p>
            <w:r>
              <w:t>The C++ RulesCore consumes generic DomainEvent inputs, not GPIO/RF frames. Current connected rules include missing-morning, quiet-hours door, configurable door-left-open, daytime inactivity, configurable morning sequence, night bathroom/common-room visit thresholds with PIR-burst merging, and post-door-close inactivity. Household behavior policy is versioned/configurable per home through Device Schedules; transport retry/heartbeat constants remain engineering-controlled.</w:t>
            </w:r>
          </w:p>
        </w:tc>
      </w:tr>
      <w:tr>
        <w:tc>
          <w:tcPr>
            <w:tcW w:type="dxa" w:w="4680"/>
          </w:tcPr>
          <w:p>
            <w:r>
              <w:t>Consent/privacy</w:t>
            </w:r>
          </w:p>
        </w:tc>
        <w:tc>
          <w:tcPr>
            <w:tcW w:type="dxa" w:w="4680"/>
          </w:tcPr>
          <w:p>
            <w:r>
              <w:t>There is no normal user-facing Privacy ON/OFF setting or physical privacy switch in the current P0 UI/hardware plan. Consent withdrawal is still authoritative: once an authenticated withdrawal is applied, the system enters an internal privacy-enforcement state that suppresses configured passive collection. Re-observation requires deliberate valid consent.</w:t>
            </w:r>
          </w:p>
        </w:tc>
      </w:tr>
      <w:tr>
        <w:tc>
          <w:tcPr>
            <w:tcW w:type="dxa" w:w="4680"/>
          </w:tcPr>
          <w:p>
            <w:r>
              <w:t>Node to hub protocol</w:t>
            </w:r>
          </w:p>
        </w:tc>
        <w:tc>
          <w:tcPr>
            <w:tcW w:type="dxa" w:w="4680"/>
          </w:tcPr>
          <w:p>
            <w:r>
              <w:t>Typed NodeMessage/NodeAck contracts define node_id, session_id, sequence_number, sensor/event type, location, monotonic/occurrence time, battery and hub-observed RSSI. Default heartbeat is 60 s; offline/coverage-unknown is 190 s; retry is 200/600/1800/10000 ms then capped at 10 s. Durable ACK and duplicate suppression use the stable node/session/sequence identity.</w:t>
            </w:r>
          </w:p>
        </w:tc>
      </w:tr>
      <w:tr>
        <w:tc>
          <w:tcPr>
            <w:tcW w:type="dxa" w:w="4680"/>
          </w:tcPr>
          <w:p>
            <w:r>
              <w:t>Persistent data model</w:t>
            </w:r>
          </w:p>
        </w:tc>
        <w:tc>
          <w:tcPr>
            <w:tcW w:type="dxa" w:w="4680"/>
          </w:tcPr>
          <w:p>
            <w:r>
              <w:t>A concrete relational schema/migration now covers household, rooms, caregivers, hub/nodes, events, routines/windows, alerts, acknowledgements, notification jobs, battery/device-health history, configurations and audit. The connected simulator intentionally still uses InMemoryStore; physical flash and production repository wiring remain pending.</w:t>
            </w:r>
          </w:p>
        </w:tc>
      </w:tr>
      <w:tr>
        <w:tc>
          <w:tcPr>
            <w:tcW w:type="dxa" w:w="4680"/>
          </w:tcPr>
          <w:p>
            <w:r>
              <w:t>Caregiver/family experience</w:t>
            </w:r>
          </w:p>
        </w:tc>
        <w:tc>
          <w:tcPr>
            <w:tcW w:type="dxa" w:w="4680"/>
          </w:tcPr>
          <w:p>
            <w:r>
              <w:t>The same authorised web/PWA dashboard serves family or caregiver users; role/authorization controls actions. Device Schedules edits versioned family-specific routine settings. Background polling pauses while the editor is open. The main care banner is driven only by backend/rule-engine care.alert: morning pending is not shown as a missing-morning concern. Run-all/browser validation cleanup restores a neutral Reset/PASS state.</w:t>
            </w:r>
          </w:p>
        </w:tc>
      </w:tr>
      <w:tr>
        <w:tc>
          <w:tcPr>
            <w:tcW w:type="dxa" w:w="4680"/>
          </w:tcPr>
          <w:p>
            <w:r>
              <w:t>Validation</w:t>
            </w:r>
          </w:p>
        </w:tc>
        <w:tc>
          <w:tcPr>
            <w:tcW w:type="dxa" w:w="4680"/>
          </w:tcPr>
          <w:p>
            <w:r>
              <w:t>Latest host evidence from the v3.3.2 package: 24/24 P0 coverage mappings; 4 contract schemas + protocol/config/OpenAPI; 86 C++ checks; 24 Python tests; 11 JavaScript tests; Base/AI product checks; 5/5 dummy streams; 85/85 connected functional scenarios; 16/16 HTTP integration tests; 6 PWA bridge tests; PWA API and frontend-JavaScript validation over the full current catalog PASS. ASan/UBSan C++ also passes 86 checks and trace-enabled C++ passes 86 checks. The final release target now makes Playwright browser validation mandatory, but this environment does not contain Playwright, so a post-v3.3.2 16/16 browser PASS is not claimed here.</w:t>
            </w:r>
          </w:p>
        </w:tc>
      </w:tr>
      <w:tr>
        <w:tc>
          <w:tcPr>
            <w:tcW w:type="dxa" w:w="4680"/>
          </w:tcPr>
          <w:p>
            <w:r>
              <w:t>Routine/PWA patch v3.3.2</w:t>
            </w:r>
          </w:p>
        </w:tc>
        <w:tc>
          <w:tcPr>
            <w:tcW w:type="dxa" w:w="4680"/>
          </w:tcPr>
          <w:p>
            <w:r>
              <w:t>Morning-sequence completion, night bathroom/common-room visit counting, post-door inactivity and configurable thresholds are represented as applied household configuration and rule-engine events. v3.3.1 isolates browser/routine tests and stabilizes Device Schedules editing; v3.3.2 prevents validation-only state leakage and separates routine-pending from true missing-morning concern state.</w:t>
            </w:r>
          </w:p>
        </w:tc>
      </w:tr>
    </w:tbl>
    <w:p>
      <w:pPr/>
      <w:r>
        <w:t>Historical-diagram note. Retained Edition 2.0 figures may show earlier trial labels (for example three C3 nodes or a physical privacy switch). The current one-home baseline is one ESP32 DevKit V1 hub plus four ESP32-C3 nodes, two resident action buttons, and no user-facing privacy ON/OFF switch.</w:t>
      </w:r>
    </w:p>
    <w:p>
      <w:pPr>
        <w:pStyle w:val="Heading2"/>
      </w:pPr>
      <w:r>
        <w:rPr>
          <w:color w:val="000000"/>
        </w:rPr>
        <w:t>Current decisions that resolve earlier ambiguity</w:t>
      </w:r>
    </w:p>
    <w:p>
      <w:r>
        <w:t>Routine evidence. RulesCore consumes generic DomainEvent records, so GPIO/RF adapters do not own business logic. In addition to missing-morning, quiet-hours door, door-left-open and daytime-inactivity rules, the applied household policy can enable a morning sequence, night bathroom/common-room monitoring and post-door-close inactivity. The current morning sequence starts only after motion at the configured bedroom location; subsequent configured bathroom and kitchen motion may occur in either order, but both must follow the start and fall within the configured sequence window before MORNING_ROUTINE_COMPLETED is emitted. This is household/location evidence, never resident identity.</w:t>
      </w:r>
    </w:p>
    <w:p>
      <w:r>
        <w:t>Coverage. Current lease/offline state and device health are separated from resident activity, with a 60-second heartbeat and 190-second offline/coverage-unknown threshold. Full historical coverage intervals across a complete routine window are still an open production gap. Missing activity must never be presented as a wellbeing or medical conclusion.</w:t>
      </w:r>
    </w:p>
    <w:p>
      <w:r>
        <w:t>Timing. Transport constants remain engineering-controlled: 60-second heartbeat, 190-second offline threshold, and bounded retry at 200 ms, 600 ms, 1800 ms and 10000 ms before the 10-second cap. Household behavior policy is versioned per home. Current seed defaults are quiet-hours 01:00–05:00, door-left-open 2 hours, daytime monitoring 08:00–21:00 with 3-hour inactivity, morning-sequence 06:00–11:00 with a 4-hour sequence window, night monitoring 22:00–06:00 with bathroom/common allowed-visit thresholds of 4 and a 5-minute PIR visit-merge interval, and post-door inactivity at 2 hours. These are starting values only; authorised household Settings may change them.</w:t>
      </w:r>
    </w:p>
    <w:p>
      <w:r>
        <w:t>Persistence. DURABLE remains the application-ACK meaning. A concrete relational schema/migration now defines durable backend entities and identities, including routine-window and notification idempotency state. The connected simulator still uses deterministic in-memory runtime stores, so power-loss flash persistence, journal compaction and production database repository wiring remain open integration work.</w:t>
      </w:r>
    </w:p>
    <w:p>
      <w:r>
        <w:t>Modules. The 32 baseline P0 logical responsibilities remain the core architecture. S04 product profile, H09 interaction and S05 diagnostics are catalogued additions, while H10/H11/B09/A06 remain future/planned. Current source/contract/test traceability is maintained in the v1.5.4 tracker rather than inferred from historical module counts.</w:t>
      </w:r>
    </w:p>
    <w:p>
      <w:r>
        <w:t>Logs. Structured ERROR and build-gated TRACE paths, the host log analyzer, sanitizer profiles and simulated diagnostic codes are host-tested in v1.5.4. Logging remains best-effort and must never block product logic. ESP-IDF concurrent sinks, flash wear, brown-out/watchdog/panic and coredump retrieval still require board validation.</w:t>
      </w:r>
    </w:p>
    <w:p>
      <w:pPr/>
      <w:r>
        <w:t>PWA/routine patch v3.3.2. Device Schedules exposes the family-specific routine policy through the versioned configuration path. Background 2-second polling pauses while the schedule editor is open so inputs are not detached while typing. Morning-routine pending/not-completed-yet is now distinct from an actual MISSING_MORNING_ACTIVITY concern: the main care banner follows backend/rule-engine care.alert only. Validation-only Run all and Playwright cleanup restore the PWA to Reset/PASS so synthetic test state is not left on the live dashboard.</w:t>
      </w:r>
    </w:p>
    <w:p>
      <w:pPr>
        <w:pStyle w:val="Heading1"/>
      </w:pPr>
      <w:r>
        <w:rPr>
          <w:color w:val="000000"/>
        </w:rPr>
        <w:t>Architecture explained for implementation</w:t>
      </w:r>
    </w:p>
    <w:p>
      <w:pPr>
        <w:pStyle w:val="Heading2"/>
      </w:pPr>
      <w:r>
        <w:rPr>
          <w:color w:val="000000"/>
        </w:rPr>
        <w:t>Why there is one shared core</w:t>
      </w:r>
    </w:p>
    <w:p>
      <w:r>
        <w:t>A requirement such as detecting a missing check-in should behave identically whether or not the product has audio. Put event identity, rule decisions, incident workflow and service health in shared modules. Optional interaction is a client of selected state and a separate request lifecycle. It cannot replace the rule engine or create human acknowledgement.</w:t>
      </w:r>
    </w:p>
    <w:p>
      <w:pPr>
        <w:pStyle w:val="Heading2"/>
      </w:pPr>
      <w:r>
        <w:rPr>
          <w:color w:val="000000"/>
        </w:rPr>
        <w:t>Where state is authoritative</w:t>
      </w:r>
    </w:p>
    <w:p>
      <w:r>
        <w:t>The node owns unsent sensor evidence. The hub owns local routine/configuration/coverage state and its unsent cloud records. The backend owns household access, incidents, notification jobs and caregiver projections. The app owns presentation and pending user commands. Copying a snapshot does not transfer authority; every mutation returns to its owner.</w:t>
      </w:r>
    </w:p>
    <w:p>
      <w:pPr>
        <w:pStyle w:val="Heading2"/>
      </w:pPr>
      <w:r>
        <w:rPr>
          <w:color w:val="000000"/>
        </w:rPr>
        <w:t>Commit order across the home</w:t>
      </w:r>
    </w:p>
    <w:p>
      <w:r>
        <w:t>Record a business event at the node before transmission. Admit and commit it at the hub before a durable node ACK. Persist it and its required backend effects before the backend application ACK. Retries reuse the same key. Every failure between two commits must have a defined replay action. This gives idempotent effects under at-least-once transport; it does not guarantee exactly-once network delivery.</w:t>
      </w:r>
    </w:p>
    <w:p>
      <w:pPr>
        <w:pStyle w:val="Heading2"/>
      </w:pPr>
      <w:r>
        <w:rPr>
          <w:color w:val="000000"/>
        </w:rPr>
        <w:t>Task boundary on the hub</w:t>
      </w:r>
    </w:p>
    <w:p>
      <w:r>
        <w:t>The proposed hub_event_task owns routine, coverage and configuration mutations. Radio and timer callbacks enqueue bounded messages. A cloud worker owns blocking network work and exchanges immutable snapshots/commands with the state owner. UI sampling may happen in a separate task but applies semantic actions through the same owner. Queue overflow is a visible service fault, not a reason to invent resident evidence.</w:t>
      </w:r>
    </w:p>
    <w:p>
      <w:pPr>
        <w:pStyle w:val="Heading2"/>
      </w:pPr>
      <w:r>
        <w:rPr>
          <w:color w:val="000000"/>
        </w:rPr>
        <w:t>Storage concurrency</w:t>
      </w:r>
    </w:p>
    <w:p>
      <w:r>
        <w:t>The earlier FreeRTOS sketch lets the state task write the journal and a cloud task read it. A concrete binding must serialize those accesses or copy a committed outbox snapshot through the owner. A deque reference is not a safe shared cross-task view. ACK commands also return to the journal owner so reclamation cannot race a read.</w:t>
      </w:r>
    </w:p>
    <w:p>
      <w:pPr>
        <w:pStyle w:val="Heading2"/>
      </w:pPr>
      <w:r>
        <w:rPr>
          <w:color w:val="000000"/>
        </w:rPr>
        <w:t>Scaling beyond a pilot</w:t>
      </w:r>
    </w:p>
    <w:p>
      <w:r>
        <w:t>Start with a backend modular monolith and one database, preserving B01–B08 boundaries in code. Scale stateless API replicas and leased delivery workers when measured load warrants it. Keep household_id in keys, queries and authorisation checks. Use database unique constraints and outbox transactions for concurrent idempotency; in-memory dictionaries are not a multi-replica design.</w:t>
      </w:r>
    </w:p>
    <w:p>
      <w:pPr>
        <w:pStyle w:val="Heading2"/>
      </w:pPr>
      <w:r>
        <w:rPr>
          <w:color w:val="000000"/>
        </w:rPr>
        <w:t>Backpressure and resource sizing</w:t>
      </w:r>
    </w:p>
    <w:p>
      <w:r>
        <w:t>Capacity limits must include payload lengths, evidence IDs, retry queues, diagnostic records and result batches. A container with a maximum item count can still exceed RAM if each item owns unbounded strings. Measure high-water marks under duplicate storms, long outages and replay. Determine release budgets from the actual C3/DevKit board and firmware build rather than host sizeof alone.</w:t>
      </w:r>
    </w:p>
    <w:p>
      <w:pPr>
        <w:pStyle w:val="Heading2"/>
      </w:pPr>
      <w:r>
        <w:rPr>
          <w:color w:val="000000"/>
        </w:rPr>
        <w:t>Hardware independent development</w:t>
      </w:r>
    </w:p>
    <w:p>
      <w:r>
        <w:t>Host tests can verify parsing policies, reducers, ownership outcomes, retries and fake provider errors. They cannot measure RF range, deep-sleep current, flash wear, brownout, GPIO polarity or actual notification delivery. Keep each hardware/network port injectable so the same domain behaviour can be exercised with a fake first and a measured adapter later.</w:t>
      </w:r>
    </w:p>
    <w:p>
      <w:pPr>
        <w:pStyle w:val="Heading2"/>
      </w:pPr>
      <w:r>
        <w:rPr>
          <w:color w:val="000000"/>
        </w:rPr>
        <w:t>Design decision record</w:t>
      </w:r>
    </w:p>
    <w:p>
      <w:r>
        <w:t>Keep a short record whenever a behaviour changes: requirement ID, previous rule, new rule, reason, affected modules, compatibility impact and acceptance evidence. Record decisions on schedule change timing, grace-window OK handling, coverage history and duplicate evidence before implementation. Do not silently resolve these by changing a dashboard label.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Boundary</w:t>
            </w:r>
          </w:p>
        </w:tc>
        <w:tc>
          <w:tcPr>
            <w:tcW w:type="dxa" w:w="2880"/>
            <w:tcMar>
              <w:top w:w="100" w:type="dxa"/>
              <w:left w:w="100" w:type="dxa"/>
              <w:bottom w:w="100" w:type="dxa"/>
              <w:right w:w="100" w:type="dxa"/>
            </w:tcMar>
            <w:shd w:fill="E7EDF4"/>
          </w:tcPr>
          <w:p>
            <w:pPr>
              <w:spacing w:after="80" w:before="60"/>
            </w:pPr>
            <w:r>
              <w:rPr>
                <w:b/>
                <w:sz w:val="18"/>
              </w:rPr>
              <w:t>Participants</w:t>
            </w:r>
          </w:p>
        </w:tc>
        <w:tc>
          <w:tcPr>
            <w:tcW w:type="dxa" w:w="4896"/>
            <w:tcMar>
              <w:top w:w="100" w:type="dxa"/>
              <w:left w:w="100" w:type="dxa"/>
              <w:bottom w:w="100" w:type="dxa"/>
              <w:right w:w="100" w:type="dxa"/>
            </w:tcMar>
            <w:shd w:fill="E7EDF4"/>
          </w:tcPr>
          <w:p>
            <w:pPr>
              <w:spacing w:after="80" w:before="60"/>
            </w:pPr>
            <w:r>
              <w:rPr>
                <w:b/>
                <w:sz w:val="18"/>
              </w:rPr>
              <w:t>Data and completion meaning</w:t>
            </w:r>
          </w:p>
        </w:tc>
      </w:tr>
      <w:tr>
        <w:tc>
          <w:tcPr>
            <w:tcW w:type="dxa" w:w="1584"/>
            <w:tcMar>
              <w:top w:w="100" w:type="dxa"/>
              <w:left w:w="100" w:type="dxa"/>
              <w:bottom w:w="100" w:type="dxa"/>
              <w:right w:w="100" w:type="dxa"/>
            </w:tcMar>
          </w:tcPr>
          <w:p>
            <w:pPr>
              <w:spacing w:after="80" w:before="60"/>
            </w:pPr>
            <w:r>
              <w:rPr>
                <w:b w:val="0"/>
                <w:sz w:val="18"/>
              </w:rPr>
              <w:t>I01</w:t>
            </w:r>
          </w:p>
        </w:tc>
        <w:tc>
          <w:tcPr>
            <w:tcW w:type="dxa" w:w="2880"/>
            <w:tcMar>
              <w:top w:w="100" w:type="dxa"/>
              <w:left w:w="100" w:type="dxa"/>
              <w:bottom w:w="100" w:type="dxa"/>
              <w:right w:w="100" w:type="dxa"/>
            </w:tcMar>
          </w:tcPr>
          <w:p>
            <w:pPr>
              <w:spacing w:after="80" w:before="60"/>
            </w:pPr>
            <w:r>
              <w:rPr>
                <w:b w:val="0"/>
                <w:sz w:val="18"/>
              </w:rPr>
              <w:t>N02/N05 → H01/H02</w:t>
            </w:r>
          </w:p>
        </w:tc>
        <w:tc>
          <w:tcPr>
            <w:tcW w:type="dxa" w:w="4896"/>
            <w:tcMar>
              <w:top w:w="100" w:type="dxa"/>
              <w:left w:w="100" w:type="dxa"/>
              <w:bottom w:w="100" w:type="dxa"/>
              <w:right w:w="100" w:type="dxa"/>
            </w:tcMar>
          </w:tcPr>
          <w:p>
            <w:pPr>
              <w:spacing w:after="80" w:before="60"/>
            </w:pPr>
            <w:r>
              <w:rPr>
                <w:b w:val="0"/>
                <w:sz w:val="18"/>
              </w:rPr>
              <w:t>Versioned event with source/session/sequence; application ACK after hub commitment. Encrypted ESP-NOW target adapter pending.</w:t>
            </w:r>
          </w:p>
        </w:tc>
      </w:tr>
      <w:tr>
        <w:tc>
          <w:tcPr>
            <w:tcW w:type="dxa" w:w="1584"/>
            <w:tcMar>
              <w:top w:w="100" w:type="dxa"/>
              <w:left w:w="100" w:type="dxa"/>
              <w:bottom w:w="100" w:type="dxa"/>
              <w:right w:w="100" w:type="dxa"/>
            </w:tcMar>
          </w:tcPr>
          <w:p>
            <w:pPr>
              <w:spacing w:after="80" w:before="60"/>
            </w:pPr>
            <w:r>
              <w:rPr>
                <w:b w:val="0"/>
                <w:sz w:val="18"/>
              </w:rPr>
              <w:t>I02</w:t>
            </w:r>
          </w:p>
        </w:tc>
        <w:tc>
          <w:tcPr>
            <w:tcW w:type="dxa" w:w="2880"/>
            <w:tcMar>
              <w:top w:w="100" w:type="dxa"/>
              <w:left w:w="100" w:type="dxa"/>
              <w:bottom w:w="100" w:type="dxa"/>
              <w:right w:w="100" w:type="dxa"/>
            </w:tcMar>
          </w:tcPr>
          <w:p>
            <w:pPr>
              <w:spacing w:after="80" w:before="60"/>
            </w:pPr>
            <w:r>
              <w:rPr>
                <w:b w:val="0"/>
                <w:sz w:val="18"/>
              </w:rPr>
              <w:t>H08 → B03/B06</w:t>
            </w:r>
          </w:p>
        </w:tc>
        <w:tc>
          <w:tcPr>
            <w:tcW w:type="dxa" w:w="4896"/>
            <w:tcMar>
              <w:top w:w="100" w:type="dxa"/>
              <w:left w:w="100" w:type="dxa"/>
              <w:bottom w:w="100" w:type="dxa"/>
              <w:right w:w="100" w:type="dxa"/>
            </w:tcMar>
          </w:tcPr>
          <w:p>
            <w:pPr>
              <w:spacing w:after="80" w:before="60"/>
            </w:pPr>
            <w:r>
              <w:rPr>
                <w:b w:val="0"/>
                <w:sz w:val="18"/>
              </w:rPr>
              <w:t>Replay, application commit ACK and versioned configuration through authenticated remote transport.</w:t>
            </w:r>
          </w:p>
        </w:tc>
      </w:tr>
      <w:tr>
        <w:tc>
          <w:tcPr>
            <w:tcW w:type="dxa" w:w="1584"/>
            <w:tcMar>
              <w:top w:w="100" w:type="dxa"/>
              <w:left w:w="100" w:type="dxa"/>
              <w:bottom w:w="100" w:type="dxa"/>
              <w:right w:w="100" w:type="dxa"/>
            </w:tcMar>
          </w:tcPr>
          <w:p>
            <w:pPr>
              <w:spacing w:after="80" w:before="60"/>
            </w:pPr>
            <w:r>
              <w:rPr>
                <w:b w:val="0"/>
                <w:sz w:val="18"/>
              </w:rPr>
              <w:t>I03</w:t>
            </w:r>
          </w:p>
        </w:tc>
        <w:tc>
          <w:tcPr>
            <w:tcW w:type="dxa" w:w="2880"/>
            <w:tcMar>
              <w:top w:w="100" w:type="dxa"/>
              <w:left w:w="100" w:type="dxa"/>
              <w:bottom w:w="100" w:type="dxa"/>
              <w:right w:w="100" w:type="dxa"/>
            </w:tcMar>
          </w:tcPr>
          <w:p>
            <w:pPr>
              <w:spacing w:after="80" w:before="60"/>
            </w:pPr>
            <w:r>
              <w:rPr>
                <w:b w:val="0"/>
                <w:sz w:val="18"/>
              </w:rPr>
              <w:t>A05 → B01/B07</w:t>
            </w:r>
          </w:p>
        </w:tc>
        <w:tc>
          <w:tcPr>
            <w:tcW w:type="dxa" w:w="4896"/>
            <w:tcMar>
              <w:top w:w="100" w:type="dxa"/>
              <w:left w:w="100" w:type="dxa"/>
              <w:bottom w:w="100" w:type="dxa"/>
              <w:right w:w="100" w:type="dxa"/>
            </w:tcMar>
          </w:tcPr>
          <w:p>
            <w:pPr>
              <w:spacing w:after="80" w:before="60"/>
            </w:pPr>
            <w:r>
              <w:rPr>
                <w:b w:val="0"/>
                <w:sz w:val="18"/>
              </w:rPr>
              <w:t>Authenticated query or idempotent command; response includes version/freshness and a reason on rejection.</w:t>
            </w:r>
          </w:p>
        </w:tc>
      </w:tr>
      <w:tr>
        <w:tc>
          <w:tcPr>
            <w:tcW w:type="dxa" w:w="1584"/>
            <w:tcMar>
              <w:top w:w="100" w:type="dxa"/>
              <w:left w:w="100" w:type="dxa"/>
              <w:bottom w:w="100" w:type="dxa"/>
              <w:right w:w="100" w:type="dxa"/>
            </w:tcMar>
          </w:tcPr>
          <w:p>
            <w:pPr>
              <w:spacing w:after="80" w:before="60"/>
            </w:pPr>
            <w:r>
              <w:rPr>
                <w:b w:val="0"/>
                <w:sz w:val="18"/>
              </w:rPr>
              <w:t>I04</w:t>
            </w:r>
          </w:p>
        </w:tc>
        <w:tc>
          <w:tcPr>
            <w:tcW w:type="dxa" w:w="2880"/>
            <w:tcMar>
              <w:top w:w="100" w:type="dxa"/>
              <w:left w:w="100" w:type="dxa"/>
              <w:bottom w:w="100" w:type="dxa"/>
              <w:right w:w="100" w:type="dxa"/>
            </w:tcMar>
          </w:tcPr>
          <w:p>
            <w:pPr>
              <w:spacing w:after="80" w:before="60"/>
            </w:pPr>
            <w:r>
              <w:rPr>
                <w:b w:val="0"/>
                <w:sz w:val="18"/>
              </w:rPr>
              <w:t>GPIO/UI → H06/H05</w:t>
            </w:r>
          </w:p>
        </w:tc>
        <w:tc>
          <w:tcPr>
            <w:tcW w:type="dxa" w:w="4896"/>
            <w:tcMar>
              <w:top w:w="100" w:type="dxa"/>
              <w:left w:w="100" w:type="dxa"/>
              <w:bottom w:w="100" w:type="dxa"/>
              <w:right w:w="100" w:type="dxa"/>
            </w:tcMar>
          </w:tcPr>
          <w:p>
            <w:pPr>
              <w:spacing w:after="80" w:before="60"/>
            </w:pPr>
            <w:r>
              <w:rPr>
                <w:b w:val="0"/>
                <w:sz w:val="18"/>
              </w:rPr>
              <w:t>Resident semantic actions and fixed feedback; physical debounce and accessibility binding pending.</w:t>
            </w:r>
          </w:p>
        </w:tc>
      </w:tr>
      <w:tr>
        <w:tc>
          <w:tcPr>
            <w:tcW w:type="dxa" w:w="1584"/>
            <w:tcMar>
              <w:top w:w="100" w:type="dxa"/>
              <w:left w:w="100" w:type="dxa"/>
              <w:bottom w:w="100" w:type="dxa"/>
              <w:right w:w="100" w:type="dxa"/>
            </w:tcMar>
          </w:tcPr>
          <w:p>
            <w:pPr>
              <w:spacing w:after="80" w:before="60"/>
            </w:pPr>
            <w:r>
              <w:rPr>
                <w:b w:val="0"/>
                <w:sz w:val="18"/>
              </w:rPr>
              <w:t>I05</w:t>
            </w:r>
          </w:p>
        </w:tc>
        <w:tc>
          <w:tcPr>
            <w:tcW w:type="dxa" w:w="2880"/>
            <w:tcMar>
              <w:top w:w="100" w:type="dxa"/>
              <w:left w:w="100" w:type="dxa"/>
              <w:bottom w:w="100" w:type="dxa"/>
              <w:right w:w="100" w:type="dxa"/>
            </w:tcMar>
          </w:tcPr>
          <w:p>
            <w:pPr>
              <w:spacing w:after="80" w:before="60"/>
            </w:pPr>
            <w:r>
              <w:rPr>
                <w:b w:val="0"/>
                <w:sz w:val="18"/>
              </w:rPr>
              <w:t>H09 → Provider</w:t>
            </w:r>
          </w:p>
        </w:tc>
        <w:tc>
          <w:tcPr>
            <w:tcW w:type="dxa" w:w="4896"/>
            <w:tcMar>
              <w:top w:w="100" w:type="dxa"/>
              <w:left w:w="100" w:type="dxa"/>
              <w:bottom w:w="100" w:type="dxa"/>
              <w:right w:w="100" w:type="dxa"/>
            </w:tcMar>
          </w:tcPr>
          <w:p>
            <w:pPr>
              <w:spacing w:after="80" w:before="60"/>
            </w:pPr>
            <w:r>
              <w:rPr>
                <w:b w:val="0"/>
                <w:sz w:val="18"/>
              </w:rPr>
              <w:t>Nonblocking start(id)/cancel(id); completion returned on controller owner. Fake-provider reference only.</w:t>
            </w:r>
          </w:p>
        </w:tc>
      </w:tr>
      <w:tr>
        <w:tc>
          <w:tcPr>
            <w:tcW w:type="dxa" w:w="1584"/>
            <w:tcMar>
              <w:top w:w="100" w:type="dxa"/>
              <w:left w:w="100" w:type="dxa"/>
              <w:bottom w:w="100" w:type="dxa"/>
              <w:right w:w="100" w:type="dxa"/>
            </w:tcMar>
          </w:tcPr>
          <w:p>
            <w:pPr>
              <w:spacing w:after="80" w:before="60"/>
            </w:pPr>
            <w:r>
              <w:rPr>
                <w:b w:val="0"/>
                <w:sz w:val="18"/>
              </w:rPr>
              <w:t>I06</w:t>
            </w:r>
          </w:p>
        </w:tc>
        <w:tc>
          <w:tcPr>
            <w:tcW w:type="dxa" w:w="2880"/>
            <w:tcMar>
              <w:top w:w="100" w:type="dxa"/>
              <w:left w:w="100" w:type="dxa"/>
              <w:bottom w:w="100" w:type="dxa"/>
              <w:right w:w="100" w:type="dxa"/>
            </w:tcMar>
          </w:tcPr>
          <w:p>
            <w:pPr>
              <w:spacing w:after="80" w:before="60"/>
            </w:pPr>
            <w:r>
              <w:rPr>
                <w:b w:val="0"/>
                <w:sz w:val="18"/>
              </w:rPr>
              <w:t>H05/H06 → H10/H11</w:t>
            </w:r>
          </w:p>
        </w:tc>
        <w:tc>
          <w:tcPr>
            <w:tcW w:type="dxa" w:w="4896"/>
            <w:tcMar>
              <w:top w:w="100" w:type="dxa"/>
              <w:left w:w="100" w:type="dxa"/>
              <w:bottom w:w="100" w:type="dxa"/>
              <w:right w:w="100" w:type="dxa"/>
            </w:tcMar>
          </w:tcPr>
          <w:p>
            <w:pPr>
              <w:spacing w:after="80" w:before="60"/>
            </w:pPr>
            <w:r>
              <w:rPr>
                <w:b w:val="0"/>
                <w:sz w:val="18"/>
              </w:rPr>
              <w:t>Planned priority cancellation and microphone/playback stop; never wait for a model to finish monitoring.</w:t>
            </w:r>
          </w:p>
        </w:tc>
      </w:tr>
    </w:tbl>
    <w:p>
      <w:pPr>
        <w:pStyle w:val="Heading2"/>
      </w:pPr>
      <w:r>
        <w:rPr>
          <w:color w:val="000000"/>
        </w:rPr>
        <w:t>Proposed FreeRTOS starting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Context</w:t>
            </w:r>
          </w:p>
        </w:tc>
        <w:tc>
          <w:tcPr>
            <w:tcW w:type="dxa" w:w="2880"/>
            <w:tcMar>
              <w:top w:w="100" w:type="dxa"/>
              <w:left w:w="100" w:type="dxa"/>
              <w:bottom w:w="100" w:type="dxa"/>
              <w:right w:w="100" w:type="dxa"/>
            </w:tcMar>
            <w:shd w:fill="E7EDF4"/>
          </w:tcPr>
          <w:p>
            <w:pPr>
              <w:spacing w:after="80" w:before="60"/>
            </w:pPr>
            <w:r>
              <w:rPr>
                <w:b/>
                <w:sz w:val="18"/>
              </w:rPr>
              <w:t>Initial sketch</w:t>
            </w:r>
          </w:p>
        </w:tc>
        <w:tc>
          <w:tcPr>
            <w:tcW w:type="dxa" w:w="4896"/>
            <w:tcMar>
              <w:top w:w="100" w:type="dxa"/>
              <w:left w:w="100" w:type="dxa"/>
              <w:bottom w:w="100" w:type="dxa"/>
              <w:right w:w="100" w:type="dxa"/>
            </w:tcMar>
            <w:shd w:fill="E7EDF4"/>
          </w:tcPr>
          <w:p>
            <w:pPr>
              <w:spacing w:after="80" w:before="60"/>
            </w:pPr>
            <w:r>
              <w:rPr>
                <w:b/>
                <w:sz w:val="18"/>
              </w:rPr>
              <w:t>Ownership and validation</w:t>
            </w:r>
          </w:p>
        </w:tc>
      </w:tr>
      <w:tr>
        <w:tc>
          <w:tcPr>
            <w:tcW w:type="dxa" w:w="1584"/>
            <w:tcMar>
              <w:top w:w="100" w:type="dxa"/>
              <w:left w:w="100" w:type="dxa"/>
              <w:bottom w:w="100" w:type="dxa"/>
              <w:right w:w="100" w:type="dxa"/>
            </w:tcMar>
          </w:tcPr>
          <w:p>
            <w:pPr>
              <w:spacing w:after="80" w:before="60"/>
            </w:pPr>
            <w:r>
              <w:rPr>
                <w:b w:val="0"/>
                <w:sz w:val="18"/>
              </w:rPr>
              <w:t>Radio callback</w:t>
            </w:r>
          </w:p>
        </w:tc>
        <w:tc>
          <w:tcPr>
            <w:tcW w:type="dxa" w:w="2880"/>
            <w:tcMar>
              <w:top w:w="100" w:type="dxa"/>
              <w:left w:w="100" w:type="dxa"/>
              <w:bottom w:w="100" w:type="dxa"/>
              <w:right w:w="100" w:type="dxa"/>
            </w:tcMar>
          </w:tcPr>
          <w:p>
            <w:pPr>
              <w:spacing w:after="80" w:before="60"/>
            </w:pPr>
            <w:r>
              <w:rPr>
                <w:b w:val="0"/>
                <w:sz w:val="18"/>
              </w:rPr>
              <w:t>No business task work</w:t>
            </w:r>
          </w:p>
        </w:tc>
        <w:tc>
          <w:tcPr>
            <w:tcW w:type="dxa" w:w="4896"/>
            <w:tcMar>
              <w:top w:w="100" w:type="dxa"/>
              <w:left w:w="100" w:type="dxa"/>
              <w:bottom w:w="100" w:type="dxa"/>
              <w:right w:w="100" w:type="dxa"/>
            </w:tcMar>
          </w:tcPr>
          <w:p>
            <w:pPr>
              <w:spacing w:after="80" w:before="60"/>
            </w:pPr>
            <w:r>
              <w:rPr>
                <w:b w:val="0"/>
                <w:sz w:val="18"/>
              </w:rPr>
              <w:t>Validate/copy a bounded frame; enqueue; return. Callback latency must be measured.</w:t>
            </w:r>
          </w:p>
        </w:tc>
      </w:tr>
      <w:tr>
        <w:tc>
          <w:tcPr>
            <w:tcW w:type="dxa" w:w="1584"/>
            <w:tcMar>
              <w:top w:w="100" w:type="dxa"/>
              <w:left w:w="100" w:type="dxa"/>
              <w:bottom w:w="100" w:type="dxa"/>
              <w:right w:w="100" w:type="dxa"/>
            </w:tcMar>
          </w:tcPr>
          <w:p>
            <w:pPr>
              <w:spacing w:after="80" w:before="60"/>
            </w:pPr>
            <w:r>
              <w:rPr>
                <w:b w:val="0"/>
                <w:sz w:val="18"/>
              </w:rPr>
              <w:t>hub_event_task</w:t>
            </w:r>
          </w:p>
        </w:tc>
        <w:tc>
          <w:tcPr>
            <w:tcW w:type="dxa" w:w="2880"/>
            <w:tcMar>
              <w:top w:w="100" w:type="dxa"/>
              <w:left w:w="100" w:type="dxa"/>
              <w:bottom w:w="100" w:type="dxa"/>
              <w:right w:w="100" w:type="dxa"/>
            </w:tcMar>
          </w:tcPr>
          <w:p>
            <w:pPr>
              <w:spacing w:after="80" w:before="60"/>
            </w:pPr>
            <w:r>
              <w:rPr>
                <w:b w:val="0"/>
                <w:sz w:val="18"/>
              </w:rPr>
              <w:t>Priority 8; 8 KiB stack</w:t>
            </w:r>
          </w:p>
        </w:tc>
        <w:tc>
          <w:tcPr>
            <w:tcW w:type="dxa" w:w="4896"/>
            <w:tcMar>
              <w:top w:w="100" w:type="dxa"/>
              <w:left w:w="100" w:type="dxa"/>
              <w:bottom w:w="100" w:type="dxa"/>
              <w:right w:w="100" w:type="dxa"/>
            </w:tcMar>
          </w:tcPr>
          <w:p>
            <w:pPr>
              <w:spacing w:after="80" w:before="60"/>
            </w:pPr>
            <w:r>
              <w:rPr>
                <w:b w:val="0"/>
                <w:sz w:val="18"/>
              </w:rPr>
              <w:t>Own state, commit and decisions. Measure stack and scheduling latency under replay.</w:t>
            </w:r>
          </w:p>
        </w:tc>
      </w:tr>
      <w:tr>
        <w:tc>
          <w:tcPr>
            <w:tcW w:type="dxa" w:w="1584"/>
            <w:tcMar>
              <w:top w:w="100" w:type="dxa"/>
              <w:left w:w="100" w:type="dxa"/>
              <w:bottom w:w="100" w:type="dxa"/>
              <w:right w:w="100" w:type="dxa"/>
            </w:tcMar>
          </w:tcPr>
          <w:p>
            <w:pPr>
              <w:spacing w:after="80" w:before="60"/>
            </w:pPr>
            <w:r>
              <w:rPr>
                <w:b w:val="0"/>
                <w:sz w:val="18"/>
              </w:rPr>
              <w:t>cloud_sync_task</w:t>
            </w:r>
          </w:p>
        </w:tc>
        <w:tc>
          <w:tcPr>
            <w:tcW w:type="dxa" w:w="2880"/>
            <w:tcMar>
              <w:top w:w="100" w:type="dxa"/>
              <w:left w:w="100" w:type="dxa"/>
              <w:bottom w:w="100" w:type="dxa"/>
              <w:right w:w="100" w:type="dxa"/>
            </w:tcMar>
          </w:tcPr>
          <w:p>
            <w:pPr>
              <w:spacing w:after="80" w:before="60"/>
            </w:pPr>
            <w:r>
              <w:rPr>
                <w:b w:val="0"/>
                <w:sz w:val="18"/>
              </w:rPr>
              <w:t>Priority 5; 8 KiB stack</w:t>
            </w:r>
          </w:p>
        </w:tc>
        <w:tc>
          <w:tcPr>
            <w:tcW w:type="dxa" w:w="4896"/>
            <w:tcMar>
              <w:top w:w="100" w:type="dxa"/>
              <w:left w:w="100" w:type="dxa"/>
              <w:bottom w:w="100" w:type="dxa"/>
              <w:right w:w="100" w:type="dxa"/>
            </w:tcMar>
          </w:tcPr>
          <w:p>
            <w:pPr>
              <w:spacing w:after="80" w:before="60"/>
            </w:pPr>
            <w:r>
              <w:rPr>
                <w:b w:val="0"/>
                <w:sz w:val="18"/>
              </w:rPr>
              <w:t>Own remote transport; request snapshots and enqueue ACK/config commands to state owner.</w:t>
            </w:r>
          </w:p>
        </w:tc>
      </w:tr>
      <w:tr>
        <w:tc>
          <w:tcPr>
            <w:tcW w:type="dxa" w:w="1584"/>
            <w:tcMar>
              <w:top w:w="100" w:type="dxa"/>
              <w:left w:w="100" w:type="dxa"/>
              <w:bottom w:w="100" w:type="dxa"/>
              <w:right w:w="100" w:type="dxa"/>
            </w:tcMar>
          </w:tcPr>
          <w:p>
            <w:pPr>
              <w:spacing w:after="80" w:before="60"/>
            </w:pPr>
            <w:r>
              <w:rPr>
                <w:b w:val="0"/>
                <w:sz w:val="18"/>
              </w:rPr>
              <w:t>ui_task</w:t>
            </w:r>
          </w:p>
        </w:tc>
        <w:tc>
          <w:tcPr>
            <w:tcW w:type="dxa" w:w="2880"/>
            <w:tcMar>
              <w:top w:w="100" w:type="dxa"/>
              <w:left w:w="100" w:type="dxa"/>
              <w:bottom w:w="100" w:type="dxa"/>
              <w:right w:w="100" w:type="dxa"/>
            </w:tcMar>
          </w:tcPr>
          <w:p>
            <w:pPr>
              <w:spacing w:after="80" w:before="60"/>
            </w:pPr>
            <w:r>
              <w:rPr>
                <w:b w:val="0"/>
                <w:sz w:val="18"/>
              </w:rPr>
              <w:t>Priority 6; 5 KiB stack</w:t>
            </w:r>
          </w:p>
        </w:tc>
        <w:tc>
          <w:tcPr>
            <w:tcW w:type="dxa" w:w="4896"/>
            <w:tcMar>
              <w:top w:w="100" w:type="dxa"/>
              <w:left w:w="100" w:type="dxa"/>
              <w:bottom w:w="100" w:type="dxa"/>
              <w:right w:w="100" w:type="dxa"/>
            </w:tcMar>
          </w:tcPr>
          <w:p>
            <w:pPr>
              <w:spacing w:after="80" w:before="60"/>
            </w:pPr>
            <w:r>
              <w:rPr>
                <w:b w:val="0"/>
                <w:sz w:val="18"/>
              </w:rPr>
              <w:t>Sample/debounce controls and render immutable feedback snapshots.</w:t>
            </w:r>
          </w:p>
        </w:tc>
      </w:tr>
      <w:tr>
        <w:tc>
          <w:tcPr>
            <w:tcW w:type="dxa" w:w="1584"/>
            <w:tcMar>
              <w:top w:w="100" w:type="dxa"/>
              <w:left w:w="100" w:type="dxa"/>
              <w:bottom w:w="100" w:type="dxa"/>
              <w:right w:w="100" w:type="dxa"/>
            </w:tcMar>
          </w:tcPr>
          <w:p>
            <w:pPr>
              <w:spacing w:after="80" w:before="60"/>
            </w:pPr>
            <w:r>
              <w:rPr>
                <w:b w:val="0"/>
                <w:sz w:val="18"/>
              </w:rPr>
              <w:t>maintenance_task</w:t>
            </w:r>
          </w:p>
        </w:tc>
        <w:tc>
          <w:tcPr>
            <w:tcW w:type="dxa" w:w="2880"/>
            <w:tcMar>
              <w:top w:w="100" w:type="dxa"/>
              <w:left w:w="100" w:type="dxa"/>
              <w:bottom w:w="100" w:type="dxa"/>
              <w:right w:w="100" w:type="dxa"/>
            </w:tcMar>
          </w:tcPr>
          <w:p>
            <w:pPr>
              <w:spacing w:after="80" w:before="60"/>
            </w:pPr>
            <w:r>
              <w:rPr>
                <w:b w:val="0"/>
                <w:sz w:val="18"/>
              </w:rPr>
              <w:t>Priority 3; 8 KiB stack</w:t>
            </w:r>
          </w:p>
        </w:tc>
        <w:tc>
          <w:tcPr>
            <w:tcW w:type="dxa" w:w="4896"/>
            <w:tcMar>
              <w:top w:w="100" w:type="dxa"/>
              <w:left w:w="100" w:type="dxa"/>
              <w:bottom w:w="100" w:type="dxa"/>
              <w:right w:w="100" w:type="dxa"/>
            </w:tcMar>
          </w:tcPr>
          <w:p>
            <w:pPr>
              <w:spacing w:after="80" w:before="60"/>
            </w:pPr>
            <w:r>
              <w:rPr>
                <w:b w:val="0"/>
                <w:sz w:val="18"/>
              </w:rPr>
              <w:t>Controlled maintenance/update work; avoid competing flash writers.</w:t>
            </w:r>
          </w:p>
        </w:tc>
      </w:tr>
      <w:tr>
        <w:tc>
          <w:tcPr>
            <w:tcW w:type="dxa" w:w="1584"/>
            <w:tcMar>
              <w:top w:w="100" w:type="dxa"/>
              <w:left w:w="100" w:type="dxa"/>
              <w:bottom w:w="100" w:type="dxa"/>
              <w:right w:w="100" w:type="dxa"/>
            </w:tcMar>
          </w:tcPr>
          <w:p>
            <w:pPr>
              <w:spacing w:after="80" w:before="60"/>
            </w:pPr>
            <w:r>
              <w:rPr>
                <w:b w:val="0"/>
                <w:sz w:val="18"/>
              </w:rPr>
              <w:t>Future AI worker</w:t>
            </w:r>
          </w:p>
        </w:tc>
        <w:tc>
          <w:tcPr>
            <w:tcW w:type="dxa" w:w="2880"/>
            <w:tcMar>
              <w:top w:w="100" w:type="dxa"/>
              <w:left w:w="100" w:type="dxa"/>
              <w:bottom w:w="100" w:type="dxa"/>
              <w:right w:w="100" w:type="dxa"/>
            </w:tcMar>
          </w:tcPr>
          <w:p>
            <w:pPr>
              <w:spacing w:after="80" w:before="60"/>
            </w:pPr>
            <w:r>
              <w:rPr>
                <w:b w:val="0"/>
                <w:sz w:val="18"/>
              </w:rPr>
              <w:t>Not sized</w:t>
            </w:r>
          </w:p>
        </w:tc>
        <w:tc>
          <w:tcPr>
            <w:tcW w:type="dxa" w:w="4896"/>
            <w:tcMar>
              <w:top w:w="100" w:type="dxa"/>
              <w:left w:w="100" w:type="dxa"/>
              <w:bottom w:w="100" w:type="dxa"/>
              <w:right w:w="100" w:type="dxa"/>
            </w:tcMar>
          </w:tcPr>
          <w:p>
            <w:pPr>
              <w:spacing w:after="80" w:before="60"/>
            </w:pPr>
            <w:r>
              <w:rPr>
                <w:b w:val="0"/>
                <w:sz w:val="18"/>
              </w:rPr>
              <w:t>Separate audio/provider I/O, bounded buffers and cancellation. No priority or stack promise before measurement.</w:t>
            </w:r>
          </w:p>
        </w:tc>
      </w:tr>
    </w:tbl>
    <w:p>
      <w:r>
        <w:t>These are inherited initial estimates, not verified ESP-IDF settings. ESP-IDF projects and actual task creation are not included in the portable reference release. Define static queue sizes, message ownership and persistence acknowledgements before mapping these responsibilities onto tasks.</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2"/>
      </w:pPr>
      <w:r>
        <w:rPr>
          <w:color w:val="000000"/>
        </w:rPr>
        <w:t>Build the check-in workflow. Make uncertainty visible.</w:t>
      </w:r>
    </w:p>
    <w:p>
      <w:pPr/>
      <w:r>
        <w:t>A camera-free household-awareness product for families supporting one or two consenting older residents. This specification translates the startup blueprint, field-layout decisions and competitor-informed P0 review into implementable requirements, interfaces, module boundaries and release tests.</w:t>
      </w:r>
    </w:p>
    <w:tbl>
      <w:tblPr>
        <w:tblW w:type="dxa" w:w="9360"/>
        <w:tblLayout w:type="fixed"/>
        <w:tblLook w:firstColumn="1" w:firstRow="1" w:lastColumn="0" w:lastRow="0" w:noHBand="0" w:noVBand="1" w:val="04A0"/>
        <w:jc w:val="left"/>
        <w:tblInd w:type="dxa" w:w="120"/>
        <w:tblBorders>
          <w:top w:val="single" w:sz="4" w:color="B8C5D1" w:space="0"/>
          <w:left w:val="single" w:sz="4" w:color="B8C5D1" w:space="0"/>
          <w:bottom w:val="single" w:sz="4" w:color="B8C5D1" w:space="0"/>
          <w:right w:val="single" w:sz="4" w:color="B8C5D1" w:space="0"/>
          <w:insideH w:val="single" w:sz="4" w:color="B8C5D1" w:space="0"/>
          <w:insideV w:val="single" w:sz="4" w:color="B8C5D1" w:space="0"/>
        </w:tblBorders>
      </w:tblPr>
      <w:tblGrid>
        <w:gridCol w:w="2700"/>
        <w:gridCol w:w="6660"/>
      </w:tblGrid>
      <w:tr>
        <w:trPr>
          <w:cantSplit/>
          <w:tblHeader/>
          <w:cantSplit/>
          <w:tblHeader w:val="true"/>
        </w:trPr>
        <w:tc>
          <w:tcPr>
            <w:tcW w:type="dxa" w:w="27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8"/>
              </w:rPr>
              <w:t>Baseline</w:t>
            </w:r>
          </w:p>
        </w:tc>
        <w:tc>
          <w:tcPr>
            <w:tcW w:type="dxa" w:w="66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8"/>
              </w:rPr>
              <w:t>Decision</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Feature scope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24 P0 features: 14 resident/caregiver features + 10 engineering capabilities.</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Software structure</w:t>
            </w:r>
          </w:p>
        </w:tc>
        <w:tc>
          <w:tcPr>
            <w:tcW w:type="dxa" w:w="6660"/>
            <w:tcMar>
              <w:top w:w="80" w:type="dxa"/>
              <w:bottom w:w="80" w:type="dxa"/>
              <w:start w:w="120" w:type="dxa"/>
              <w:end w:w="120" w:type="dxa"/>
            </w:tcMar>
            <w:vAlign w:val="center"/>
          </w:tcPr>
          <w:p>
            <w:r>
              <w:t>32 baseline P0 logical modules in one monorepo; 39 catalogued responsibilities when product-profile/interaction/diagnostics and four future AI modules are included. No microservice requirement for the pilot.</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One-home hardware</w:t>
            </w:r>
          </w:p>
        </w:tc>
        <w:tc>
          <w:tcPr>
            <w:tcW w:type="dxa" w:w="6660"/>
            <w:tcMar>
              <w:top w:w="80" w:type="dxa"/>
              <w:bottom w:w="80" w:type="dxa"/>
              <w:start w:w="120" w:type="dxa"/>
              <w:end w:w="120" w:type="dxa"/>
            </w:tcMar>
            <w:vAlign w:val="center"/>
          </w:tcPr>
          <w:p>
            <w:r>
              <w:t>1 ESP32 DevKit V1 hub + 4 ESP32-C3 nodes with configurable PIR/reed capabilities and two resident action buttons. There is no user-facing Privacy ON/OFF switch in the current P0 hardware/UI plan. Exact board variants and GPIO profiles must be verified before wiring freeze.</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Intelligence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Configured local rules in P0. No LLM, camera capture, microphone capture or cloud inference in the decision path.</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Power recommendation</w:t>
            </w:r>
          </w:p>
        </w:tc>
        <w:tc>
          <w:tcPr>
            <w:tcW w:type="dxa" w:w="6660"/>
            <w:tcMar>
              <w:top w:w="80" w:type="dxa"/>
              <w:bottom w:w="80" w:type="dxa"/>
              <w:start w:w="120" w:type="dxa"/>
              <w:end w:w="120" w:type="dxa"/>
            </w:tcMar>
            <w:vAlign w:val="center"/>
          </w:tcPr>
          <w:p>
            <w:pPr>
              <w:spacing w:before="0" w:after="60" w:line="240" w:lineRule="auto"/>
            </w:pPr>
            <w:r>
              <w:rPr>
                <w:rFonts w:ascii="Calibri" w:hAnsi="Calibri"/>
                <w:sz w:val="18"/>
              </w:rPr>
              <w:t>Rechargeable C3 nodes; hub normally powered by 5 V USB with tested rechargeable backup. A two-cell shield is acceptable for bench work only after polarity, cell matching and supply-transition tests; the commercial power path remains a separate hardware qualification decision.</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Status</w:t>
            </w:r>
          </w:p>
        </w:tc>
        <w:tc>
          <w:tcPr>
            <w:tcW w:type="dxa" w:w="6660"/>
            <w:tcMar>
              <w:top w:w="80" w:type="dxa"/>
              <w:bottom w:w="80" w:type="dxa"/>
              <w:start w:w="120" w:type="dxa"/>
              <w:end w:w="120" w:type="dxa"/>
            </w:tcMar>
            <w:vAlign w:val="center"/>
          </w:tcPr>
          <w:p>
            <w:r>
              <w:t>Hardware-independent core reference 1.5.4 plus Parivar Sathi PWA/RoutineConfig v3.3.2 is host-validated for the current patch scope: 86 C++ checks, 24 Python tests, 11 JavaScript tests, 5/5 dummy streams, 85/85 connected functional scenarios, 16/16 HTTP integration tests, 6 PWA bridge tests and full-current-catalog PWA API/frontend validation PASS. ASan/UBSan C++ passes 86 checks; trace-enabled C++ passes 86 checks. Final browser Playwright validation is a mandatory release gate when available; physical GPIO/RF/power/flash/OTA/provider/installed-home gates remain unverified.</w:t>
            </w:r>
          </w:p>
        </w:tc>
      </w:tr>
    </w:tbl>
    <w:p>
      <w:pPr>
        <w:pStyle w:val="TableSpacer"/>
      </w:pPr>
    </w:p>
    <w:p>
      <w:pPr>
        <w:pStyle w:val="SpecBody"/>
      </w:pPr>
      <w:r>
        <w:t>Critical product boundary: activity observed ≠ resident identified ≠ self-reported check-in ≠ medical safety. Remote contact depends on power, connectivity, notification permissions and a willing human responder. The product is not an emergency-response or medical-monitoring substitute.</w:t>
      </w:r>
    </w:p>
    <w:p>
      <w:bookmarkStart w:id="1" w:name="scope"/>
      <w:pPr>
        <w:pStyle w:val="Heading1"/>
        <w:pageBreakBefore/>
      </w:pPr>
      <w:r>
        <w:rPr>
          <w:color w:val="000000"/>
        </w:rPr>
        <w:t>1. Reading map, scope and decisions</w:t>
      </w:r>
      <w:bookmarkEnd w:id="1"/>
    </w:p>
    <w:p>
      <w:pPr>
        <w:pStyle w:val="Contents"/>
      </w:pPr>
      <w:hyperlink w:anchor="scope">
        <w:r>
          <w:rPr>
            <w:color w:val="2E74B5"/>
          </w:rPr>
          <w:t>1. Scope, assumptions and morning routines</w:t>
        </w:r>
      </w:hyperlink>
    </w:p>
    <w:p>
      <w:pPr>
        <w:pStyle w:val="Contents"/>
      </w:pPr>
      <w:hyperlink w:anchor="catalog">
        <w:r>
          <w:rPr>
            <w:color w:val="2E74B5"/>
          </w:rPr>
          <w:t>2. Complete P0 catalogue</w:t>
        </w:r>
      </w:hyperlink>
    </w:p>
    <w:p>
      <w:pPr>
        <w:pStyle w:val="Contents"/>
      </w:pPr>
      <w:hyperlink w:anchor="architecture">
        <w:r>
          <w:rPr>
            <w:color w:val="2E74B5"/>
          </w:rPr>
          <w:t>3. Architecture, ownership and module model</w:t>
        </w:r>
      </w:hyperlink>
    </w:p>
    <w:p>
      <w:pPr>
        <w:pStyle w:val="Contents"/>
      </w:pPr>
      <w:hyperlink w:anchor="hardware">
        <w:r>
          <w:rPr>
            <w:color w:val="2E74B5"/>
          </w:rPr>
          <w:t>4. Hardware, GPIO contracts and battery design</w:t>
        </w:r>
      </w:hyperlink>
    </w:p>
    <w:p>
      <w:pPr>
        <w:pStyle w:val="Contents"/>
      </w:pPr>
      <w:hyperlink w:anchor="communications">
        <w:r>
          <w:rPr>
            <w:color w:val="2E74B5"/>
          </w:rPr>
          <w:t>5. Communication contracts and scenarios</w:t>
        </w:r>
      </w:hyperlink>
    </w:p>
    <w:p>
      <w:pPr>
        <w:pStyle w:val="Contents"/>
      </w:pPr>
      <w:hyperlink w:anchor="state">
        <w:r>
          <w:rPr>
            <w:color w:val="2E74B5"/>
          </w:rPr>
          <w:t>6. State, time and persistence design</w:t>
        </w:r>
      </w:hyperlink>
    </w:p>
    <w:p>
      <w:pPr>
        <w:pStyle w:val="Contents"/>
      </w:pPr>
      <w:hyperlink w:anchor="data">
        <w:r>
          <w:rPr>
            <w:color w:val="2E74B5"/>
          </w:rPr>
          <w:t>7. Data model, APIs and security</w:t>
        </w:r>
      </w:hyperlink>
    </w:p>
    <w:p>
      <w:pPr>
        <w:pStyle w:val="Contents"/>
      </w:pPr>
      <w:hyperlink w:anchor="F01">
        <w:r>
          <w:rPr>
            <w:color w:val="2E74B5"/>
          </w:rPr>
          <w:t>8. Detailed designs — F01 to F14</w:t>
        </w:r>
      </w:hyperlink>
    </w:p>
    <w:p>
      <w:pPr>
        <w:pStyle w:val="Contents"/>
      </w:pPr>
      <w:hyperlink w:anchor="E01">
        <w:r>
          <w:rPr>
            <w:color w:val="2E74B5"/>
          </w:rPr>
          <w:t>9. Detailed designs — E01 to E10</w:t>
        </w:r>
      </w:hyperlink>
    </w:p>
    <w:p>
      <w:pPr>
        <w:pStyle w:val="Contents"/>
      </w:pPr>
      <w:hyperlink w:anchor="verification">
        <w:r>
          <w:rPr>
            <w:color w:val="2E74B5"/>
          </w:rPr>
          <w:t>10. Verification and release exit criteria</w:t>
        </w:r>
      </w:hyperlink>
    </w:p>
    <w:p>
      <w:pPr>
        <w:pStyle w:val="Contents"/>
      </w:pPr>
      <w:hyperlink w:anchor="scale">
        <w:r>
          <w:rPr>
            <w:color w:val="2E74B5"/>
          </w:rPr>
          <w:t>11. Scalability, deployment and operations</w:t>
        </w:r>
      </w:hyperlink>
    </w:p>
    <w:p>
      <w:pPr>
        <w:pStyle w:val="Contents"/>
      </w:pPr>
      <w:hyperlink w:anchor="roadmap">
        <w:r>
          <w:rPr>
            <w:color w:val="2E74B5"/>
          </w:rPr>
          <w:t>12. Delivery plan, costs and enhancement scope</w:t>
        </w:r>
      </w:hyperlink>
    </w:p>
    <w:p>
      <w:pPr>
        <w:pStyle w:val="Contents"/>
      </w:pPr>
      <w:r>
        <w:t>Appendix A. Implemented module/file manifest</w:t>
      </w:r>
    </w:p>
    <w:p>
      <w:pPr>
        <w:pStyle w:val="Contents"/>
      </w:pPr>
      <w:r>
        <w:t>Appendix B. Decisions, glossary and sources • Appendix C. v1.2 implementation handoff</w:t>
      </w:r>
    </w:p>
    <w:p>
      <w:pPr>
        <w:pStyle w:val="Heading2"/>
      </w:pPr>
      <w:r>
        <w:rPr>
          <w:color w:val="000000"/>
        </w:rPr>
        <w:t>Authority and interpretation</w:t>
      </w:r>
    </w:p>
    <w:p>
      <w:pPr/>
      <w:r>
        <w:t>“Shall” denotes a proposed P0 acceptance requirement. “Default” is a configurable starting value. “Target” requires measurement. “Future” is excluded from the P0 estimate. This document supersedes ambiguous P0 details in the earlier conversation and complements the startup blueprint’s market analysis. Appendix A now maps the 32 logical modules to the delivered hardware-independent reference implementation. Physical-device, provider and production-deployment gates remain explicitly unverified.</w:t>
      </w:r>
    </w:p>
    <w:p>
      <w:pPr>
        <w:pStyle w:val="Heading1"/>
      </w:pPr>
      <w:r>
        <w:rPr>
          <w:color w:val="000000"/>
        </w:rPr>
        <w:t>Revision 1.2 — hardware-independent implementation record</w:t>
      </w:r>
    </w:p>
    <w:p>
      <w:pPr>
        <w:spacing w:after="60" w:line="259" w:lineRule="auto"/>
      </w:pPr>
      <w:r>
        <w:t>Authority: v1.2 preserves all 24 requirement IDs, their acceptance intent and the 32-module architecture. It supersedes v1.1 only for implementation status and actual source paths. The accompanying v1.0 reference package is a host-tested baseline, not released firmware or a production cloud service.</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700"/>
        <w:gridCol w:w="6660"/>
      </w:tblGrid>
      <w:tr>
        <w:trPr>
          <w:cantSplit/>
          <w:tblHeader w:val="true"/>
        </w:trPr>
        <w:tc>
          <w:tcPr>
            <w:tcW w:type="dxa" w:w="2700"/>
            <w:vAlign w:val="center"/>
            <w:shd w:fill="E8EEF5"/>
          </w:tcPr>
          <w:p>
            <w:pPr>
              <w:spacing w:before="0" w:after="60" w:line="240" w:lineRule="auto"/>
            </w:pPr>
            <w:r>
              <w:rPr>
                <w:rFonts w:ascii="Calibri" w:hAnsi="Calibri"/>
                <w:b/>
                <w:color w:val="1F4D78"/>
                <w:sz w:val="18"/>
              </w:rPr>
              <w:t>Approved change</w:t>
            </w:r>
          </w:p>
        </w:tc>
        <w:tc>
          <w:tcPr>
            <w:tcW w:type="dxa" w:w="6660"/>
            <w:vAlign w:val="center"/>
            <w:shd w:fill="E8EEF5"/>
          </w:tcPr>
          <w:p>
            <w:r>
              <w:t>Current decision</w:t>
            </w:r>
          </w:p>
        </w:tc>
      </w:tr>
      <w:tr>
        <w:trPr>
          <w:cantSplit/>
        </w:trPr>
        <w:tc>
          <w:tcPr>
            <w:tcW w:type="dxa" w:w="2700"/>
            <w:vAlign w:val="center"/>
          </w:tcPr>
          <w:p>
            <w:pPr>
              <w:spacing w:before="0" w:after="60" w:line="240" w:lineRule="auto"/>
            </w:pPr>
            <w:r>
              <w:rPr>
                <w:rFonts w:ascii="Calibri" w:hAnsi="Calibri"/>
                <w:sz w:val="18"/>
              </w:rPr>
              <w:t>Product name</w:t>
            </w:r>
          </w:p>
        </w:tc>
        <w:tc>
          <w:tcPr>
            <w:tcW w:type="dxa" w:w="6660"/>
            <w:vAlign w:val="center"/>
          </w:tcPr>
          <w:p>
            <w:pPr>
              <w:spacing w:before="0" w:after="60" w:line="240" w:lineRule="auto"/>
            </w:pPr>
            <w:r>
              <w:rPr>
                <w:rFonts w:ascii="Calibri" w:hAnsi="Calibri"/>
                <w:sz w:val="18"/>
              </w:rPr>
              <w:t>Use Ghar Sajag. “Family Check-in &amp; Home Risk” remains the engineering problem-domain subtitle.</w:t>
            </w:r>
          </w:p>
        </w:tc>
      </w:tr>
      <w:tr>
        <w:trPr>
          <w:cantSplit/>
        </w:trPr>
        <w:tc>
          <w:tcPr>
            <w:tcW w:type="dxa" w:w="2700"/>
            <w:vAlign w:val="center"/>
          </w:tcPr>
          <w:p>
            <w:pPr>
              <w:spacing w:before="0" w:after="60" w:line="240" w:lineRule="auto"/>
            </w:pPr>
            <w:r>
              <w:rPr>
                <w:rFonts w:ascii="Calibri" w:hAnsi="Calibri"/>
                <w:sz w:val="18"/>
              </w:rPr>
              <w:t>Household model</w:t>
            </w:r>
          </w:p>
        </w:tc>
        <w:tc>
          <w:tcPr>
            <w:tcW w:type="dxa" w:w="6660"/>
            <w:vAlign w:val="center"/>
          </w:tcPr>
          <w:p>
            <w:pPr>
              <w:spacing w:before="0" w:after="60" w:line="240" w:lineRule="auto"/>
            </w:pPr>
            <w:r>
              <w:rPr>
                <w:rFonts w:ascii="Calibri" w:hAnsi="Calibri"/>
                <w:sz w:val="18"/>
              </w:rPr>
              <w:t>Support one or two consenting older residents. PIR/reed data remains household/location evidence; no passive person identification.</w:t>
            </w:r>
          </w:p>
        </w:tc>
      </w:tr>
      <w:tr>
        <w:trPr>
          <w:cantSplit/>
        </w:trPr>
        <w:tc>
          <w:tcPr>
            <w:tcW w:type="dxa" w:w="2700"/>
            <w:vAlign w:val="center"/>
          </w:tcPr>
          <w:p>
            <w:pPr>
              <w:spacing w:before="0" w:after="60" w:line="240" w:lineRule="auto"/>
            </w:pPr>
            <w:r>
              <w:rPr>
                <w:rFonts w:ascii="Calibri" w:hAnsi="Calibri"/>
                <w:sz w:val="18"/>
              </w:rPr>
              <w:t>Prototype hardware</w:t>
            </w:r>
          </w:p>
        </w:tc>
        <w:tc>
          <w:tcPr>
            <w:tcW w:type="dxa" w:w="6660"/>
            <w:vAlign w:val="center"/>
          </w:tcPr>
          <w:p>
            <w:pPr>
              <w:spacing w:before="0" w:after="60" w:line="240" w:lineRule="auto"/>
            </w:pPr>
            <w:r>
              <w:rPr>
                <w:rFonts w:ascii="Calibri" w:hAnsi="Calibri"/>
                <w:sz w:val="18"/>
              </w:rPr>
              <w:t>One ESP32 DevKit V1 hub and four ESP32-C3 nodes. Node roles are capability-configured and accepted only after in-home placement tests.</w:t>
            </w:r>
          </w:p>
        </w:tc>
      </w:tr>
      <w:tr>
        <w:trPr>
          <w:cantSplit/>
        </w:trPr>
        <w:tc>
          <w:tcPr>
            <w:tcW w:type="dxa" w:w="2700"/>
            <w:vAlign w:val="center"/>
          </w:tcPr>
          <w:p>
            <w:pPr>
              <w:spacing w:before="0" w:after="60" w:line="240" w:lineRule="auto"/>
            </w:pPr>
            <w:r>
              <w:rPr>
                <w:rFonts w:ascii="Calibri" w:hAnsi="Calibri"/>
                <w:sz w:val="18"/>
              </w:rPr>
              <w:t>Test alert</w:t>
            </w:r>
          </w:p>
        </w:tc>
        <w:tc>
          <w:tcPr>
            <w:tcW w:type="dxa" w:w="6660"/>
            <w:vAlign w:val="center"/>
          </w:tcPr>
          <w:p>
            <w:pPr>
              <w:spacing w:before="0" w:after="60" w:line="240" w:lineRule="auto"/>
            </w:pPr>
            <w:r>
              <w:rPr>
                <w:rFonts w:ascii="Calibri" w:hAnsi="Calibri"/>
                <w:sz w:val="18"/>
              </w:rPr>
              <w:t>A repeatable, clearly labeled end-to-end drill is P0. It validates sensor path, push delivery and human acknowledgement without creating a real incident.</w:t>
            </w:r>
          </w:p>
        </w:tc>
      </w:tr>
      <w:tr>
        <w:trPr>
          <w:cantSplit/>
        </w:trPr>
        <w:tc>
          <w:tcPr>
            <w:tcW w:type="dxa" w:w="2700"/>
            <w:vAlign w:val="center"/>
          </w:tcPr>
          <w:p>
            <w:pPr>
              <w:spacing w:before="0" w:after="60" w:line="240" w:lineRule="auto"/>
            </w:pPr>
            <w:r>
              <w:rPr>
                <w:rFonts w:ascii="Calibri" w:hAnsi="Calibri"/>
                <w:sz w:val="18"/>
              </w:rPr>
              <w:t>Caregiver workflow</w:t>
            </w:r>
          </w:p>
        </w:tc>
        <w:tc>
          <w:tcPr>
            <w:tcW w:type="dxa" w:w="6660"/>
            <w:vAlign w:val="center"/>
          </w:tcPr>
          <w:p>
            <w:pPr>
              <w:spacing w:before="0" w:after="60" w:line="240" w:lineRule="auto"/>
            </w:pPr>
            <w:r>
              <w:rPr>
                <w:rFonts w:ascii="Calibri" w:hAnsi="Calibri"/>
                <w:sz w:val="18"/>
              </w:rPr>
              <w:t>Primary plus backup remains P0. Add explicit Ask backup caregiver handoff; it never means Contacted or Resolved.</w:t>
            </w:r>
          </w:p>
        </w:tc>
      </w:tr>
      <w:tr>
        <w:trPr>
          <w:cantSplit/>
        </w:trPr>
        <w:tc>
          <w:tcPr>
            <w:tcW w:type="dxa" w:w="2700"/>
            <w:vAlign w:val="center"/>
          </w:tcPr>
          <w:p>
            <w:pPr>
              <w:spacing w:before="0" w:after="60" w:line="240" w:lineRule="auto"/>
            </w:pPr>
            <w:r>
              <w:rPr>
                <w:rFonts w:ascii="Calibri" w:hAnsi="Calibri"/>
                <w:sz w:val="18"/>
              </w:rPr>
              <w:t>Health visibility</w:t>
            </w:r>
          </w:p>
        </w:tc>
        <w:tc>
          <w:tcPr>
            <w:tcW w:type="dxa" w:w="6660"/>
            <w:vAlign w:val="center"/>
          </w:tcPr>
          <w:p>
            <w:pPr>
              <w:spacing w:before="0" w:after="60" w:line="240" w:lineRule="auto"/>
            </w:pPr>
            <w:r>
              <w:rPr>
                <w:rFonts w:ascii="Calibri" w:hAnsi="Calibri"/>
                <w:sz w:val="18"/>
              </w:rPr>
              <w:t>Expose every node/source, battery/last seen, hub availability and internet path separately from activity evidence.</w:t>
            </w:r>
          </w:p>
        </w:tc>
      </w:tr>
      <w:tr>
        <w:trPr>
          <w:cantSplit/>
        </w:trPr>
        <w:tc>
          <w:tcPr>
            <w:tcW w:type="dxa" w:w="2700"/>
            <w:vAlign w:val="center"/>
          </w:tcPr>
          <w:p>
            <w:pPr>
              <w:spacing w:before="0" w:after="60" w:line="240" w:lineRule="auto"/>
            </w:pPr>
            <w:r>
              <w:rPr>
                <w:rFonts w:ascii="Calibri" w:hAnsi="Calibri"/>
                <w:sz w:val="18"/>
              </w:rPr>
              <w:t>Offline behavior</w:t>
            </w:r>
          </w:p>
        </w:tc>
        <w:tc>
          <w:tcPr>
            <w:tcW w:type="dxa" w:w="6660"/>
            <w:vAlign w:val="center"/>
          </w:tcPr>
          <w:p>
            <w:pPr>
              <w:spacing w:before="0" w:after="60" w:line="240" w:lineRule="auto"/>
            </w:pPr>
            <w:r>
              <w:rPr>
                <w:rFonts w:ascii="Calibri" w:hAnsi="Calibri"/>
                <w:sz w:val="18"/>
              </w:rPr>
              <w:t>Continue local rules while valid; queue and backfill events with original timestamps. Connectivity loss produces Home status unavailable, not a confident inactivity claim.</w:t>
            </w:r>
          </w:p>
        </w:tc>
      </w:tr>
      <w:tr>
        <w:trPr>
          <w:cantSplit/>
        </w:trPr>
        <w:tc>
          <w:tcPr>
            <w:tcW w:type="dxa" w:w="2700"/>
            <w:vAlign w:val="center"/>
          </w:tcPr>
          <w:p>
            <w:pPr>
              <w:spacing w:before="0" w:after="60" w:line="240" w:lineRule="auto"/>
            </w:pPr>
            <w:r>
              <w:rPr>
                <w:rFonts w:ascii="Calibri" w:hAnsi="Calibri"/>
                <w:sz w:val="18"/>
              </w:rPr>
              <w:t>Claims boundary</w:t>
            </w:r>
          </w:p>
        </w:tc>
        <w:tc>
          <w:tcPr>
            <w:tcW w:type="dxa" w:w="6660"/>
            <w:vAlign w:val="center"/>
          </w:tcPr>
          <w:p>
            <w:pPr>
              <w:spacing w:before="0" w:after="60" w:line="240" w:lineRule="auto"/>
            </w:pPr>
            <w:r>
              <w:rPr>
                <w:rFonts w:ascii="Calibri" w:hAnsi="Calibri"/>
                <w:sz w:val="18"/>
              </w:rPr>
              <w:t>No fall detection, medical monitoring, meal/medicine confirmation, emergency dispatch, camera, microphone or opaque AI risk score in P0.</w:t>
            </w:r>
          </w:p>
        </w:tc>
      </w:tr>
    </w:tbl>
    <w:p>
      <w:pPr>
        <w:pStyle w:val="Heading2"/>
      </w:pPr>
      <w:r>
        <w:rPr>
          <w:color w:val="000000"/>
        </w:rPr>
        <w:t>Canonical user-facing status contract</w:t>
      </w:r>
    </w:p>
    <w:p>
      <w:pPr>
        <w:spacing w:after="60" w:line="259" w:lineRule="auto"/>
      </w:pPr>
      <w:r>
        <w:rPr>
          <w:sz w:val="21"/>
        </w:rPr>
        <w:t>The app, notifications, reports and support tools shall use these meanings consistently. No state may be summarized as “safe”, “fine” or “emergency” without independently established evidence and an approved service contract.</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050"/>
        <w:gridCol w:w="3630"/>
        <w:gridCol w:w="3680"/>
      </w:tblGrid>
      <w:tr>
        <w:trPr>
          <w:cantSplit/>
          <w:tblHeader w:val="true"/>
        </w:trPr>
        <w:tc>
          <w:tcPr>
            <w:tcW w:type="dxa" w:w="2050"/>
            <w:vAlign w:val="center"/>
            <w:shd w:fill="E8EEF5"/>
          </w:tcPr>
          <w:p>
            <w:pPr>
              <w:spacing w:before="0" w:after="60" w:line="240" w:lineRule="auto"/>
            </w:pPr>
            <w:r>
              <w:rPr>
                <w:rFonts w:ascii="Calibri" w:hAnsi="Calibri"/>
                <w:b/>
                <w:color w:val="1F4D78"/>
                <w:sz w:val="18"/>
              </w:rPr>
              <w:t>Status</w:t>
            </w:r>
          </w:p>
        </w:tc>
        <w:tc>
          <w:tcPr>
            <w:tcW w:type="dxa" w:w="3630"/>
            <w:vAlign w:val="center"/>
            <w:shd w:fill="E8EEF5"/>
          </w:tcPr>
          <w:p>
            <w:pPr>
              <w:spacing w:before="0" w:after="60" w:line="240" w:lineRule="auto"/>
            </w:pPr>
            <w:r>
              <w:rPr>
                <w:rFonts w:ascii="Calibri" w:hAnsi="Calibri"/>
                <w:b/>
                <w:color w:val="1F4D78"/>
                <w:sz w:val="18"/>
              </w:rPr>
              <w:t>Exact meaning</w:t>
            </w:r>
          </w:p>
        </w:tc>
        <w:tc>
          <w:tcPr>
            <w:tcW w:type="dxa" w:w="3680"/>
            <w:vAlign w:val="center"/>
            <w:shd w:fill="E8EEF5"/>
          </w:tcPr>
          <w:p>
            <w:pPr>
              <w:spacing w:before="0" w:after="60" w:line="240" w:lineRule="auto"/>
            </w:pPr>
            <w:r>
              <w:rPr>
                <w:rFonts w:ascii="Calibri" w:hAnsi="Calibri"/>
                <w:b/>
                <w:color w:val="1F4D78"/>
                <w:sz w:val="18"/>
              </w:rPr>
              <w:t>Required behavior</w:t>
            </w:r>
          </w:p>
        </w:tc>
      </w:tr>
      <w:tr>
        <w:trPr>
          <w:cantSplit/>
        </w:trPr>
        <w:tc>
          <w:tcPr>
            <w:tcW w:type="dxa" w:w="2050"/>
            <w:vAlign w:val="center"/>
          </w:tcPr>
          <w:p>
            <w:pPr>
              <w:spacing w:before="0" w:after="60" w:line="240" w:lineRule="auto"/>
            </w:pPr>
            <w:r>
              <w:rPr>
                <w:rFonts w:ascii="Calibri" w:hAnsi="Calibri"/>
                <w:sz w:val="18"/>
              </w:rPr>
              <w:t>Activity observed</w:t>
            </w:r>
          </w:p>
        </w:tc>
        <w:tc>
          <w:tcPr>
            <w:tcW w:type="dxa" w:w="3630"/>
            <w:vAlign w:val="center"/>
          </w:tcPr>
          <w:p>
            <w:pPr>
              <w:spacing w:before="0" w:after="60" w:line="240" w:lineRule="auto"/>
            </w:pPr>
            <w:r>
              <w:rPr>
                <w:rFonts w:ascii="Calibri" w:hAnsi="Calibri"/>
                <w:sz w:val="18"/>
              </w:rPr>
              <w:t>A configured sensor produced valid location/time evidence.</w:t>
            </w:r>
          </w:p>
        </w:tc>
        <w:tc>
          <w:tcPr>
            <w:tcW w:type="dxa" w:w="3680"/>
            <w:vAlign w:val="center"/>
          </w:tcPr>
          <w:p>
            <w:pPr>
              <w:spacing w:before="0" w:after="60" w:line="240" w:lineRule="auto"/>
            </w:pPr>
            <w:r>
              <w:rPr>
                <w:rFonts w:ascii="Calibri" w:hAnsi="Calibri"/>
                <w:sz w:val="18"/>
              </w:rPr>
              <w:t>Show source, time and coverage. Do not identify a person or infer wellness.</w:t>
            </w:r>
          </w:p>
        </w:tc>
      </w:tr>
      <w:tr>
        <w:trPr>
          <w:cantSplit/>
        </w:trPr>
        <w:tc>
          <w:tcPr>
            <w:tcW w:type="dxa" w:w="2050"/>
            <w:vAlign w:val="center"/>
          </w:tcPr>
          <w:p>
            <w:pPr>
              <w:spacing w:before="0" w:after="60" w:line="240" w:lineRule="auto"/>
            </w:pPr>
            <w:r>
              <w:rPr>
                <w:rFonts w:ascii="Calibri" w:hAnsi="Calibri"/>
                <w:sz w:val="18"/>
              </w:rPr>
              <w:t>Expected activity not observed</w:t>
            </w:r>
          </w:p>
        </w:tc>
        <w:tc>
          <w:tcPr>
            <w:tcW w:type="dxa" w:w="3630"/>
            <w:vAlign w:val="center"/>
          </w:tcPr>
          <w:p>
            <w:pPr>
              <w:spacing w:before="0" w:after="60" w:line="240" w:lineRule="auto"/>
            </w:pPr>
            <w:r>
              <w:rPr>
                <w:rFonts w:ascii="Calibri" w:hAnsi="Calibri"/>
                <w:sz w:val="18"/>
              </w:rPr>
              <w:t>The routine deadline passed with eligible observation coverage and no qualifying evidence.</w:t>
            </w:r>
          </w:p>
        </w:tc>
        <w:tc>
          <w:tcPr>
            <w:tcW w:type="dxa" w:w="3680"/>
            <w:vAlign w:val="center"/>
          </w:tcPr>
          <w:p>
            <w:pPr>
              <w:spacing w:before="0" w:after="60" w:line="240" w:lineRule="auto"/>
            </w:pPr>
            <w:r>
              <w:rPr>
                <w:rFonts w:ascii="Calibri" w:hAnsi="Calibri"/>
                <w:sz w:val="18"/>
              </w:rPr>
              <w:t>Open the check-in workflow; state the configured expectation and evidence window.</w:t>
            </w:r>
          </w:p>
        </w:tc>
      </w:tr>
      <w:tr>
        <w:trPr>
          <w:cantSplit/>
        </w:trPr>
        <w:tc>
          <w:tcPr>
            <w:tcW w:type="dxa" w:w="2050"/>
            <w:vAlign w:val="center"/>
          </w:tcPr>
          <w:p>
            <w:pPr>
              <w:spacing w:before="0" w:after="60" w:line="240" w:lineRule="auto"/>
            </w:pPr>
            <w:r>
              <w:rPr>
                <w:rFonts w:ascii="Calibri" w:hAnsi="Calibri"/>
                <w:sz w:val="18"/>
              </w:rPr>
              <w:t>Home status unavailable</w:t>
            </w:r>
          </w:p>
        </w:tc>
        <w:tc>
          <w:tcPr>
            <w:tcW w:type="dxa" w:w="3630"/>
            <w:vAlign w:val="center"/>
          </w:tcPr>
          <w:p>
            <w:pPr>
              <w:spacing w:before="0" w:after="60" w:line="240" w:lineRule="auto"/>
            </w:pPr>
            <w:r>
              <w:rPr>
                <w:rFonts w:ascii="Calibri" w:hAnsi="Calibri"/>
                <w:sz w:val="18"/>
              </w:rPr>
              <w:t>Required sensor, hub, time or connectivity coverage is missing or stale.</w:t>
            </w:r>
          </w:p>
        </w:tc>
        <w:tc>
          <w:tcPr>
            <w:tcW w:type="dxa" w:w="3680"/>
            <w:vAlign w:val="center"/>
          </w:tcPr>
          <w:p>
            <w:pPr>
              <w:spacing w:before="0" w:after="60" w:line="240" w:lineRule="auto"/>
            </w:pPr>
            <w:r>
              <w:rPr>
                <w:rFonts w:ascii="Calibri" w:hAnsi="Calibri"/>
                <w:sz w:val="18"/>
              </w:rPr>
              <w:t>Name the failing path and last-seen time. Do not present this as inactivity.</w:t>
            </w:r>
          </w:p>
        </w:tc>
      </w:tr>
      <w:tr>
        <w:trPr>
          <w:cantSplit/>
        </w:trPr>
        <w:tc>
          <w:tcPr>
            <w:tcW w:type="dxa" w:w="2050"/>
            <w:vAlign w:val="center"/>
          </w:tcPr>
          <w:p>
            <w:pPr>
              <w:spacing w:before="0" w:after="60" w:line="240" w:lineRule="auto"/>
            </w:pPr>
            <w:r>
              <w:rPr>
                <w:rFonts w:ascii="Calibri" w:hAnsi="Calibri"/>
                <w:sz w:val="18"/>
              </w:rPr>
              <w:t>Resident pressed I’m OK</w:t>
            </w:r>
          </w:p>
        </w:tc>
        <w:tc>
          <w:tcPr>
            <w:tcW w:type="dxa" w:w="3630"/>
            <w:vAlign w:val="center"/>
          </w:tcPr>
          <w:p>
            <w:pPr>
              <w:spacing w:before="0" w:after="60" w:line="240" w:lineRule="auto"/>
            </w:pPr>
            <w:r>
              <w:rPr>
                <w:rFonts w:ascii="Calibri" w:hAnsi="Calibri"/>
                <w:sz w:val="18"/>
              </w:rPr>
              <w:t>A mapped resident control produced an explicit self-check-in event.</w:t>
            </w:r>
          </w:p>
        </w:tc>
        <w:tc>
          <w:tcPr>
            <w:tcW w:type="dxa" w:w="3680"/>
            <w:vAlign w:val="center"/>
          </w:tcPr>
          <w:p>
            <w:pPr>
              <w:spacing w:before="0" w:after="60" w:line="240" w:lineRule="auto"/>
            </w:pPr>
            <w:r>
              <w:rPr>
                <w:rFonts w:ascii="Calibri" w:hAnsi="Calibri"/>
                <w:sz w:val="18"/>
              </w:rPr>
              <w:t>Show as self-reported and separate from passive motion evidence.</w:t>
            </w:r>
          </w:p>
        </w:tc>
      </w:tr>
      <w:tr>
        <w:trPr>
          <w:cantSplit/>
        </w:trPr>
        <w:tc>
          <w:tcPr>
            <w:tcW w:type="dxa" w:w="2050"/>
            <w:vAlign w:val="center"/>
          </w:tcPr>
          <w:p>
            <w:pPr>
              <w:spacing w:before="0" w:after="60" w:line="240" w:lineRule="auto"/>
            </w:pPr>
            <w:r>
              <w:rPr>
                <w:rFonts w:ascii="Calibri" w:hAnsi="Calibri"/>
                <w:sz w:val="18"/>
              </w:rPr>
              <w:t>Resident requested a call</w:t>
            </w:r>
          </w:p>
        </w:tc>
        <w:tc>
          <w:tcPr>
            <w:tcW w:type="dxa" w:w="3630"/>
            <w:vAlign w:val="center"/>
          </w:tcPr>
          <w:p>
            <w:pPr>
              <w:spacing w:before="0" w:after="60" w:line="240" w:lineRule="auto"/>
            </w:pPr>
            <w:r>
              <w:rPr>
                <w:rFonts w:ascii="Calibri" w:hAnsi="Calibri"/>
                <w:sz w:val="18"/>
              </w:rPr>
              <w:t>The Call family control produced a durable contact request.</w:t>
            </w:r>
          </w:p>
        </w:tc>
        <w:tc>
          <w:tcPr>
            <w:tcW w:type="dxa" w:w="3680"/>
            <w:vAlign w:val="center"/>
          </w:tcPr>
          <w:p>
            <w:pPr>
              <w:spacing w:before="0" w:after="60" w:line="240" w:lineRule="auto"/>
            </w:pPr>
            <w:r>
              <w:rPr>
                <w:rFonts w:ascii="Calibri" w:hAnsi="Calibri"/>
                <w:sz w:val="18"/>
              </w:rPr>
              <w:t>Route immediately to caregivers; later motion cannot resolve it.</w:t>
            </w:r>
          </w:p>
        </w:tc>
      </w:tr>
      <w:tr>
        <w:trPr>
          <w:cantSplit/>
        </w:trPr>
        <w:tc>
          <w:tcPr>
            <w:tcW w:type="dxa" w:w="2050"/>
            <w:vAlign w:val="center"/>
          </w:tcPr>
          <w:p>
            <w:pPr>
              <w:spacing w:before="0" w:after="60" w:line="240" w:lineRule="auto"/>
            </w:pPr>
            <w:r>
              <w:rPr>
                <w:rFonts w:ascii="Calibri" w:hAnsi="Calibri"/>
                <w:sz w:val="18"/>
              </w:rPr>
              <w:t>Caregiver acknowledged</w:t>
            </w:r>
          </w:p>
        </w:tc>
        <w:tc>
          <w:tcPr>
            <w:tcW w:type="dxa" w:w="3630"/>
            <w:vAlign w:val="center"/>
          </w:tcPr>
          <w:p>
            <w:pPr>
              <w:spacing w:before="0" w:after="60" w:line="240" w:lineRule="auto"/>
            </w:pPr>
            <w:r>
              <w:rPr>
                <w:rFonts w:ascii="Calibri" w:hAnsi="Calibri"/>
                <w:sz w:val="18"/>
              </w:rPr>
              <w:t>A named caregiver accepted a temporary response lease.</w:t>
            </w:r>
          </w:p>
        </w:tc>
        <w:tc>
          <w:tcPr>
            <w:tcW w:type="dxa" w:w="3680"/>
            <w:vAlign w:val="center"/>
          </w:tcPr>
          <w:p>
            <w:pPr>
              <w:spacing w:before="0" w:after="60" w:line="240" w:lineRule="auto"/>
            </w:pPr>
            <w:r>
              <w:rPr>
                <w:rFonts w:ascii="Calibri" w:hAnsi="Calibri"/>
                <w:sz w:val="18"/>
              </w:rPr>
              <w:t>Show owner and lease. Do not claim contact occurred.</w:t>
            </w:r>
          </w:p>
        </w:tc>
      </w:tr>
      <w:tr>
        <w:trPr>
          <w:cantSplit/>
        </w:trPr>
        <w:tc>
          <w:tcPr>
            <w:tcW w:type="dxa" w:w="2050"/>
            <w:vAlign w:val="center"/>
          </w:tcPr>
          <w:p>
            <w:pPr>
              <w:spacing w:before="0" w:after="60" w:line="240" w:lineRule="auto"/>
            </w:pPr>
            <w:r>
              <w:rPr>
                <w:rFonts w:ascii="Calibri" w:hAnsi="Calibri"/>
                <w:sz w:val="18"/>
              </w:rPr>
              <w:t>Contacted / Unable to reach</w:t>
            </w:r>
          </w:p>
        </w:tc>
        <w:tc>
          <w:tcPr>
            <w:tcW w:type="dxa" w:w="3630"/>
            <w:vAlign w:val="center"/>
          </w:tcPr>
          <w:p>
            <w:pPr>
              <w:spacing w:before="0" w:after="60" w:line="240" w:lineRule="auto"/>
            </w:pPr>
            <w:r>
              <w:rPr>
                <w:rFonts w:ascii="Calibri" w:hAnsi="Calibri"/>
                <w:sz w:val="18"/>
              </w:rPr>
              <w:t>A caregiver explicitly recorded the human outcome.</w:t>
            </w:r>
          </w:p>
        </w:tc>
        <w:tc>
          <w:tcPr>
            <w:tcW w:type="dxa" w:w="3680"/>
            <w:vAlign w:val="center"/>
          </w:tcPr>
          <w:p>
            <w:pPr>
              <w:spacing w:before="0" w:after="60" w:line="240" w:lineRule="auto"/>
            </w:pPr>
            <w:r>
              <w:rPr>
                <w:rFonts w:ascii="Calibri" w:hAnsi="Calibri"/>
                <w:sz w:val="18"/>
              </w:rPr>
              <w:t>Resolve only Contacted; Unable to reach keeps escalation open.</w:t>
            </w:r>
          </w:p>
        </w:tc>
      </w:tr>
      <w:tr>
        <w:trPr>
          <w:cantSplit/>
        </w:trPr>
        <w:tc>
          <w:tcPr>
            <w:tcW w:type="dxa" w:w="2050"/>
            <w:vAlign w:val="center"/>
          </w:tcPr>
          <w:p>
            <w:pPr>
              <w:spacing w:before="0" w:after="60" w:line="240" w:lineRule="auto"/>
            </w:pPr>
            <w:r>
              <w:rPr>
                <w:rFonts w:ascii="Calibri" w:hAnsi="Calibri"/>
                <w:sz w:val="18"/>
              </w:rPr>
              <w:t>Asked backup caregiver</w:t>
            </w:r>
          </w:p>
        </w:tc>
        <w:tc>
          <w:tcPr>
            <w:tcW w:type="dxa" w:w="3630"/>
            <w:vAlign w:val="center"/>
          </w:tcPr>
          <w:p>
            <w:pPr>
              <w:spacing w:before="0" w:after="60" w:line="240" w:lineRule="auto"/>
            </w:pPr>
            <w:r>
              <w:rPr>
                <w:rFonts w:ascii="Calibri" w:hAnsi="Calibri"/>
                <w:sz w:val="18"/>
              </w:rPr>
              <w:t>The current caregiver intentionally handed the open incident to backup.</w:t>
            </w:r>
          </w:p>
        </w:tc>
        <w:tc>
          <w:tcPr>
            <w:tcW w:type="dxa" w:w="3680"/>
            <w:vAlign w:val="center"/>
          </w:tcPr>
          <w:p>
            <w:pPr>
              <w:spacing w:before="0" w:after="60" w:line="240" w:lineRule="auto"/>
            </w:pPr>
            <w:r>
              <w:rPr>
                <w:rFonts w:ascii="Calibri" w:hAnsi="Calibri"/>
                <w:sz w:val="18"/>
              </w:rPr>
              <w:t>Release primary claim and create one audited backup route immediately.</w:t>
            </w:r>
          </w:p>
        </w:tc>
      </w:tr>
    </w:tbl>
    <w:p>
      <w:pPr>
        <w:pStyle w:val="Heading2"/>
      </w:pPr>
      <w:r>
        <w:rPr>
          <w:color w:val="000000"/>
        </w:rPr>
        <w:t>Competitor-informed boundary and enhancement queue</w:t>
      </w:r>
    </w:p>
    <w:p>
      <w:pPr>
        <w:pStyle w:val="ListBullet"/>
        <w:spacing w:after="40" w:line="259" w:lineRule="auto"/>
      </w:pPr>
      <w:r>
        <w:rPr>
          <w:sz w:val="21"/>
        </w:rPr>
        <w:t>Keep in P0: distributed home sensing, recipient-phone independence, transparent routine rules, family acknowledgement, backup routing, installation drills and per-device health.</w:t>
      </w:r>
    </w:p>
    <w:p>
      <w:pPr>
        <w:pStyle w:val="ListBullet"/>
        <w:spacing w:after="40" w:line="259" w:lineRule="auto"/>
      </w:pPr>
      <w:r>
        <w:rPr>
          <w:sz w:val="21"/>
        </w:rPr>
        <w:t>Move to P1 validation: medicine-box or refrigerator/cabinet opening as activity only; weekly summaries; temperature/humidity context; additional notification channels; optional two-way audio only after consent, privacy, recurring-cost and support design.</w:t>
      </w:r>
    </w:p>
    <w:p>
      <w:pPr>
        <w:pStyle w:val="ListBullet"/>
        <w:spacing w:after="40" w:line="259" w:lineRule="auto"/>
      </w:pPr>
      <w:r>
        <w:rPr>
          <w:sz w:val="21"/>
        </w:rPr>
        <w:t>Keep outside this P0: fall detection, sleep quality, vital signs, automatic emergency dispatch, professional home visits, outdoor cameras, location tracking and AI-generated medical or safety scores.</w:t>
      </w:r>
    </w:p>
    <w:p>
      <w:pPr>
        <w:pStyle w:val="ListBullet"/>
        <w:spacing w:after="40" w:line="259" w:lineRule="auto"/>
      </w:pPr>
      <w:r>
        <w:rPr>
          <w:sz w:val="21"/>
        </w:rPr>
        <w:t>Marketing language must be precise: “no indoor camera” and “no always-on listening” are supportable P0 design statements. Do not use “100% privacy,” “fall detection,” “medicine taken,” “meal completed” or “guaranteed emergency response.”</w:t>
      </w:r>
    </w:p>
    <w:p>
      <w:pPr>
        <w:pStyle w:val="Heading2"/>
      </w:pPr>
      <w:r>
        <w:rPr>
          <w:color w:val="000000"/>
        </w:rPr>
        <w:t>Software impact</w:t>
      </w:r>
    </w:p>
    <w:p>
      <w:pPr>
        <w:pStyle w:val="ListBullet"/>
        <w:spacing w:after="40" w:line="259" w:lineRule="auto"/>
      </w:pPr>
      <w:r>
        <w:rPr>
          <w:sz w:val="21"/>
        </w:rPr>
        <w:t>No new logical module is required. Reuse A01 InstallTest.tsx, A04 Actions.tsx, B04 incident state/service, B05 routing/worker, B08 audit/diagnostics, H04 health and H08 sync.</w:t>
      </w:r>
    </w:p>
    <w:p>
      <w:pPr>
        <w:pStyle w:val="ListBullet"/>
        <w:spacing w:after="40" w:line="259" w:lineRule="auto"/>
      </w:pPr>
      <w:r>
        <w:rPr>
          <w:sz w:val="21"/>
        </w:rPr>
        <w:t>Extend shared contracts with test flag/type/state, node capability profile, canonical home-status enum and HANDOFF_TO_BACKUP action. Regenerate firmware/backend/app types from S01.</w:t>
      </w:r>
    </w:p>
    <w:p>
      <w:pPr>
        <w:pStyle w:val="ListBullet"/>
        <w:spacing w:after="40" w:line="259" w:lineRule="auto"/>
      </w:pPr>
      <w:r>
        <w:rPr>
          <w:sz w:val="21"/>
        </w:rPr>
        <w:t>The backend shall exclude is_test=true records from production incident counts, summaries, response-time metrics and any future external response adapter.</w:t>
      </w:r>
    </w:p>
    <w:p>
      <w:pPr>
        <w:pStyle w:val="ListBullet"/>
        <w:spacing w:after="40" w:line="259" w:lineRule="auto"/>
      </w:pPr>
      <w:r>
        <w:rPr>
          <w:sz w:val="21"/>
        </w:rPr>
        <w:t>The dashboard projection shall calculate activity, observation coverage, hub/cloud reachability and human workflow state independently; UI composition may group them but storage and transitions remain separate.</w:t>
      </w:r>
    </w:p>
    <w:p>
      <w:pPr>
        <w:pStyle w:val="Heading2"/>
      </w:pPr>
      <w:r>
        <w:rPr>
          <w:color w:val="000000"/>
        </w:rPr>
        <w:t>v1.2 release-delta exit criteria</w:t>
      </w:r>
    </w:p>
    <w:p>
      <w:pPr>
        <w:pStyle w:val="ListBullet"/>
        <w:spacing w:after="40" w:line="259" w:lineRule="auto"/>
      </w:pPr>
      <w:r>
        <w:rPr>
          <w:sz w:val="21"/>
        </w:rPr>
        <w:t>All four configured C3 nodes pass identity, capability, radio, input and last-seen tests in the installed home.</w:t>
      </w:r>
    </w:p>
    <w:p>
      <w:pPr>
        <w:pStyle w:val="ListBullet"/>
        <w:spacing w:after="40" w:line="259" w:lineRule="auto"/>
      </w:pPr>
      <w:r>
        <w:rPr>
          <w:sz w:val="21"/>
        </w:rPr>
        <w:t>A real caregiver phone completes a clearly labeled Test alert from creation through human acknowledgement; the drill creates no production escalation or summary event.</w:t>
      </w:r>
    </w:p>
    <w:p>
      <w:pPr>
        <w:pStyle w:val="ListBullet"/>
        <w:spacing w:after="40" w:line="259" w:lineRule="auto"/>
      </w:pPr>
      <w:r>
        <w:rPr>
          <w:sz w:val="21"/>
        </w:rPr>
        <w:t>Ask backup caregiver is idempotent, transactionally hands off ownership and creates exactly one backup notification job.</w:t>
      </w:r>
    </w:p>
    <w:p>
      <w:pPr>
        <w:pStyle w:val="ListBullet"/>
        <w:spacing w:after="40" w:line="259" w:lineRule="auto"/>
      </w:pPr>
      <w:r>
        <w:rPr>
          <w:sz w:val="21"/>
        </w:rPr>
        <w:t>The UI distinguishes the five evidence/availability states above in caregiver comprehension testing; sensor offline is never interpreted as resident inactivity.</w:t>
      </w:r>
    </w:p>
    <w:p>
      <w:pPr>
        <w:pStyle w:val="ListBullet"/>
        <w:spacing w:after="40" w:line="259" w:lineRule="auto"/>
      </w:pPr>
      <w:r>
        <w:rPr>
          <w:sz w:val="21"/>
        </w:rPr>
        <w:t>A 72-hour WAN isolation test preserves local behavior and replays queued events once with original event times and delayed/backfilled labels.</w:t>
      </w:r>
    </w:p>
    <w:p>
      <w:pPr>
        <w:pStyle w:val="ListBullet"/>
        <w:spacing w:after="40" w:line="259" w:lineRule="auto"/>
      </w:pPr>
      <w:r>
        <w:rPr>
          <w:sz w:val="21"/>
        </w:rPr>
        <w:t>One- and two-resident configurations pass permission/consent tests, and passive events never name a resident.</w:t>
      </w:r>
    </w:p>
    <w:p>
      <w:pPr>
        <w:pStyle w:val="Heading2"/>
      </w:pPr>
      <w:r>
        <w:rPr>
          <w:color w:val="000000"/>
        </w:rPr>
        <w:t>Scope assumptions</w:t>
      </w:r>
    </w:p>
    <w:p>
      <w:pPr>
        <w:pStyle w:val="ListBullet"/>
        <w:numPr>
          <w:ilvl w:val="0"/>
          <w:numId w:val="50"/>
        </w:numPr>
      </w:pPr>
      <w:r>
        <w:t>India-first, assisted installation, one ESP32 DevKit V1 hub and four ESP32-C3 sensor nodes per home. Initial cohort: consenting households with one or two older residents in one serviceable city, with a reachable primary and backup caregiver. Motion remains household-level evidence; P0 does not identify which resident moved.</w:t>
      </w:r>
    </w:p>
    <w:p>
      <w:pPr>
        <w:pStyle w:val="ListBullet"/>
        <w:numPr>
          <w:ilvl w:val="0"/>
          <w:numId w:val="50"/>
        </w:numPr>
      </w:pPr>
      <w:r>
        <w:t>One solo engineer working approximately 10–15 focused hours per week; hardware assembly/testing and resident field trials remain real work even with code-generation assistance.</w:t>
      </w:r>
    </w:p>
    <w:p>
      <w:pPr>
        <w:pStyle w:val="ListBullet"/>
        <w:numPr>
          <w:ilvl w:val="0"/>
          <w:numId w:val="50"/>
        </w:numPr>
      </w:pPr>
      <w:r>
        <w:t>The P0 must function without audio. If fixed local prompts are enabled, use prerecorded assets with no speech recognition, microphone or audio upload.</w:t>
      </w:r>
    </w:p>
    <w:p>
      <w:pPr>
        <w:pStyle w:val="ListBullet"/>
        <w:numPr>
          <w:ilvl w:val="0"/>
          <w:numId w:val="50"/>
        </w:numPr>
      </w:pPr>
      <w:r>
        <w:t>No automatic emergency dispatch, fall diagnosis, medication/meal confirmation, identity recognition, door unlocking or gas/water/stove actuation.</w:t>
      </w:r>
    </w:p>
    <w:p>
      <w:pPr>
        <w:pStyle w:val="Heading2"/>
        <w:pageBreakBefore/>
      </w:pPr>
      <w:r>
        <w:rPr>
          <w:color w:val="000000"/>
        </w:rPr>
        <w:t>Morning routine menu and evidence rules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150"/>
        <w:gridCol w:w="3600"/>
        <w:gridCol w:w="3610"/>
      </w:tblGrid>
      <w:tr>
        <w:trPr>
          <w:cantSplit/>
          <w:tblHeader/>
        </w:trPr>
        <w:tc>
          <w:tcPr>
            <w:tcW w:type="dxa" w:w="2150"/>
            <w:tcMar>
              <w:top w:w="80" w:type="dxa"/>
              <w:bottom w:w="80" w:type="dxa"/>
              <w:start w:w="120" w:type="dxa"/>
              <w:end w:w="120" w:type="dxa"/>
            </w:tcMar>
            <w:shd w:fill="E8EEF5"/>
          </w:tcPr>
          <w:p>
            <w:pPr>
              <w:pStyle w:val="TableText"/>
            </w:pPr>
            <w:r>
              <w:rPr>
                <w:b/>
              </w:rPr>
              <w:t>Routine / example</w:t>
            </w:r>
          </w:p>
        </w:tc>
        <w:tc>
          <w:tcPr>
            <w:tcW w:type="dxa" w:w="3600"/>
            <w:tcMar>
              <w:top w:w="80" w:type="dxa"/>
              <w:bottom w:w="80" w:type="dxa"/>
              <w:start w:w="120" w:type="dxa"/>
              <w:end w:w="120" w:type="dxa"/>
            </w:tcMar>
            <w:shd w:fill="E8EEF5"/>
          </w:tcPr>
          <w:p>
            <w:pPr>
              <w:pStyle w:val="TableText"/>
            </w:pPr>
            <w:r>
              <w:rPr>
                <w:b/>
              </w:rPr>
              <w:t>P0 behavior</w:t>
            </w:r>
          </w:p>
        </w:tc>
        <w:tc>
          <w:tcPr>
            <w:tcW w:type="dxa" w:w="3610"/>
            <w:tcMar>
              <w:top w:w="80" w:type="dxa"/>
              <w:bottom w:w="80" w:type="dxa"/>
              <w:start w:w="120" w:type="dxa"/>
              <w:end w:w="120" w:type="dxa"/>
            </w:tcMar>
            <w:shd w:fill="E8EEF5"/>
          </w:tcPr>
          <w:p>
            <w:pPr>
              <w:pStyle w:val="TableText"/>
            </w:pPr>
            <w:r>
              <w:rPr>
                <w:b/>
              </w:rPr>
              <w:t>Interpretation limit</w:t>
            </w:r>
          </w:p>
        </w:tc>
      </w:tr>
      <w:tr>
        <w:trPr>
          <w:cantSplit/>
        </w:trPr>
        <w:tc>
          <w:tcPr>
            <w:tcW w:type="dxa" w:w="2150"/>
            <w:tcMar>
              <w:top w:w="80" w:type="dxa"/>
              <w:bottom w:w="80" w:type="dxa"/>
              <w:start w:w="120" w:type="dxa"/>
              <w:end w:w="120" w:type="dxa"/>
            </w:tcMar>
          </w:tcPr>
          <w:p>
            <w:r>
              <w:t>Morning activity / sequence</w:t>
              <w:br/>
              <w:t>configurable</w:t>
            </w:r>
          </w:p>
        </w:tc>
        <w:tc>
          <w:tcPr>
            <w:tcW w:type="dxa" w:w="3600"/>
            <w:tcMar>
              <w:top w:w="80" w:type="dxa"/>
              <w:bottom w:w="80" w:type="dxa"/>
              <w:start w:w="120" w:type="dxa"/>
              <w:end w:w="120" w:type="dxa"/>
            </w:tcMar>
          </w:tcPr>
          <w:p>
            <w:r>
              <w:t>Ordinary qualifying motion remains activity evidence. If morning sequence is enabled, configured bedroom motion starts the sequence; configured bathroom and kitchen motion after that, in either order and within the configured window, emits MORNING_ROUTINE_COMPLETED.</w:t>
            </w:r>
          </w:p>
        </w:tc>
        <w:tc>
          <w:tcPr>
            <w:tcW w:type="dxa" w:w="3610"/>
            <w:tcMar>
              <w:top w:w="80" w:type="dxa"/>
              <w:bottom w:w="80" w:type="dxa"/>
              <w:start w:w="120" w:type="dxa"/>
              <w:end w:w="120" w:type="dxa"/>
            </w:tcMar>
          </w:tcPr>
          <w:p>
            <w:r>
              <w:t>No resident identity is inferred. Bathroom/kitchen motion before the configured bedroom start does not complete the sequence.</w:t>
            </w:r>
          </w:p>
        </w:tc>
      </w:tr>
      <w:tr>
        <w:trPr>
          <w:cantSplit/>
        </w:trPr>
        <w:tc>
          <w:tcPr>
            <w:tcW w:type="dxa" w:w="2150"/>
            <w:tcMar>
              <w:top w:w="80" w:type="dxa"/>
              <w:bottom w:w="80" w:type="dxa"/>
              <w:start w:w="120" w:type="dxa"/>
              <w:end w:w="120" w:type="dxa"/>
            </w:tcMar>
          </w:tcPr>
          <w:p>
            <w:pPr>
              <w:pStyle w:val="TableText"/>
            </w:pPr>
            <w:r>
              <w:t>Explicit morning check-in</w:t>
            </w:r>
          </w:p>
        </w:tc>
        <w:tc>
          <w:tcPr>
            <w:tcW w:type="dxa" w:w="3600"/>
            <w:tcMar>
              <w:top w:w="80" w:type="dxa"/>
              <w:bottom w:w="80" w:type="dxa"/>
              <w:start w:w="120" w:type="dxa"/>
              <w:end w:w="120" w:type="dxa"/>
            </w:tcMar>
          </w:tcPr>
          <w:p>
            <w:pPr>
              <w:pStyle w:val="TableText"/>
            </w:pPr>
            <w:r>
              <w:t>I’m OK button records a separate self-report; optional local reminder at deadline.</w:t>
            </w:r>
          </w:p>
        </w:tc>
        <w:tc>
          <w:tcPr>
            <w:tcW w:type="dxa" w:w="3610"/>
            <w:tcMar>
              <w:top w:w="80" w:type="dxa"/>
              <w:bottom w:w="80" w:type="dxa"/>
              <w:start w:w="120" w:type="dxa"/>
              <w:end w:w="120" w:type="dxa"/>
            </w:tcMar>
          </w:tcPr>
          <w:p>
            <w:pPr>
              <w:pStyle w:val="TableText"/>
            </w:pPr>
            <w:r>
              <w:t>A button press is not a clinical assessment.</w:t>
            </w:r>
          </w:p>
        </w:tc>
      </w:tr>
      <w:tr>
        <w:trPr>
          <w:cantSplit/>
        </w:trPr>
        <w:tc>
          <w:tcPr>
            <w:tcW w:type="dxa" w:w="2150"/>
            <w:tcMar>
              <w:top w:w="80" w:type="dxa"/>
              <w:bottom w:w="80" w:type="dxa"/>
              <w:start w:w="120" w:type="dxa"/>
              <w:end w:w="120" w:type="dxa"/>
            </w:tcMar>
          </w:tcPr>
          <w:p>
            <w:pPr>
              <w:pStyle w:val="TableText"/>
            </w:pPr>
            <w:r>
              <w:t>No evidence by deadline</w:t>
            </w:r>
          </w:p>
        </w:tc>
        <w:tc>
          <w:tcPr>
            <w:tcW w:type="dxa" w:w="3600"/>
            <w:tcMar>
              <w:top w:w="80" w:type="dxa"/>
              <w:bottom w:w="80" w:type="dxa"/>
              <w:start w:w="120" w:type="dxa"/>
              <w:end w:w="120" w:type="dxa"/>
            </w:tcMar>
          </w:tcPr>
          <w:p>
            <w:pPr>
              <w:pStyle w:val="TableText"/>
            </w:pPr>
            <w:r>
              <w:t>If eligible coverage exists, wait the configured 15-minute grace, then ask family to check in.</w:t>
            </w:r>
          </w:p>
        </w:tc>
        <w:tc>
          <w:tcPr>
            <w:tcW w:type="dxa" w:w="3610"/>
            <w:tcMar>
              <w:top w:w="80" w:type="dxa"/>
              <w:bottom w:w="80" w:type="dxa"/>
              <w:start w:w="120" w:type="dxa"/>
              <w:end w:w="120" w:type="dxa"/>
            </w:tcMar>
          </w:tcPr>
          <w:p>
            <w:pPr>
              <w:pStyle w:val="TableText"/>
            </w:pPr>
            <w:r>
              <w:t>If coverage is incomplete, report unknown observation instead.</w:t>
            </w:r>
          </w:p>
        </w:tc>
      </w:tr>
      <w:tr>
        <w:trPr>
          <w:cantSplit/>
        </w:trPr>
        <w:tc>
          <w:tcPr>
            <w:tcW w:type="dxa" w:w="2150"/>
            <w:tcMar>
              <w:top w:w="80" w:type="dxa"/>
              <w:bottom w:w="80" w:type="dxa"/>
              <w:start w:w="120" w:type="dxa"/>
              <w:end w:w="120" w:type="dxa"/>
            </w:tcMar>
          </w:tcPr>
          <w:p>
            <w:pPr>
              <w:pStyle w:val="TableText"/>
            </w:pPr>
            <w:r>
              <w:t>Kitchen activity</w:t>
            </w:r>
          </w:p>
        </w:tc>
        <w:tc>
          <w:tcPr>
            <w:tcW w:type="dxa" w:w="3600"/>
            <w:tcMar>
              <w:top w:w="80" w:type="dxa"/>
              <w:bottom w:w="80" w:type="dxa"/>
              <w:start w:w="120" w:type="dxa"/>
              <w:end w:w="120" w:type="dxa"/>
            </w:tcMar>
          </w:tcPr>
          <w:p>
            <w:pPr>
              <w:pStyle w:val="TableText"/>
            </w:pPr>
            <w:r>
              <w:t>Include movement in the evidence timeline.</w:t>
            </w:r>
          </w:p>
        </w:tc>
        <w:tc>
          <w:tcPr>
            <w:tcW w:type="dxa" w:w="3610"/>
            <w:tcMar>
              <w:top w:w="80" w:type="dxa"/>
              <w:bottom w:w="80" w:type="dxa"/>
              <w:start w:w="120" w:type="dxa"/>
              <w:end w:w="120" w:type="dxa"/>
            </w:tcMar>
          </w:tcPr>
          <w:p>
            <w:pPr>
              <w:pStyle w:val="TableText"/>
            </w:pPr>
            <w:r>
              <w:t>Does not prove breakfast, water or medication intake.</w:t>
            </w:r>
          </w:p>
        </w:tc>
      </w:tr>
      <w:tr>
        <w:trPr>
          <w:cantSplit/>
        </w:trPr>
        <w:tc>
          <w:tcPr>
            <w:tcW w:type="dxa" w:w="2150"/>
            <w:tcMar>
              <w:top w:w="80" w:type="dxa"/>
              <w:bottom w:w="80" w:type="dxa"/>
              <w:start w:w="120" w:type="dxa"/>
              <w:end w:w="120" w:type="dxa"/>
            </w:tcMar>
          </w:tcPr>
          <w:p>
            <w:pPr>
              <w:pStyle w:val="TableText"/>
            </w:pPr>
            <w:r>
              <w:t>Main-door quiet hours</w:t>
            </w:r>
          </w:p>
        </w:tc>
        <w:tc>
          <w:tcPr>
            <w:tcW w:type="dxa" w:w="3600"/>
            <w:tcMar>
              <w:top w:w="80" w:type="dxa"/>
              <w:bottom w:w="80" w:type="dxa"/>
              <w:start w:w="120" w:type="dxa"/>
              <w:end w:w="120" w:type="dxa"/>
            </w:tcMar>
          </w:tcPr>
          <w:p>
            <w:r>
              <w:t>Configurable quiet-hours classification; door-left-open concern at the applied timeout; optional post-door-close inactivity concern when no indoor motion occurs before its applied threshold.</w:t>
            </w:r>
          </w:p>
        </w:tc>
        <w:tc>
          <w:tcPr>
            <w:tcW w:type="dxa" w:w="3610"/>
            <w:tcMar>
              <w:top w:w="80" w:type="dxa"/>
              <w:bottom w:w="80" w:type="dxa"/>
              <w:start w:w="120" w:type="dxa"/>
              <w:end w:w="120" w:type="dxa"/>
            </w:tcMar>
          </w:tcPr>
          <w:p>
            <w:r>
              <w:t>No inferred departure/return, intrusion, resident identity or automatic away mode.</w:t>
            </w:r>
          </w:p>
        </w:tc>
      </w:tr>
      <w:tr>
        <w:trPr>
          <w:cantSplit/>
        </w:trPr>
        <w:tc>
          <w:tcPr>
            <w:tcW w:type="dxa" w:w="2150"/>
            <w:tcMar>
              <w:top w:w="80" w:type="dxa"/>
              <w:bottom w:w="80" w:type="dxa"/>
              <w:start w:w="120" w:type="dxa"/>
              <w:end w:w="120" w:type="dxa"/>
            </w:tcMar>
          </w:tcPr>
          <w:p>
            <w:pPr>
              <w:pStyle w:val="TableText"/>
            </w:pPr>
            <w:r>
              <w:t>Daily recap</w:t>
            </w:r>
          </w:p>
        </w:tc>
        <w:tc>
          <w:tcPr>
            <w:tcW w:type="dxa" w:w="3600"/>
            <w:tcMar>
              <w:top w:w="80" w:type="dxa"/>
              <w:bottom w:w="80" w:type="dxa"/>
              <w:start w:w="120" w:type="dxa"/>
              <w:end w:w="120" w:type="dxa"/>
            </w:tcMar>
          </w:tcPr>
          <w:p>
            <w:pPr>
              <w:pStyle w:val="TableText"/>
            </w:pPr>
            <w:r>
              <w:t>One opt-in summary after the morning window.</w:t>
            </w:r>
          </w:p>
        </w:tc>
        <w:tc>
          <w:tcPr>
            <w:tcW w:type="dxa" w:w="3610"/>
            <w:tcMar>
              <w:top w:w="80" w:type="dxa"/>
              <w:bottom w:w="80" w:type="dxa"/>
              <w:start w:w="120" w:type="dxa"/>
              <w:end w:w="120" w:type="dxa"/>
            </w:tcMar>
          </w:tcPr>
          <w:p>
            <w:pPr>
              <w:pStyle w:val="TableText"/>
            </w:pPr>
            <w:r>
              <w:t>Never clears an unresolved contact request.</w:t>
            </w:r>
          </w:p>
        </w:tc>
      </w:tr>
      <w:tr>
        <w:trPr>
          <w:cantSplit/>
        </w:trPr>
        <w:tc>
          <w:tcPr>
            <w:tcW w:type="dxa" w:w="2150"/>
            <w:tcMar>
              <w:top w:w="80" w:type="dxa"/>
              <w:bottom w:w="80" w:type="dxa"/>
              <w:start w:w="120" w:type="dxa"/>
              <w:end w:w="120" w:type="dxa"/>
            </w:tcMar>
          </w:tcPr>
          <w:p>
            <w:r>
              <w:t>Away / guests / consent withdrawal</w:t>
            </w:r>
          </w:p>
        </w:tc>
        <w:tc>
          <w:tcPr>
            <w:tcW w:type="dxa" w:w="3600"/>
            <w:tcMar>
              <w:top w:w="80" w:type="dxa"/>
              <w:bottom w:w="80" w:type="dxa"/>
              <w:start w:w="120" w:type="dxa"/>
              <w:end w:w="120" w:type="dxa"/>
            </w:tcMar>
          </w:tcPr>
          <w:p>
            <w:pPr>
              <w:pStyle w:val="TableText"/>
            </w:pPr>
            <w:r>
              <w:t>Explicit modes change interpretation and data collection; visible locally and remotely.</w:t>
            </w:r>
          </w:p>
        </w:tc>
        <w:tc>
          <w:tcPr>
            <w:tcW w:type="dxa" w:w="3610"/>
            <w:tcMar>
              <w:top w:w="80" w:type="dxa"/>
              <w:bottom w:w="80" w:type="dxa"/>
              <w:start w:w="120" w:type="dxa"/>
              <w:end w:w="120" w:type="dxa"/>
            </w:tcMar>
          </w:tcPr>
          <w:p>
            <w:pPr>
              <w:pStyle w:val="TableText"/>
            </w:pPr>
            <w:r>
              <w:t>Visitors, pets and domestic workers can confound PIR evidence.</w:t>
            </w:r>
          </w:p>
        </w:tc>
      </w:tr>
      <w:tr>
        <w:tc>
          <w:tcPr>
            <w:tcW w:type="dxa" w:w="2150"/>
          </w:tcPr>
          <w:p>
            <w:r>
              <w:t>Night bathroom/common-room activity</w:t>
            </w:r>
          </w:p>
        </w:tc>
        <w:tc>
          <w:tcPr>
            <w:tcW w:type="dxa" w:w="3600"/>
          </w:tcPr>
          <w:p>
            <w:r>
              <w:t>Within the configured night window, merge repeated PIR edges into visits and create a concern only when distinct visits exceed the configured allowed threshold.</w:t>
            </w:r>
          </w:p>
        </w:tc>
        <w:tc>
          <w:tcPr>
            <w:tcW w:type="dxa" w:w="3610"/>
          </w:tcPr>
          <w:p>
            <w:r>
              <w:t>A count equal to the threshold is not a concern. Motion outside the night window is not counted for this rule.</w:t>
            </w:r>
          </w:p>
        </w:tc>
      </w:tr>
      <w:tr>
        <w:tc>
          <w:tcPr>
            <w:tcW w:type="dxa" w:w="2150"/>
          </w:tcPr>
          <w:p>
            <w:r>
              <w:t>Validation/reset behavior</w:t>
            </w:r>
          </w:p>
        </w:tc>
        <w:tc>
          <w:tcPr>
            <w:tcW w:type="dxa" w:w="3600"/>
          </w:tcPr>
          <w:p>
            <w:r>
              <w:t>Run-all and browser validation may inject synthetic states, but cleanup resets the PWA to the normal Reset/PASS baseline.</w:t>
            </w:r>
          </w:p>
        </w:tc>
        <w:tc>
          <w:tcPr>
            <w:tcW w:type="dxa" w:w="3610"/>
          </w:tcPr>
          <w:p>
            <w:r>
              <w:t>Validation state must never be mistaken for live household status.</w:t>
            </w:r>
          </w:p>
        </w:tc>
      </w:tr>
    </w:tbl>
    <w:p>
      <w:pPr>
        <w:pStyle w:val="TableSpacer"/>
      </w:pPr>
    </w:p>
    <w:p>
      <w:pPr>
        <w:pStyle w:val="Heading2"/>
      </w:pPr>
      <w:r>
        <w:rPr>
          <w:color w:val="000000"/>
        </w:rPr>
        <w:t>Decisions requiring confirmation before hardware freeze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410"/>
        <w:gridCol w:w="430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410"/>
            <w:tcMar>
              <w:top w:w="80" w:type="dxa"/>
              <w:bottom w:w="80" w:type="dxa"/>
              <w:start w:w="120" w:type="dxa"/>
              <w:end w:w="120" w:type="dxa"/>
            </w:tcMar>
            <w:shd w:fill="E8EEF5"/>
          </w:tcPr>
          <w:p>
            <w:pPr>
              <w:pStyle w:val="TableText"/>
            </w:pPr>
            <w:r>
              <w:rPr>
                <w:b/>
              </w:rPr>
              <w:t>Proposed baseline / unresolved item</w:t>
            </w:r>
          </w:p>
        </w:tc>
        <w:tc>
          <w:tcPr>
            <w:tcW w:type="dxa" w:w="4300"/>
            <w:tcMar>
              <w:top w:w="80" w:type="dxa"/>
              <w:bottom w:w="80" w:type="dxa"/>
              <w:start w:w="120" w:type="dxa"/>
              <w:end w:w="120" w:type="dxa"/>
            </w:tcMar>
            <w:shd w:fill="E8EEF5"/>
          </w:tcPr>
          <w:p>
            <w:pPr>
              <w:pStyle w:val="TableText"/>
            </w:pPr>
            <w:r>
              <w:rPr>
                <w:b/>
              </w:rPr>
              <w:t>Exit before build or field use</w:t>
            </w:r>
          </w:p>
        </w:tc>
      </w:tr>
      <w:tr>
        <w:trPr>
          <w:cantSplit/>
        </w:trPr>
        <w:tc>
          <w:tcPr>
            <w:tcW w:type="dxa" w:w="650"/>
            <w:tcMar>
              <w:top w:w="80" w:type="dxa"/>
              <w:bottom w:w="80" w:type="dxa"/>
              <w:start w:w="120" w:type="dxa"/>
              <w:end w:w="120" w:type="dxa"/>
            </w:tcMar>
          </w:tcPr>
          <w:p>
            <w:pPr>
              <w:pStyle w:val="TableText"/>
            </w:pPr>
            <w:r>
              <w:t>D01</w:t>
            </w:r>
          </w:p>
        </w:tc>
        <w:tc>
          <w:tcPr>
            <w:tcW w:type="dxa" w:w="4410"/>
            <w:tcMar>
              <w:top w:w="80" w:type="dxa"/>
              <w:bottom w:w="80" w:type="dxa"/>
              <w:start w:w="120" w:type="dxa"/>
              <w:end w:w="120" w:type="dxa"/>
            </w:tcMar>
          </w:tcPr>
          <w:p>
            <w:pPr>
              <w:pStyle w:val="TableText"/>
            </w:pPr>
            <w:r>
              <w:t>USB-powered hub with rechargeable backup is recommended, despite the original battery-only preference.</w:t>
            </w:r>
          </w:p>
        </w:tc>
        <w:tc>
          <w:tcPr>
            <w:tcW w:type="dxa" w:w="4300"/>
            <w:tcMar>
              <w:top w:w="80" w:type="dxa"/>
              <w:bottom w:w="80" w:type="dxa"/>
              <w:start w:w="120" w:type="dxa"/>
              <w:end w:w="120" w:type="dxa"/>
            </w:tcMar>
          </w:tcPr>
          <w:p>
            <w:pPr>
              <w:pStyle w:val="TableText"/>
            </w:pPr>
            <w:r>
              <w:t>Measure battery-side current/runtime; obtain agreement before production power design.</w:t>
            </w:r>
          </w:p>
        </w:tc>
      </w:tr>
      <w:tr>
        <w:trPr>
          <w:cantSplit/>
        </w:trPr>
        <w:tc>
          <w:tcPr>
            <w:tcW w:type="dxa" w:w="650"/>
            <w:tcMar>
              <w:top w:w="80" w:type="dxa"/>
              <w:bottom w:w="80" w:type="dxa"/>
              <w:start w:w="120" w:type="dxa"/>
              <w:end w:w="120" w:type="dxa"/>
            </w:tcMar>
          </w:tcPr>
          <w:p>
            <w:pPr>
              <w:pStyle w:val="TableText"/>
            </w:pPr>
            <w:r>
              <w:t>D02</w:t>
            </w:r>
          </w:p>
        </w:tc>
        <w:tc>
          <w:tcPr>
            <w:tcW w:type="dxa" w:w="4410"/>
            <w:tcMar>
              <w:top w:w="80" w:type="dxa"/>
              <w:bottom w:w="80" w:type="dxa"/>
              <w:start w:w="120" w:type="dxa"/>
              <w:end w:w="120" w:type="dxa"/>
            </w:tcMar>
          </w:tcPr>
          <w:p>
            <w:pPr>
              <w:pStyle w:val="TableText"/>
            </w:pPr>
            <w:r>
              <w:t>“BLC” may mean BL-5C, but exact pack is unknown.</w:t>
            </w:r>
          </w:p>
        </w:tc>
        <w:tc>
          <w:tcPr>
            <w:tcW w:type="dxa" w:w="4300"/>
            <w:tcMar>
              <w:top w:w="80" w:type="dxa"/>
              <w:bottom w:w="80" w:type="dxa"/>
              <w:start w:w="120" w:type="dxa"/>
              <w:end w:w="120" w:type="dxa"/>
            </w:tcMar>
          </w:tcPr>
          <w:p>
            <w:pPr>
              <w:pStyle w:val="TableText"/>
            </w:pPr>
            <w:r>
              <w:t>Obtain model, chemistry, rated voltage/capacity, protection, terminals and permitted charge current.</w:t>
            </w:r>
          </w:p>
        </w:tc>
      </w:tr>
      <w:tr>
        <w:trPr>
          <w:cantSplit/>
        </w:trPr>
        <w:tc>
          <w:tcPr>
            <w:tcW w:type="dxa" w:w="650"/>
            <w:tcMar>
              <w:top w:w="80" w:type="dxa"/>
              <w:bottom w:w="80" w:type="dxa"/>
              <w:start w:w="120" w:type="dxa"/>
              <w:end w:w="120" w:type="dxa"/>
            </w:tcMar>
          </w:tcPr>
          <w:p>
            <w:pPr>
              <w:pStyle w:val="TableText"/>
            </w:pPr>
            <w:r>
              <w:t>D03</w:t>
            </w:r>
          </w:p>
        </w:tc>
        <w:tc>
          <w:tcPr>
            <w:tcW w:type="dxa" w:w="4410"/>
            <w:tcMar>
              <w:top w:w="80" w:type="dxa"/>
              <w:bottom w:w="80" w:type="dxa"/>
              <w:start w:w="120" w:type="dxa"/>
              <w:end w:w="120" w:type="dxa"/>
            </w:tcMar>
          </w:tcPr>
          <w:p>
            <w:r>
              <w:t>Two action buttons replace a multifunction button; no user-facing privacy switch. Consent withdrawal is handled through the explicit consent workflow and internal privacy enforcement.</w:t>
            </w:r>
          </w:p>
        </w:tc>
        <w:tc>
          <w:tcPr>
            <w:tcW w:type="dxa" w:w="4300"/>
            <w:tcMar>
              <w:top w:w="80" w:type="dxa"/>
              <w:bottom w:w="80" w:type="dxa"/>
              <w:start w:w="120" w:type="dxa"/>
              <w:end w:w="120" w:type="dxa"/>
            </w:tcMar>
          </w:tcPr>
          <w:p>
            <w:r>
              <w:t>Resident usability test of I’m OK / Call Family labels, reach and accidental activation; confirm consent-withdrawal/re-consent workflow separately in the app/support process.</w:t>
            </w:r>
          </w:p>
        </w:tc>
      </w:tr>
      <w:tr>
        <w:trPr>
          <w:cantSplit/>
        </w:trPr>
        <w:tc>
          <w:tcPr>
            <w:tcW w:type="dxa" w:w="650"/>
            <w:tcMar>
              <w:top w:w="80" w:type="dxa"/>
              <w:bottom w:w="80" w:type="dxa"/>
              <w:start w:w="120" w:type="dxa"/>
              <w:end w:w="120" w:type="dxa"/>
            </w:tcMar>
          </w:tcPr>
          <w:p>
            <w:pPr>
              <w:pStyle w:val="TableText"/>
            </w:pPr>
            <w:r>
              <w:t>D04</w:t>
            </w:r>
          </w:p>
        </w:tc>
        <w:tc>
          <w:tcPr>
            <w:tcW w:type="dxa" w:w="4410"/>
            <w:tcMar>
              <w:top w:w="80" w:type="dxa"/>
              <w:bottom w:w="80" w:type="dxa"/>
              <w:start w:w="120" w:type="dxa"/>
              <w:end w:w="120" w:type="dxa"/>
            </w:tcMar>
          </w:tcPr>
          <w:p>
            <w:pPr>
              <w:pStyle w:val="TableText"/>
            </w:pPr>
            <w:r>
              <w:t>Assisted USB provisioning; PWA remote interface; Web Push only.</w:t>
            </w:r>
          </w:p>
        </w:tc>
        <w:tc>
          <w:tcPr>
            <w:tcW w:type="dxa" w:w="4300"/>
            <w:tcMar>
              <w:top w:w="80" w:type="dxa"/>
              <w:bottom w:w="80" w:type="dxa"/>
              <w:start w:w="120" w:type="dxa"/>
              <w:end w:w="120" w:type="dxa"/>
            </w:tcMar>
          </w:tcPr>
          <w:p>
            <w:pPr>
              <w:pStyle w:val="TableText"/>
            </w:pPr>
            <w:r>
              <w:t>Test target phones and installation process before unattended pilot.</w:t>
            </w:r>
          </w:p>
        </w:tc>
      </w:tr>
      <w:tr>
        <w:trPr>
          <w:cantSplit/>
        </w:trPr>
        <w:tc>
          <w:tcPr>
            <w:tcW w:type="dxa" w:w="650"/>
            <w:tcMar>
              <w:top w:w="80" w:type="dxa"/>
              <w:bottom w:w="80" w:type="dxa"/>
              <w:start w:w="120" w:type="dxa"/>
              <w:end w:w="120" w:type="dxa"/>
            </w:tcMar>
          </w:tcPr>
          <w:p>
            <w:pPr>
              <w:pStyle w:val="TableText"/>
            </w:pPr>
            <w:r>
              <w:t>D05</w:t>
            </w:r>
          </w:p>
        </w:tc>
        <w:tc>
          <w:tcPr>
            <w:tcW w:type="dxa" w:w="4410"/>
            <w:tcMar>
              <w:top w:w="80" w:type="dxa"/>
              <w:bottom w:w="80" w:type="dxa"/>
              <w:start w:w="120" w:type="dxa"/>
              <w:end w:w="120" w:type="dxa"/>
            </w:tcMar>
          </w:tcPr>
          <w:p>
            <w:pPr>
              <w:pStyle w:val="TableText"/>
            </w:pPr>
            <w:r>
              <w:t>Use exact board profiles; no guessed GPIO pinout.</w:t>
            </w:r>
          </w:p>
        </w:tc>
        <w:tc>
          <w:tcPr>
            <w:tcW w:type="dxa" w:w="4300"/>
            <w:tcMar>
              <w:top w:w="80" w:type="dxa"/>
              <w:bottom w:w="80" w:type="dxa"/>
              <w:start w:w="120" w:type="dxa"/>
              <w:end w:w="120" w:type="dxa"/>
            </w:tcMar>
          </w:tcPr>
          <w:p>
            <w:pPr>
              <w:pStyle w:val="TableText"/>
            </w:pPr>
            <w:r>
              <w:t>Schematic/pin audit, flash size, wake-capable pins and charge circuit review.</w:t>
            </w:r>
          </w:p>
        </w:tc>
      </w:tr>
      <w:tr>
        <w:trPr>
          <w:cantSplit/>
        </w:trPr>
        <w:tc>
          <w:tcPr>
            <w:tcW w:type="dxa" w:w="650"/>
            <w:tcMar>
              <w:top w:w="80" w:type="dxa"/>
              <w:bottom w:w="80" w:type="dxa"/>
              <w:start w:w="120" w:type="dxa"/>
              <w:end w:w="120" w:type="dxa"/>
            </w:tcMar>
          </w:tcPr>
          <w:p>
            <w:pPr>
              <w:pStyle w:val="TableText"/>
            </w:pPr>
            <w:r>
              <w:t>D06</w:t>
            </w:r>
          </w:p>
        </w:tc>
        <w:tc>
          <w:tcPr>
            <w:tcW w:type="dxa" w:w="4410"/>
            <w:tcMar>
              <w:top w:w="80" w:type="dxa"/>
              <w:bottom w:w="80" w:type="dxa"/>
              <w:start w:w="120" w:type="dxa"/>
              <w:end w:w="120" w:type="dxa"/>
            </w:tcMar>
          </w:tcPr>
          <w:p>
            <w:pPr>
              <w:pStyle w:val="TableText"/>
            </w:pPr>
            <w:r>
              <w:t>Prototype is not safety-certified or a medical service.</w:t>
            </w:r>
          </w:p>
        </w:tc>
        <w:tc>
          <w:tcPr>
            <w:tcW w:type="dxa" w:w="4300"/>
            <w:tcMar>
              <w:top w:w="80" w:type="dxa"/>
              <w:bottom w:w="80" w:type="dxa"/>
              <w:start w:w="120" w:type="dxa"/>
              <w:end w:w="120" w:type="dxa"/>
            </w:tcMar>
          </w:tcPr>
          <w:p>
            <w:pPr>
              <w:pStyle w:val="TableText"/>
            </w:pPr>
            <w:r>
              <w:t>Intended-use, product-claims, electrical/radio/privacy and customer-terms review before paid launch.</w:t>
            </w:r>
          </w:p>
        </w:tc>
      </w:tr>
    </w:tbl>
    <w:p>
      <w:pPr>
        <w:pStyle w:val="TableSpacer"/>
      </w:pPr>
    </w:p>
    <w:p>
      <w:bookmarkStart w:id="2" w:name="catalog"/>
      <w:pPr>
        <w:pStyle w:val="Heading1"/>
        <w:pageBreakBefore/>
      </w:pPr>
      <w:r>
        <w:rPr>
          <w:color w:val="000000"/>
        </w:rPr>
        <w:t>2. Complete P0 catalogue</w:t>
      </w:r>
      <w:bookmarkEnd w:id="2"/>
    </w:p>
    <w:p>
      <w:pPr>
        <w:pStyle w:val="SpecBody"/>
      </w:pPr>
      <w:r>
        <w:t>All 24 items belong to P0. Bench delivery may stub external recipients or use USB maintenance, but the unattended pilot shall satisfy every relevant acceptance test. IDs remain stable across backlog, code reviews, tests and release evidence. Each detailed feature page lists its owning modules and expected test results.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800"/>
        <w:gridCol w:w="391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800"/>
            <w:tcMar>
              <w:top w:w="80" w:type="dxa"/>
              <w:bottom w:w="80" w:type="dxa"/>
              <w:start w:w="120" w:type="dxa"/>
              <w:end w:w="120" w:type="dxa"/>
            </w:tcMar>
            <w:shd w:fill="E8EEF5"/>
          </w:tcPr>
          <w:p>
            <w:pPr>
              <w:pStyle w:val="TableText"/>
            </w:pPr>
            <w:r>
              <w:rPr>
                <w:b/>
              </w:rPr>
              <w:t>Feature</w:t>
            </w:r>
          </w:p>
        </w:tc>
        <w:tc>
          <w:tcPr>
            <w:tcW w:type="dxa" w:w="3910"/>
            <w:tcMar>
              <w:top w:w="80" w:type="dxa"/>
              <w:bottom w:w="80" w:type="dxa"/>
              <w:start w:w="120" w:type="dxa"/>
              <w:end w:w="120" w:type="dxa"/>
            </w:tcMar>
            <w:shd w:fill="E8EEF5"/>
          </w:tcPr>
          <w:p>
            <w:pPr>
              <w:pStyle w:val="TableText"/>
            </w:pPr>
            <w:r>
              <w:rPr>
                <w:b/>
              </w:rPr>
              <w:t>Primary ownership</w:t>
            </w:r>
          </w:p>
        </w:tc>
      </w:tr>
      <w:tr>
        <w:trPr>
          <w:cantSplit/>
        </w:trPr>
        <w:tc>
          <w:tcPr>
            <w:tcW w:type="dxa" w:w="650"/>
            <w:tcMar>
              <w:top w:w="80" w:type="dxa"/>
              <w:bottom w:w="80" w:type="dxa"/>
              <w:start w:w="120" w:type="dxa"/>
              <w:end w:w="120" w:type="dxa"/>
            </w:tcMar>
          </w:tcPr>
          <w:p>
            <w:pPr>
              <w:pStyle w:val="TableText"/>
            </w:pPr>
            <w:r>
              <w:t>F01</w:t>
            </w:r>
          </w:p>
        </w:tc>
        <w:tc>
          <w:tcPr>
            <w:tcW w:type="dxa" w:w="4800"/>
            <w:tcMar>
              <w:top w:w="80" w:type="dxa"/>
              <w:bottom w:w="80" w:type="dxa"/>
              <w:start w:w="120" w:type="dxa"/>
              <w:end w:w="120" w:type="dxa"/>
            </w:tcMar>
          </w:tcPr>
          <w:p>
            <w:pPr>
              <w:pStyle w:val="TableText"/>
            </w:pPr>
            <w:r>
              <w:t>Household profile and caregiver roles</w:t>
            </w:r>
          </w:p>
        </w:tc>
        <w:tc>
          <w:tcPr>
            <w:tcW w:type="dxa" w:w="3910"/>
            <w:tcMar>
              <w:top w:w="80" w:type="dxa"/>
              <w:bottom w:w="80" w:type="dxa"/>
              <w:start w:w="120" w:type="dxa"/>
              <w:end w:w="120" w:type="dxa"/>
            </w:tcMar>
          </w:tcPr>
          <w:p>
            <w:pPr>
              <w:pStyle w:val="TableText"/>
            </w:pPr>
            <w:r>
              <w:t>B01, B02, A01, S01</w:t>
            </w:r>
          </w:p>
        </w:tc>
      </w:tr>
      <w:tr>
        <w:trPr>
          <w:cantSplit/>
        </w:trPr>
        <w:tc>
          <w:tcPr>
            <w:tcW w:type="dxa" w:w="650"/>
            <w:tcMar>
              <w:top w:w="80" w:type="dxa"/>
              <w:bottom w:w="80" w:type="dxa"/>
              <w:start w:w="120" w:type="dxa"/>
              <w:end w:w="120" w:type="dxa"/>
            </w:tcMar>
          </w:tcPr>
          <w:p>
            <w:pPr>
              <w:pStyle w:val="TableText"/>
            </w:pPr>
            <w:r>
              <w:t>F02</w:t>
            </w:r>
          </w:p>
        </w:tc>
        <w:tc>
          <w:tcPr>
            <w:tcW w:type="dxa" w:w="4800"/>
            <w:tcMar>
              <w:top w:w="80" w:type="dxa"/>
              <w:bottom w:w="80" w:type="dxa"/>
              <w:start w:w="120" w:type="dxa"/>
              <w:end w:w="120" w:type="dxa"/>
            </w:tcMar>
          </w:tcPr>
          <w:p>
            <w:pPr>
              <w:pStyle w:val="TableText"/>
            </w:pPr>
            <w:r>
              <w:t>Resident consent and privacy controls</w:t>
            </w:r>
          </w:p>
        </w:tc>
        <w:tc>
          <w:tcPr>
            <w:tcW w:type="dxa" w:w="3910"/>
            <w:tcMar>
              <w:top w:w="80" w:type="dxa"/>
              <w:bottom w:w="80" w:type="dxa"/>
              <w:start w:w="120" w:type="dxa"/>
              <w:end w:w="120" w:type="dxa"/>
            </w:tcMar>
          </w:tcPr>
          <w:p>
            <w:pPr>
              <w:pStyle w:val="TableText"/>
            </w:pPr>
            <w:r>
              <w:t>B02, H06, H07, A01, B08</w:t>
            </w:r>
          </w:p>
        </w:tc>
      </w:tr>
      <w:tr>
        <w:trPr>
          <w:cantSplit/>
        </w:trPr>
        <w:tc>
          <w:tcPr>
            <w:tcW w:type="dxa" w:w="650"/>
            <w:tcMar>
              <w:top w:w="80" w:type="dxa"/>
              <w:bottom w:w="80" w:type="dxa"/>
              <w:start w:w="120" w:type="dxa"/>
              <w:end w:w="120" w:type="dxa"/>
            </w:tcMar>
          </w:tcPr>
          <w:p>
            <w:pPr>
              <w:pStyle w:val="TableText"/>
            </w:pPr>
            <w:r>
              <w:t>F03</w:t>
            </w:r>
          </w:p>
        </w:tc>
        <w:tc>
          <w:tcPr>
            <w:tcW w:type="dxa" w:w="4800"/>
            <w:tcMar>
              <w:top w:w="80" w:type="dxa"/>
              <w:bottom w:w="80" w:type="dxa"/>
              <w:start w:w="120" w:type="dxa"/>
              <w:end w:w="120" w:type="dxa"/>
            </w:tcMar>
          </w:tcPr>
          <w:p>
            <w:pPr>
              <w:pStyle w:val="TableText"/>
            </w:pPr>
            <w:r>
              <w:t>Kit provisioning and installation verification</w:t>
            </w:r>
          </w:p>
        </w:tc>
        <w:tc>
          <w:tcPr>
            <w:tcW w:type="dxa" w:w="3910"/>
            <w:tcMar>
              <w:top w:w="80" w:type="dxa"/>
              <w:bottom w:w="80" w:type="dxa"/>
              <w:start w:w="120" w:type="dxa"/>
              <w:end w:w="120" w:type="dxa"/>
            </w:tcMar>
          </w:tcPr>
          <w:p>
            <w:pPr>
              <w:pStyle w:val="TableText"/>
            </w:pPr>
            <w:r>
              <w:t>N04, H07, B06, A01, S03, T02</w:t>
            </w:r>
          </w:p>
        </w:tc>
      </w:tr>
      <w:tr>
        <w:trPr>
          <w:cantSplit/>
        </w:trPr>
        <w:tc>
          <w:tcPr>
            <w:tcW w:type="dxa" w:w="650"/>
            <w:tcMar>
              <w:top w:w="80" w:type="dxa"/>
              <w:bottom w:w="80" w:type="dxa"/>
              <w:start w:w="120" w:type="dxa"/>
              <w:end w:w="120" w:type="dxa"/>
            </w:tcMar>
          </w:tcPr>
          <w:p>
            <w:pPr>
              <w:pStyle w:val="TableText"/>
            </w:pPr>
            <w:r>
              <w:t>F04</w:t>
            </w:r>
          </w:p>
        </w:tc>
        <w:tc>
          <w:tcPr>
            <w:tcW w:type="dxa" w:w="4800"/>
            <w:tcMar>
              <w:top w:w="80" w:type="dxa"/>
              <w:bottom w:w="80" w:type="dxa"/>
              <w:start w:w="120" w:type="dxa"/>
              <w:end w:w="120" w:type="dxa"/>
            </w:tcMar>
          </w:tcPr>
          <w:p>
            <w:pPr>
              <w:pStyle w:val="TableText"/>
            </w:pPr>
            <w:r>
              <w:t>Configurable morning routine</w:t>
            </w:r>
          </w:p>
        </w:tc>
        <w:tc>
          <w:tcPr>
            <w:tcW w:type="dxa" w:w="3910"/>
            <w:tcMar>
              <w:top w:w="80" w:type="dxa"/>
              <w:bottom w:w="80" w:type="dxa"/>
              <w:start w:w="120" w:type="dxa"/>
              <w:end w:w="120" w:type="dxa"/>
            </w:tcMar>
          </w:tcPr>
          <w:p>
            <w:pPr>
              <w:pStyle w:val="TableText"/>
            </w:pPr>
            <w:r>
              <w:t>A03, B06, H07, H03, H05, S02</w:t>
            </w:r>
          </w:p>
        </w:tc>
      </w:tr>
      <w:tr>
        <w:trPr>
          <w:cantSplit/>
        </w:trPr>
        <w:tc>
          <w:tcPr>
            <w:tcW w:type="dxa" w:w="650"/>
            <w:tcMar>
              <w:top w:w="80" w:type="dxa"/>
              <w:bottom w:w="80" w:type="dxa"/>
              <w:start w:w="120" w:type="dxa"/>
              <w:end w:w="120" w:type="dxa"/>
            </w:tcMar>
          </w:tcPr>
          <w:p>
            <w:pPr>
              <w:pStyle w:val="TableText"/>
            </w:pPr>
            <w:r>
              <w:t>F05</w:t>
            </w:r>
          </w:p>
        </w:tc>
        <w:tc>
          <w:tcPr>
            <w:tcW w:type="dxa" w:w="4800"/>
            <w:tcMar>
              <w:top w:w="80" w:type="dxa"/>
              <w:bottom w:w="80" w:type="dxa"/>
              <w:start w:w="120" w:type="dxa"/>
              <w:end w:w="120" w:type="dxa"/>
            </w:tcMar>
          </w:tcPr>
          <w:p>
            <w:pPr>
              <w:pStyle w:val="TableText"/>
            </w:pPr>
            <w:r>
              <w:t>Morning activity evidence</w:t>
            </w:r>
          </w:p>
        </w:tc>
        <w:tc>
          <w:tcPr>
            <w:tcW w:type="dxa" w:w="3910"/>
            <w:tcMar>
              <w:top w:w="80" w:type="dxa"/>
              <w:bottom w:w="80" w:type="dxa"/>
              <w:start w:w="120" w:type="dxa"/>
              <w:end w:w="120" w:type="dxa"/>
            </w:tcMar>
          </w:tcPr>
          <w:p>
            <w:pPr>
              <w:pStyle w:val="TableText"/>
            </w:pPr>
            <w:r>
              <w:t>N01, H01, H02, H05, S02, B07, A02</w:t>
            </w:r>
          </w:p>
        </w:tc>
      </w:tr>
      <w:tr>
        <w:trPr>
          <w:cantSplit/>
        </w:trPr>
        <w:tc>
          <w:tcPr>
            <w:tcW w:type="dxa" w:w="650"/>
            <w:tcMar>
              <w:top w:w="80" w:type="dxa"/>
              <w:bottom w:w="80" w:type="dxa"/>
              <w:start w:w="120" w:type="dxa"/>
              <w:end w:w="120" w:type="dxa"/>
            </w:tcMar>
          </w:tcPr>
          <w:p>
            <w:pPr>
              <w:pStyle w:val="TableText"/>
            </w:pPr>
            <w:r>
              <w:t>F06</w:t>
            </w:r>
          </w:p>
        </w:tc>
        <w:tc>
          <w:tcPr>
            <w:tcW w:type="dxa" w:w="4800"/>
            <w:tcMar>
              <w:top w:w="80" w:type="dxa"/>
              <w:bottom w:w="80" w:type="dxa"/>
              <w:start w:w="120" w:type="dxa"/>
              <w:end w:w="120" w:type="dxa"/>
            </w:tcMar>
          </w:tcPr>
          <w:p>
            <w:pPr>
              <w:pStyle w:val="TableText"/>
            </w:pPr>
            <w:r>
              <w:t>Explicit “I’m OK” check-in</w:t>
            </w:r>
          </w:p>
        </w:tc>
        <w:tc>
          <w:tcPr>
            <w:tcW w:type="dxa" w:w="3910"/>
            <w:tcMar>
              <w:top w:w="80" w:type="dxa"/>
              <w:bottom w:w="80" w:type="dxa"/>
              <w:start w:w="120" w:type="dxa"/>
              <w:end w:w="120" w:type="dxa"/>
            </w:tcMar>
          </w:tcPr>
          <w:p>
            <w:pPr>
              <w:pStyle w:val="TableText"/>
            </w:pPr>
            <w:r>
              <w:t>H06, H02, H05, S02, B07, A02</w:t>
            </w:r>
          </w:p>
        </w:tc>
      </w:tr>
      <w:tr>
        <w:trPr>
          <w:cantSplit/>
        </w:trPr>
        <w:tc>
          <w:tcPr>
            <w:tcW w:type="dxa" w:w="650"/>
            <w:tcMar>
              <w:top w:w="80" w:type="dxa"/>
              <w:bottom w:w="80" w:type="dxa"/>
              <w:start w:w="120" w:type="dxa"/>
              <w:end w:w="120" w:type="dxa"/>
            </w:tcMar>
          </w:tcPr>
          <w:p>
            <w:pPr>
              <w:pStyle w:val="TableText"/>
            </w:pPr>
            <w:r>
              <w:t>F07</w:t>
            </w:r>
          </w:p>
        </w:tc>
        <w:tc>
          <w:tcPr>
            <w:tcW w:type="dxa" w:w="4800"/>
            <w:tcMar>
              <w:top w:w="80" w:type="dxa"/>
              <w:bottom w:w="80" w:type="dxa"/>
              <w:start w:w="120" w:type="dxa"/>
              <w:end w:w="120" w:type="dxa"/>
            </w:tcMar>
          </w:tcPr>
          <w:p>
            <w:pPr>
              <w:pStyle w:val="TableText"/>
            </w:pPr>
            <w:r>
              <w:t>“Call family” request</w:t>
            </w:r>
          </w:p>
        </w:tc>
        <w:tc>
          <w:tcPr>
            <w:tcW w:type="dxa" w:w="3910"/>
            <w:tcMar>
              <w:top w:w="80" w:type="dxa"/>
              <w:bottom w:w="80" w:type="dxa"/>
              <w:start w:w="120" w:type="dxa"/>
              <w:end w:w="120" w:type="dxa"/>
            </w:tcMar>
          </w:tcPr>
          <w:p>
            <w:pPr>
              <w:pStyle w:val="TableText"/>
            </w:pPr>
            <w:r>
              <w:t>H06, H02, H05, B04, B05, A04</w:t>
            </w:r>
          </w:p>
        </w:tc>
      </w:tr>
      <w:tr>
        <w:trPr>
          <w:cantSplit/>
        </w:trPr>
        <w:tc>
          <w:tcPr>
            <w:tcW w:type="dxa" w:w="650"/>
            <w:tcMar>
              <w:top w:w="80" w:type="dxa"/>
              <w:bottom w:w="80" w:type="dxa"/>
              <w:start w:w="120" w:type="dxa"/>
              <w:end w:w="120" w:type="dxa"/>
            </w:tcMar>
          </w:tcPr>
          <w:p>
            <w:pPr>
              <w:pStyle w:val="TableText"/>
            </w:pPr>
            <w:r>
              <w:t>F08</w:t>
            </w:r>
          </w:p>
        </w:tc>
        <w:tc>
          <w:tcPr>
            <w:tcW w:type="dxa" w:w="4800"/>
            <w:tcMar>
              <w:top w:w="80" w:type="dxa"/>
              <w:bottom w:w="80" w:type="dxa"/>
              <w:start w:w="120" w:type="dxa"/>
              <w:end w:w="120" w:type="dxa"/>
            </w:tcMar>
          </w:tcPr>
          <w:p>
            <w:pPr>
              <w:pStyle w:val="TableText"/>
            </w:pPr>
            <w:r>
              <w:t>Missing morning activity workflow</w:t>
            </w:r>
          </w:p>
        </w:tc>
        <w:tc>
          <w:tcPr>
            <w:tcW w:type="dxa" w:w="3910"/>
            <w:tcMar>
              <w:top w:w="80" w:type="dxa"/>
              <w:bottom w:w="80" w:type="dxa"/>
              <w:start w:w="120" w:type="dxa"/>
              <w:end w:w="120" w:type="dxa"/>
            </w:tcMar>
          </w:tcPr>
          <w:p>
            <w:pPr>
              <w:pStyle w:val="TableText"/>
            </w:pPr>
            <w:r>
              <w:t>H03, H04, H05, S02, B04, B05</w:t>
            </w:r>
          </w:p>
        </w:tc>
      </w:tr>
      <w:tr>
        <w:trPr>
          <w:cantSplit/>
        </w:trPr>
        <w:tc>
          <w:tcPr>
            <w:tcW w:type="dxa" w:w="650"/>
            <w:tcMar>
              <w:top w:w="80" w:type="dxa"/>
              <w:bottom w:w="80" w:type="dxa"/>
              <w:start w:w="120" w:type="dxa"/>
              <w:end w:w="120" w:type="dxa"/>
            </w:tcMar>
          </w:tcPr>
          <w:p>
            <w:pPr>
              <w:pStyle w:val="TableText"/>
            </w:pPr>
            <w:r>
              <w:t>F09</w:t>
            </w:r>
          </w:p>
        </w:tc>
        <w:tc>
          <w:tcPr>
            <w:tcW w:type="dxa" w:w="4800"/>
            <w:tcMar>
              <w:top w:w="80" w:type="dxa"/>
              <w:bottom w:w="80" w:type="dxa"/>
              <w:start w:w="120" w:type="dxa"/>
              <w:end w:w="120" w:type="dxa"/>
            </w:tcMar>
          </w:tcPr>
          <w:p>
            <w:pPr>
              <w:pStyle w:val="TableText"/>
            </w:pPr>
            <w:r>
              <w:t>Main-door event history and quiet-hour notice</w:t>
            </w:r>
          </w:p>
        </w:tc>
        <w:tc>
          <w:tcPr>
            <w:tcW w:type="dxa" w:w="3910"/>
            <w:tcMar>
              <w:top w:w="80" w:type="dxa"/>
              <w:bottom w:w="80" w:type="dxa"/>
              <w:start w:w="120" w:type="dxa"/>
              <w:end w:w="120" w:type="dxa"/>
            </w:tcMar>
          </w:tcPr>
          <w:p>
            <w:pPr>
              <w:pStyle w:val="TableText"/>
            </w:pPr>
            <w:r>
              <w:t>N01, H05, S02, B07, B05, A02</w:t>
            </w:r>
          </w:p>
        </w:tc>
      </w:tr>
      <w:tr>
        <w:trPr>
          <w:cantSplit/>
        </w:trPr>
        <w:tc>
          <w:tcPr>
            <w:tcW w:type="dxa" w:w="650"/>
            <w:tcMar>
              <w:top w:w="80" w:type="dxa"/>
              <w:bottom w:w="80" w:type="dxa"/>
              <w:start w:w="120" w:type="dxa"/>
              <w:end w:w="120" w:type="dxa"/>
            </w:tcMar>
          </w:tcPr>
          <w:p>
            <w:pPr>
              <w:pStyle w:val="TableText"/>
            </w:pPr>
            <w:r>
              <w:t>F10</w:t>
            </w:r>
          </w:p>
        </w:tc>
        <w:tc>
          <w:tcPr>
            <w:tcW w:type="dxa" w:w="4800"/>
            <w:tcMar>
              <w:top w:w="80" w:type="dxa"/>
              <w:bottom w:w="80" w:type="dxa"/>
              <w:start w:w="120" w:type="dxa"/>
              <w:end w:w="120" w:type="dxa"/>
            </w:tcMar>
          </w:tcPr>
          <w:p>
            <w:pPr>
              <w:pStyle w:val="TableText"/>
            </w:pPr>
            <w:r>
              <w:t>Away, pause and visitor modes</w:t>
            </w:r>
          </w:p>
        </w:tc>
        <w:tc>
          <w:tcPr>
            <w:tcW w:type="dxa" w:w="3910"/>
            <w:tcMar>
              <w:top w:w="80" w:type="dxa"/>
              <w:bottom w:w="80" w:type="dxa"/>
              <w:start w:w="120" w:type="dxa"/>
              <w:end w:w="120" w:type="dxa"/>
            </w:tcMar>
          </w:tcPr>
          <w:p>
            <w:pPr>
              <w:pStyle w:val="TableText"/>
            </w:pPr>
            <w:r>
              <w:t>A03, B02, H07, H06, H05, S02</w:t>
            </w:r>
          </w:p>
        </w:tc>
      </w:tr>
      <w:tr>
        <w:trPr>
          <w:cantSplit/>
        </w:trPr>
        <w:tc>
          <w:tcPr>
            <w:tcW w:type="dxa" w:w="650"/>
            <w:tcMar>
              <w:top w:w="80" w:type="dxa"/>
              <w:bottom w:w="80" w:type="dxa"/>
              <w:start w:w="120" w:type="dxa"/>
              <w:end w:w="120" w:type="dxa"/>
            </w:tcMar>
          </w:tcPr>
          <w:p>
            <w:pPr>
              <w:pStyle w:val="TableText"/>
            </w:pPr>
            <w:r>
              <w:t>F11</w:t>
            </w:r>
          </w:p>
        </w:tc>
        <w:tc>
          <w:tcPr>
            <w:tcW w:type="dxa" w:w="4800"/>
            <w:tcMar>
              <w:top w:w="80" w:type="dxa"/>
              <w:bottom w:w="80" w:type="dxa"/>
              <w:start w:w="120" w:type="dxa"/>
              <w:end w:w="120" w:type="dxa"/>
            </w:tcMar>
          </w:tcPr>
          <w:p>
            <w:pPr>
              <w:pStyle w:val="TableText"/>
            </w:pPr>
            <w:r>
              <w:t>Caregiver home screen and evidence timeline</w:t>
            </w:r>
          </w:p>
        </w:tc>
        <w:tc>
          <w:tcPr>
            <w:tcW w:type="dxa" w:w="3910"/>
            <w:tcMar>
              <w:top w:w="80" w:type="dxa"/>
              <w:bottom w:w="80" w:type="dxa"/>
              <w:start w:w="120" w:type="dxa"/>
              <w:end w:w="120" w:type="dxa"/>
            </w:tcMar>
          </w:tcPr>
          <w:p>
            <w:pPr>
              <w:pStyle w:val="TableText"/>
            </w:pPr>
            <w:r>
              <w:t>B07, B08, A02, A05</w:t>
            </w:r>
          </w:p>
        </w:tc>
      </w:tr>
      <w:tr>
        <w:trPr>
          <w:cantSplit/>
        </w:trPr>
        <w:tc>
          <w:tcPr>
            <w:tcW w:type="dxa" w:w="650"/>
            <w:tcMar>
              <w:top w:w="80" w:type="dxa"/>
              <w:bottom w:w="80" w:type="dxa"/>
              <w:start w:w="120" w:type="dxa"/>
              <w:end w:w="120" w:type="dxa"/>
            </w:tcMar>
          </w:tcPr>
          <w:p>
            <w:pPr>
              <w:pStyle w:val="TableText"/>
            </w:pPr>
            <w:r>
              <w:t>F12</w:t>
            </w:r>
          </w:p>
        </w:tc>
        <w:tc>
          <w:tcPr>
            <w:tcW w:type="dxa" w:w="4800"/>
            <w:tcMar>
              <w:top w:w="80" w:type="dxa"/>
              <w:bottom w:w="80" w:type="dxa"/>
              <w:start w:w="120" w:type="dxa"/>
              <w:end w:w="120" w:type="dxa"/>
            </w:tcMar>
          </w:tcPr>
          <w:p>
            <w:pPr>
              <w:pStyle w:val="TableText"/>
            </w:pPr>
            <w:r>
              <w:t>Caregiver acknowledgement and resolution</w:t>
            </w:r>
          </w:p>
        </w:tc>
        <w:tc>
          <w:tcPr>
            <w:tcW w:type="dxa" w:w="3910"/>
            <w:tcMar>
              <w:top w:w="80" w:type="dxa"/>
              <w:bottom w:w="80" w:type="dxa"/>
              <w:start w:w="120" w:type="dxa"/>
              <w:end w:w="120" w:type="dxa"/>
            </w:tcMar>
          </w:tcPr>
          <w:p>
            <w:pPr>
              <w:pStyle w:val="TableText"/>
            </w:pPr>
            <w:r>
              <w:t>B04, B07, B05, A04, H08</w:t>
            </w:r>
          </w:p>
        </w:tc>
      </w:tr>
      <w:tr>
        <w:trPr>
          <w:cantSplit/>
        </w:trPr>
        <w:tc>
          <w:tcPr>
            <w:tcW w:type="dxa" w:w="650"/>
            <w:tcMar>
              <w:top w:w="80" w:type="dxa"/>
              <w:bottom w:w="80" w:type="dxa"/>
              <w:start w:w="120" w:type="dxa"/>
              <w:end w:w="120" w:type="dxa"/>
            </w:tcMar>
          </w:tcPr>
          <w:p>
            <w:pPr>
              <w:pStyle w:val="TableText"/>
            </w:pPr>
            <w:r>
              <w:t>F13</w:t>
            </w:r>
          </w:p>
        </w:tc>
        <w:tc>
          <w:tcPr>
            <w:tcW w:type="dxa" w:w="4800"/>
            <w:tcMar>
              <w:top w:w="80" w:type="dxa"/>
              <w:bottom w:w="80" w:type="dxa"/>
              <w:start w:w="120" w:type="dxa"/>
              <w:end w:w="120" w:type="dxa"/>
            </w:tcMar>
          </w:tcPr>
          <w:p>
            <w:pPr>
              <w:pStyle w:val="TableText"/>
            </w:pPr>
            <w:r>
              <w:t>Backup caregiver routing and delivery visibility</w:t>
            </w:r>
          </w:p>
        </w:tc>
        <w:tc>
          <w:tcPr>
            <w:tcW w:type="dxa" w:w="3910"/>
            <w:tcMar>
              <w:top w:w="80" w:type="dxa"/>
              <w:bottom w:w="80" w:type="dxa"/>
              <w:start w:w="120" w:type="dxa"/>
              <w:end w:w="120" w:type="dxa"/>
            </w:tcMar>
          </w:tcPr>
          <w:p>
            <w:pPr>
              <w:pStyle w:val="TableText"/>
            </w:pPr>
            <w:r>
              <w:t>B05, B04, B08, A04, A05</w:t>
            </w:r>
          </w:p>
        </w:tc>
      </w:tr>
      <w:tr>
        <w:trPr>
          <w:cantSplit/>
        </w:trPr>
        <w:tc>
          <w:tcPr>
            <w:tcW w:type="dxa" w:w="650"/>
            <w:tcMar>
              <w:top w:w="80" w:type="dxa"/>
              <w:bottom w:w="80" w:type="dxa"/>
              <w:start w:w="120" w:type="dxa"/>
              <w:end w:w="120" w:type="dxa"/>
            </w:tcMar>
          </w:tcPr>
          <w:p>
            <w:pPr>
              <w:pStyle w:val="TableText"/>
            </w:pPr>
            <w:r>
              <w:t>F14</w:t>
            </w:r>
          </w:p>
        </w:tc>
        <w:tc>
          <w:tcPr>
            <w:tcW w:type="dxa" w:w="4800"/>
            <w:tcMar>
              <w:top w:w="80" w:type="dxa"/>
              <w:bottom w:w="80" w:type="dxa"/>
              <w:start w:w="120" w:type="dxa"/>
              <w:end w:w="120" w:type="dxa"/>
            </w:tcMar>
          </w:tcPr>
          <w:p>
            <w:pPr>
              <w:pStyle w:val="TableText"/>
            </w:pPr>
            <w:r>
              <w:t>Opt-in daily morning summary</w:t>
            </w:r>
          </w:p>
        </w:tc>
        <w:tc>
          <w:tcPr>
            <w:tcW w:type="dxa" w:w="3910"/>
            <w:tcMar>
              <w:top w:w="80" w:type="dxa"/>
              <w:bottom w:w="80" w:type="dxa"/>
              <w:start w:w="120" w:type="dxa"/>
              <w:end w:w="120" w:type="dxa"/>
            </w:tcMar>
          </w:tcPr>
          <w:p>
            <w:pPr>
              <w:pStyle w:val="TableText"/>
            </w:pPr>
            <w:r>
              <w:t>B05, B07, A03, A02</w:t>
            </w:r>
          </w:p>
        </w:tc>
      </w:tr>
    </w:tbl>
    <w:p>
      <w:pPr>
        <w:pStyle w:val="TableSpacer"/>
      </w:pPr>
    </w:p>
    <w:p>
      <w:pPr>
        <w:pStyle w:val="Heading2"/>
        <w:pageBreakBefore/>
      </w:pPr>
      <w:r>
        <w:rPr>
          <w:color w:val="000000"/>
        </w:rPr>
        <w:t>Engineering P0 — necessary for trustworthy behavior</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800"/>
        <w:gridCol w:w="391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800"/>
            <w:tcMar>
              <w:top w:w="80" w:type="dxa"/>
              <w:bottom w:w="80" w:type="dxa"/>
              <w:start w:w="120" w:type="dxa"/>
              <w:end w:w="120" w:type="dxa"/>
            </w:tcMar>
            <w:shd w:fill="E8EEF5"/>
          </w:tcPr>
          <w:p>
            <w:pPr>
              <w:pStyle w:val="TableText"/>
            </w:pPr>
            <w:r>
              <w:rPr>
                <w:b/>
              </w:rPr>
              <w:t>Capability</w:t>
            </w:r>
          </w:p>
        </w:tc>
        <w:tc>
          <w:tcPr>
            <w:tcW w:type="dxa" w:w="3910"/>
            <w:tcMar>
              <w:top w:w="80" w:type="dxa"/>
              <w:bottom w:w="80" w:type="dxa"/>
              <w:start w:w="120" w:type="dxa"/>
              <w:end w:w="120" w:type="dxa"/>
            </w:tcMar>
            <w:shd w:fill="E8EEF5"/>
          </w:tcPr>
          <w:p>
            <w:pPr>
              <w:pStyle w:val="TableText"/>
            </w:pPr>
            <w:r>
              <w:rPr>
                <w:b/>
              </w:rPr>
              <w:t>Primary ownership</w:t>
            </w:r>
          </w:p>
        </w:tc>
      </w:tr>
      <w:tr>
        <w:trPr>
          <w:cantSplit/>
        </w:trPr>
        <w:tc>
          <w:tcPr>
            <w:tcW w:type="dxa" w:w="650"/>
            <w:tcMar>
              <w:top w:w="80" w:type="dxa"/>
              <w:bottom w:w="80" w:type="dxa"/>
              <w:start w:w="120" w:type="dxa"/>
              <w:end w:w="120" w:type="dxa"/>
            </w:tcMar>
          </w:tcPr>
          <w:p>
            <w:pPr>
              <w:pStyle w:val="TableText"/>
            </w:pPr>
            <w:r>
              <w:t>E01</w:t>
            </w:r>
          </w:p>
        </w:tc>
        <w:tc>
          <w:tcPr>
            <w:tcW w:type="dxa" w:w="4800"/>
            <w:tcMar>
              <w:top w:w="80" w:type="dxa"/>
              <w:bottom w:w="80" w:type="dxa"/>
              <w:start w:w="120" w:type="dxa"/>
              <w:end w:w="120" w:type="dxa"/>
            </w:tcMar>
          </w:tcPr>
          <w:p>
            <w:pPr>
              <w:pStyle w:val="TableText"/>
            </w:pPr>
            <w:r>
              <w:t>Node health, battery and observation coverage</w:t>
            </w:r>
          </w:p>
        </w:tc>
        <w:tc>
          <w:tcPr>
            <w:tcW w:type="dxa" w:w="3910"/>
            <w:tcMar>
              <w:top w:w="80" w:type="dxa"/>
              <w:bottom w:w="80" w:type="dxa"/>
              <w:start w:w="120" w:type="dxa"/>
              <w:end w:w="120" w:type="dxa"/>
            </w:tcMar>
          </w:tcPr>
          <w:p>
            <w:pPr>
              <w:pStyle w:val="TableText"/>
            </w:pPr>
            <w:r>
              <w:t>N03, N02, H04, B08, A02</w:t>
            </w:r>
          </w:p>
        </w:tc>
      </w:tr>
      <w:tr>
        <w:trPr>
          <w:cantSplit/>
        </w:trPr>
        <w:tc>
          <w:tcPr>
            <w:tcW w:type="dxa" w:w="650"/>
            <w:tcMar>
              <w:top w:w="80" w:type="dxa"/>
              <w:bottom w:w="80" w:type="dxa"/>
              <w:start w:w="120" w:type="dxa"/>
              <w:end w:w="120" w:type="dxa"/>
            </w:tcMar>
          </w:tcPr>
          <w:p>
            <w:pPr>
              <w:pStyle w:val="TableText"/>
            </w:pPr>
            <w:r>
              <w:t>E02</w:t>
            </w:r>
          </w:p>
        </w:tc>
        <w:tc>
          <w:tcPr>
            <w:tcW w:type="dxa" w:w="4800"/>
            <w:tcMar>
              <w:top w:w="80" w:type="dxa"/>
              <w:bottom w:w="80" w:type="dxa"/>
              <w:start w:w="120" w:type="dxa"/>
              <w:end w:w="120" w:type="dxa"/>
            </w:tcMar>
          </w:tcPr>
          <w:p>
            <w:pPr>
              <w:pStyle w:val="TableText"/>
            </w:pPr>
            <w:r>
              <w:t>Reliable event transport and duplicate handling</w:t>
            </w:r>
          </w:p>
        </w:tc>
        <w:tc>
          <w:tcPr>
            <w:tcW w:type="dxa" w:w="3910"/>
            <w:tcMar>
              <w:top w:w="80" w:type="dxa"/>
              <w:bottom w:w="80" w:type="dxa"/>
              <w:start w:w="120" w:type="dxa"/>
              <w:end w:w="120" w:type="dxa"/>
            </w:tcMar>
          </w:tcPr>
          <w:p>
            <w:pPr>
              <w:pStyle w:val="TableText"/>
            </w:pPr>
            <w:r>
              <w:t>N02, N05, H01, H02, H08, B03, S01</w:t>
            </w:r>
          </w:p>
        </w:tc>
      </w:tr>
      <w:tr>
        <w:trPr>
          <w:cantSplit/>
        </w:trPr>
        <w:tc>
          <w:tcPr>
            <w:tcW w:type="dxa" w:w="650"/>
            <w:tcMar>
              <w:top w:w="80" w:type="dxa"/>
              <w:bottom w:w="80" w:type="dxa"/>
              <w:start w:w="120" w:type="dxa"/>
              <w:end w:w="120" w:type="dxa"/>
            </w:tcMar>
          </w:tcPr>
          <w:p>
            <w:pPr>
              <w:pStyle w:val="TableText"/>
            </w:pPr>
            <w:r>
              <w:t>E03</w:t>
            </w:r>
          </w:p>
        </w:tc>
        <w:tc>
          <w:tcPr>
            <w:tcW w:type="dxa" w:w="4800"/>
            <w:tcMar>
              <w:top w:w="80" w:type="dxa"/>
              <w:bottom w:w="80" w:type="dxa"/>
              <w:start w:w="120" w:type="dxa"/>
              <w:end w:w="120" w:type="dxa"/>
            </w:tcMar>
          </w:tcPr>
          <w:p>
            <w:pPr>
              <w:pStyle w:val="TableText"/>
            </w:pPr>
            <w:r>
              <w:t>Local operation during internet failure</w:t>
            </w:r>
          </w:p>
        </w:tc>
        <w:tc>
          <w:tcPr>
            <w:tcW w:type="dxa" w:w="3910"/>
            <w:tcMar>
              <w:top w:w="80" w:type="dxa"/>
              <w:bottom w:w="80" w:type="dxa"/>
              <w:start w:w="120" w:type="dxa"/>
              <w:end w:w="120" w:type="dxa"/>
            </w:tcMar>
          </w:tcPr>
          <w:p>
            <w:pPr>
              <w:pStyle w:val="TableText"/>
            </w:pPr>
            <w:r>
              <w:t>H03, H04, H05, H06, H02, H08</w:t>
            </w:r>
          </w:p>
        </w:tc>
      </w:tr>
      <w:tr>
        <w:trPr>
          <w:cantSplit/>
        </w:trPr>
        <w:tc>
          <w:tcPr>
            <w:tcW w:type="dxa" w:w="650"/>
            <w:tcMar>
              <w:top w:w="80" w:type="dxa"/>
              <w:bottom w:w="80" w:type="dxa"/>
              <w:start w:w="120" w:type="dxa"/>
              <w:end w:w="120" w:type="dxa"/>
            </w:tcMar>
          </w:tcPr>
          <w:p>
            <w:pPr>
              <w:pStyle w:val="TableText"/>
            </w:pPr>
            <w:r>
              <w:t>E04</w:t>
            </w:r>
          </w:p>
        </w:tc>
        <w:tc>
          <w:tcPr>
            <w:tcW w:type="dxa" w:w="4800"/>
            <w:tcMar>
              <w:top w:w="80" w:type="dxa"/>
              <w:bottom w:w="80" w:type="dxa"/>
              <w:start w:w="120" w:type="dxa"/>
              <w:end w:w="120" w:type="dxa"/>
            </w:tcMar>
          </w:tcPr>
          <w:p>
            <w:pPr>
              <w:pStyle w:val="TableText"/>
            </w:pPr>
            <w:r>
              <w:t>Hub/cloud/app connectivity and freshness</w:t>
            </w:r>
          </w:p>
        </w:tc>
        <w:tc>
          <w:tcPr>
            <w:tcW w:type="dxa" w:w="3910"/>
            <w:tcMar>
              <w:top w:w="80" w:type="dxa"/>
              <w:bottom w:w="80" w:type="dxa"/>
              <w:start w:w="120" w:type="dxa"/>
              <w:end w:w="120" w:type="dxa"/>
            </w:tcMar>
          </w:tcPr>
          <w:p>
            <w:pPr>
              <w:pStyle w:val="TableText"/>
            </w:pPr>
            <w:r>
              <w:t>H08, B08, B07, A05, A02</w:t>
            </w:r>
          </w:p>
        </w:tc>
      </w:tr>
      <w:tr>
        <w:trPr>
          <w:cantSplit/>
        </w:trPr>
        <w:tc>
          <w:tcPr>
            <w:tcW w:type="dxa" w:w="650"/>
            <w:tcMar>
              <w:top w:w="80" w:type="dxa"/>
              <w:bottom w:w="80" w:type="dxa"/>
              <w:start w:w="120" w:type="dxa"/>
              <w:end w:w="120" w:type="dxa"/>
            </w:tcMar>
          </w:tcPr>
          <w:p>
            <w:pPr>
              <w:pStyle w:val="TableText"/>
            </w:pPr>
            <w:r>
              <w:t>E05</w:t>
            </w:r>
          </w:p>
        </w:tc>
        <w:tc>
          <w:tcPr>
            <w:tcW w:type="dxa" w:w="4800"/>
            <w:tcMar>
              <w:top w:w="80" w:type="dxa"/>
              <w:bottom w:w="80" w:type="dxa"/>
              <w:start w:w="120" w:type="dxa"/>
              <w:end w:w="120" w:type="dxa"/>
            </w:tcMar>
          </w:tcPr>
          <w:p>
            <w:pPr>
              <w:pStyle w:val="TableText"/>
            </w:pPr>
            <w:r>
              <w:t>Persistence, recovery and bounded storage</w:t>
            </w:r>
          </w:p>
        </w:tc>
        <w:tc>
          <w:tcPr>
            <w:tcW w:type="dxa" w:w="3910"/>
            <w:tcMar>
              <w:top w:w="80" w:type="dxa"/>
              <w:bottom w:w="80" w:type="dxa"/>
              <w:start w:w="120" w:type="dxa"/>
              <w:end w:w="120" w:type="dxa"/>
            </w:tcMar>
          </w:tcPr>
          <w:p>
            <w:pPr>
              <w:pStyle w:val="TableText"/>
            </w:pPr>
            <w:r>
              <w:t>N05, H02, B03, B04, B05, B08</w:t>
            </w:r>
          </w:p>
        </w:tc>
      </w:tr>
      <w:tr>
        <w:trPr>
          <w:cantSplit/>
        </w:trPr>
        <w:tc>
          <w:tcPr>
            <w:tcW w:type="dxa" w:w="650"/>
            <w:tcMar>
              <w:top w:w="80" w:type="dxa"/>
              <w:bottom w:w="80" w:type="dxa"/>
              <w:start w:w="120" w:type="dxa"/>
              <w:end w:w="120" w:type="dxa"/>
            </w:tcMar>
          </w:tcPr>
          <w:p>
            <w:pPr>
              <w:pStyle w:val="TableText"/>
            </w:pPr>
            <w:r>
              <w:t>E06</w:t>
            </w:r>
          </w:p>
        </w:tc>
        <w:tc>
          <w:tcPr>
            <w:tcW w:type="dxa" w:w="4800"/>
            <w:tcMar>
              <w:top w:w="80" w:type="dxa"/>
              <w:bottom w:w="80" w:type="dxa"/>
              <w:start w:w="120" w:type="dxa"/>
              <w:end w:w="120" w:type="dxa"/>
            </w:tcMar>
          </w:tcPr>
          <w:p>
            <w:pPr>
              <w:pStyle w:val="TableText"/>
            </w:pPr>
            <w:r>
              <w:t>Trusted time and routine boundary handling</w:t>
            </w:r>
          </w:p>
        </w:tc>
        <w:tc>
          <w:tcPr>
            <w:tcW w:type="dxa" w:w="3910"/>
            <w:tcMar>
              <w:top w:w="80" w:type="dxa"/>
              <w:bottom w:w="80" w:type="dxa"/>
              <w:start w:w="120" w:type="dxa"/>
              <w:end w:w="120" w:type="dxa"/>
            </w:tcMar>
          </w:tcPr>
          <w:p>
            <w:pPr>
              <w:pStyle w:val="TableText"/>
            </w:pPr>
            <w:r>
              <w:t>H03, H07, H05, S01, S02</w:t>
            </w:r>
          </w:p>
        </w:tc>
      </w:tr>
      <w:tr>
        <w:trPr>
          <w:cantSplit/>
        </w:trPr>
        <w:tc>
          <w:tcPr>
            <w:tcW w:type="dxa" w:w="650"/>
            <w:tcMar>
              <w:top w:w="80" w:type="dxa"/>
              <w:bottom w:w="80" w:type="dxa"/>
              <w:start w:w="120" w:type="dxa"/>
              <w:end w:w="120" w:type="dxa"/>
            </w:tcMar>
          </w:tcPr>
          <w:p>
            <w:pPr>
              <w:pStyle w:val="TableText"/>
            </w:pPr>
            <w:r>
              <w:t>E07</w:t>
            </w:r>
          </w:p>
        </w:tc>
        <w:tc>
          <w:tcPr>
            <w:tcW w:type="dxa" w:w="4800"/>
            <w:tcMar>
              <w:top w:w="80" w:type="dxa"/>
              <w:bottom w:w="80" w:type="dxa"/>
              <w:start w:w="120" w:type="dxa"/>
              <w:end w:w="120" w:type="dxa"/>
            </w:tcMar>
          </w:tcPr>
          <w:p>
            <w:pPr>
              <w:pStyle w:val="TableText"/>
            </w:pPr>
            <w:r>
              <w:t>Versioned configuration and command application</w:t>
            </w:r>
          </w:p>
        </w:tc>
        <w:tc>
          <w:tcPr>
            <w:tcW w:type="dxa" w:w="3910"/>
            <w:tcMar>
              <w:top w:w="80" w:type="dxa"/>
              <w:bottom w:w="80" w:type="dxa"/>
              <w:start w:w="120" w:type="dxa"/>
              <w:end w:w="120" w:type="dxa"/>
            </w:tcMar>
          </w:tcPr>
          <w:p>
            <w:pPr>
              <w:pStyle w:val="TableText"/>
            </w:pPr>
            <w:r>
              <w:t>B06, A03, H07, N04, H08, S01</w:t>
            </w:r>
          </w:p>
        </w:tc>
      </w:tr>
      <w:tr>
        <w:trPr>
          <w:cantSplit/>
        </w:trPr>
        <w:tc>
          <w:tcPr>
            <w:tcW w:type="dxa" w:w="650"/>
            <w:tcMar>
              <w:top w:w="80" w:type="dxa"/>
              <w:bottom w:w="80" w:type="dxa"/>
              <w:start w:w="120" w:type="dxa"/>
              <w:end w:w="120" w:type="dxa"/>
            </w:tcMar>
          </w:tcPr>
          <w:p>
            <w:pPr>
              <w:pStyle w:val="TableText"/>
            </w:pPr>
            <w:r>
              <w:t>E08</w:t>
            </w:r>
          </w:p>
        </w:tc>
        <w:tc>
          <w:tcPr>
            <w:tcW w:type="dxa" w:w="4800"/>
            <w:tcMar>
              <w:top w:w="80" w:type="dxa"/>
              <w:bottom w:w="80" w:type="dxa"/>
              <w:start w:w="120" w:type="dxa"/>
              <w:end w:w="120" w:type="dxa"/>
            </w:tcMar>
          </w:tcPr>
          <w:p>
            <w:pPr>
              <w:pStyle w:val="TableText"/>
            </w:pPr>
            <w:r>
              <w:t>Security, access control and data lifecycle</w:t>
            </w:r>
          </w:p>
        </w:tc>
        <w:tc>
          <w:tcPr>
            <w:tcW w:type="dxa" w:w="3910"/>
            <w:tcMar>
              <w:top w:w="80" w:type="dxa"/>
              <w:bottom w:w="80" w:type="dxa"/>
              <w:start w:w="120" w:type="dxa"/>
              <w:end w:w="120" w:type="dxa"/>
            </w:tcMar>
          </w:tcPr>
          <w:p>
            <w:pPr>
              <w:pStyle w:val="TableText"/>
            </w:pPr>
            <w:r>
              <w:t>S03, B01, B02, B06, B08, A05, T01</w:t>
            </w:r>
          </w:p>
        </w:tc>
      </w:tr>
      <w:tr>
        <w:trPr>
          <w:cantSplit/>
        </w:trPr>
        <w:tc>
          <w:tcPr>
            <w:tcW w:type="dxa" w:w="650"/>
            <w:tcMar>
              <w:top w:w="80" w:type="dxa"/>
              <w:bottom w:w="80" w:type="dxa"/>
              <w:start w:w="120" w:type="dxa"/>
              <w:end w:w="120" w:type="dxa"/>
            </w:tcMar>
          </w:tcPr>
          <w:p>
            <w:pPr>
              <w:pStyle w:val="TableText"/>
            </w:pPr>
            <w:r>
              <w:t>E09</w:t>
            </w:r>
          </w:p>
        </w:tc>
        <w:tc>
          <w:tcPr>
            <w:tcW w:type="dxa" w:w="4800"/>
            <w:tcMar>
              <w:top w:w="80" w:type="dxa"/>
              <w:bottom w:w="80" w:type="dxa"/>
              <w:start w:w="120" w:type="dxa"/>
              <w:end w:w="120" w:type="dxa"/>
            </w:tcMar>
          </w:tcPr>
          <w:p>
            <w:pPr>
              <w:pStyle w:val="TableText"/>
            </w:pPr>
            <w:r>
              <w:t>Firmware update, watchdog and recovery</w:t>
            </w:r>
          </w:p>
        </w:tc>
        <w:tc>
          <w:tcPr>
            <w:tcW w:type="dxa" w:w="3910"/>
            <w:tcMar>
              <w:top w:w="80" w:type="dxa"/>
              <w:bottom w:w="80" w:type="dxa"/>
              <w:start w:w="120" w:type="dxa"/>
              <w:end w:w="120" w:type="dxa"/>
            </w:tcMar>
          </w:tcPr>
          <w:p>
            <w:pPr>
              <w:pStyle w:val="TableText"/>
            </w:pPr>
            <w:r>
              <w:t>S03, H07, N04, B06, B08, T02</w:t>
            </w:r>
          </w:p>
        </w:tc>
      </w:tr>
      <w:tr>
        <w:trPr>
          <w:cantSplit/>
        </w:trPr>
        <w:tc>
          <w:tcPr>
            <w:tcW w:type="dxa" w:w="650"/>
            <w:tcMar>
              <w:top w:w="80" w:type="dxa"/>
              <w:bottom w:w="80" w:type="dxa"/>
              <w:start w:w="120" w:type="dxa"/>
              <w:end w:w="120" w:type="dxa"/>
            </w:tcMar>
          </w:tcPr>
          <w:p>
            <w:pPr>
              <w:pStyle w:val="TableText"/>
            </w:pPr>
            <w:r>
              <w:t>E10</w:t>
            </w:r>
          </w:p>
        </w:tc>
        <w:tc>
          <w:tcPr>
            <w:tcW w:type="dxa" w:w="4800"/>
            <w:tcMar>
              <w:top w:w="80" w:type="dxa"/>
              <w:bottom w:w="80" w:type="dxa"/>
              <w:start w:w="120" w:type="dxa"/>
              <w:end w:w="120" w:type="dxa"/>
            </w:tcMar>
          </w:tcPr>
          <w:p>
            <w:pPr>
              <w:pStyle w:val="TableText"/>
            </w:pPr>
            <w:r>
              <w:t>Diagnostics, support and installation evidence</w:t>
            </w:r>
          </w:p>
        </w:tc>
        <w:tc>
          <w:tcPr>
            <w:tcW w:type="dxa" w:w="3910"/>
            <w:tcMar>
              <w:top w:w="80" w:type="dxa"/>
              <w:bottom w:w="80" w:type="dxa"/>
              <w:start w:w="120" w:type="dxa"/>
              <w:end w:w="120" w:type="dxa"/>
            </w:tcMar>
          </w:tcPr>
          <w:p>
            <w:pPr>
              <w:pStyle w:val="TableText"/>
            </w:pPr>
            <w:r>
              <w:t>B08, A02, T01, T02, T03, H02, H08</w:t>
            </w:r>
          </w:p>
        </w:tc>
      </w:tr>
    </w:tbl>
    <w:p>
      <w:pPr>
        <w:pStyle w:val="TableSpacer"/>
      </w:pPr>
    </w:p>
    <w:p>
      <w:pPr>
        <w:pStyle w:val="Heading2"/>
      </w:pPr>
      <w:r>
        <w:rPr>
          <w:color w:val="000000"/>
        </w:rPr>
        <w:t>P0 hardware and operational cross-cutting gates</w:t>
      </w:r>
    </w:p>
    <w:p>
      <w:pPr>
        <w:pStyle w:val="SpecBody"/>
      </w:pPr>
      <w:r>
        <w:t>The 24 feature IDs do not replace physical-product obligations. HW01 installation coverage, HW02 power/charging safety, HW03 button/privacy usability, HW04 enclosure/mounting and HW05 radio/EMC/product compliance review are cross-cutting gates. OP01 caregiver contact availability, OP02 incident/support ownership and OP03 funded remote-service duration must also be defined before sale. Their detailed tests appear in Sections 4 and 10.</w:t>
      </w:r>
    </w:p>
    <w:p>
      <w:pPr>
        <w:pStyle w:val="SpecBody"/>
      </w:pPr>
      <w:r>
        <w:t>Global invariant: any code path that cannot establish a required fact shall return unknown/degraded/pending with a reason. It shall not invent activity, wellness, delivery or successful configuration application.</w:t>
      </w:r>
    </w:p>
    <w:p>
      <w:bookmarkStart w:id="3" w:name="architecture"/>
      <w:pPr>
        <w:pStyle w:val="Heading1"/>
        <w:pageBreakBefore/>
      </w:pPr>
      <w:r>
        <w:rPr>
          <w:color w:val="000000"/>
        </w:rPr>
        <w:t>3. Architecture and ownership</w:t>
      </w:r>
      <w:bookmarkEnd w:id="3"/>
    </w:p>
    <w:p>
      <w:pPr>
        <w:pStyle w:val="SpecBody"/>
      </w:pPr>
      <w:r>
        <w:t>Use a monorepo and a modular monolith backend. Keep hardware dependencies out of the pure rule engine so the same rule logic can run in host tests. Scale process replicas and database access before splitting business domains into services.</w:t>
      </w:r>
    </w:p>
    <w:p>
      <w:r>
        <w:drawing>
          <wp:inline xmlns:a="http://schemas.openxmlformats.org/drawingml/2006/main" xmlns:pic="http://schemas.openxmlformats.org/drawingml/2006/picture">
            <wp:extent cx="5440680" cy="3339427"/>
            <wp:docPr id="1" name="Picture 1" descr="Three ESP32-C3 nodes communicate with the local ESP32-S3 rules hub over encrypted ESP-NOW. The hub connects through MQTT to a backend and PostgreSQL. Caregivers use HTTPS/SSE and an external Web Push delivery path."/>
            <wp:cNvGraphicFramePr>
              <a:graphicFrameLocks noChangeAspect="1"/>
            </wp:cNvGraphicFramePr>
            <a:graphic>
              <a:graphicData uri="http://schemas.openxmlformats.org/drawingml/2006/picture">
                <pic:pic>
                  <pic:nvPicPr>
                    <pic:cNvPr id="0" name="requirements_architecture.png"/>
                    <pic:cNvPicPr/>
                  </pic:nvPicPr>
                  <pic:blipFill>
                    <a:blip r:embed="rId11"/>
                    <a:stretch>
                      <a:fillRect/>
                    </a:stretch>
                  </pic:blipFill>
                  <pic:spPr>
                    <a:xfrm>
                      <a:off x="0" y="0"/>
                      <a:ext cx="5440680" cy="3339427"/>
                    </a:xfrm>
                    <a:prstGeom prst="rect"/>
                  </pic:spPr>
                </pic:pic>
              </a:graphicData>
            </a:graphic>
          </wp:inline>
        </w:drawing>
      </w:r>
    </w:p>
    <w:p>
      <w:pPr>
        <w:pStyle w:val="TableCitation"/>
      </w:pPr>
      <w:r>
        <w:t>Figure 1. Local observation is independent of WAN connectivity; remote family routing is not. Arrows show interfaces, not guaranteed delivery. 2.1 note: the retained image is a historical architecture sketch; the current household baseline uses four ESP32-C3 nodes and no physical privacy switch.</w:t>
      </w:r>
    </w:p>
    <w:p>
      <w:pPr>
        <w:pStyle w:val="Heading2"/>
        <w:pageBreakBefore/>
      </w:pPr>
      <w:r>
        <w:rPr>
          <w:color w:val="000000"/>
        </w:rPr>
        <w:t>Technology baseline and authoritative owners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400"/>
        <w:gridCol w:w="4210"/>
        <w:gridCol w:w="3750"/>
      </w:tblGrid>
      <w:tr>
        <w:trPr>
          <w:cantSplit/>
          <w:tblHeader/>
        </w:trPr>
        <w:tc>
          <w:tcPr>
            <w:tcW w:type="dxa" w:w="1400"/>
            <w:tcMar>
              <w:top w:w="80" w:type="dxa"/>
              <w:bottom w:w="80" w:type="dxa"/>
              <w:start w:w="120" w:type="dxa"/>
              <w:end w:w="120" w:type="dxa"/>
            </w:tcMar>
            <w:shd w:fill="E8EEF5"/>
          </w:tcPr>
          <w:p>
            <w:pPr>
              <w:pStyle w:val="TableText"/>
            </w:pPr>
            <w:r>
              <w:rPr>
                <w:b/>
              </w:rPr>
              <w:t>Layer</w:t>
            </w:r>
          </w:p>
        </w:tc>
        <w:tc>
          <w:tcPr>
            <w:tcW w:type="dxa" w:w="4210"/>
            <w:tcMar>
              <w:top w:w="80" w:type="dxa"/>
              <w:bottom w:w="80" w:type="dxa"/>
              <w:start w:w="120" w:type="dxa"/>
              <w:end w:w="120" w:type="dxa"/>
            </w:tcMar>
            <w:shd w:fill="E8EEF5"/>
          </w:tcPr>
          <w:p>
            <w:pPr>
              <w:pStyle w:val="TableText"/>
            </w:pPr>
            <w:r>
              <w:rPr>
                <w:b/>
              </w:rPr>
              <w:t>Proposed choice</w:t>
            </w:r>
          </w:p>
        </w:tc>
        <w:tc>
          <w:tcPr>
            <w:tcW w:type="dxa" w:w="3750"/>
            <w:tcMar>
              <w:top w:w="80" w:type="dxa"/>
              <w:bottom w:w="80" w:type="dxa"/>
              <w:start w:w="120" w:type="dxa"/>
              <w:end w:w="120" w:type="dxa"/>
            </w:tcMar>
            <w:shd w:fill="E8EEF5"/>
          </w:tcPr>
          <w:p>
            <w:pPr>
              <w:pStyle w:val="TableText"/>
            </w:pPr>
            <w:r>
              <w:rPr>
                <w:b/>
              </w:rPr>
              <w:t>Owns / does not own</w:t>
            </w:r>
          </w:p>
        </w:tc>
      </w:tr>
      <w:tr>
        <w:trPr>
          <w:cantSplit/>
        </w:trPr>
        <w:tc>
          <w:tcPr>
            <w:tcW w:type="dxa" w:w="1400"/>
            <w:tcMar>
              <w:top w:w="80" w:type="dxa"/>
              <w:bottom w:w="80" w:type="dxa"/>
              <w:start w:w="120" w:type="dxa"/>
              <w:end w:w="120" w:type="dxa"/>
            </w:tcMar>
          </w:tcPr>
          <w:p>
            <w:pPr>
              <w:pStyle w:val="TableText"/>
            </w:pPr>
            <w:r>
              <w:t>Node + hub firmware</w:t>
            </w:r>
          </w:p>
        </w:tc>
        <w:tc>
          <w:tcPr>
            <w:tcW w:type="dxa" w:w="4210"/>
            <w:tcMar>
              <w:top w:w="80" w:type="dxa"/>
              <w:bottom w:w="80" w:type="dxa"/>
              <w:start w:w="120" w:type="dxa"/>
              <w:end w:w="120" w:type="dxa"/>
            </w:tcMar>
          </w:tcPr>
          <w:p>
            <w:pPr>
              <w:pStyle w:val="TableText"/>
            </w:pPr>
            <w:r>
              <w:t>ESP-IDF, C/C++; FreeRTOS; fixed-size messages. Start a compatibility spike on the verified SDK documentation baseline, then pin the tested tag/commit.</w:t>
            </w:r>
          </w:p>
        </w:tc>
        <w:tc>
          <w:tcPr>
            <w:tcW w:type="dxa" w:w="3750"/>
            <w:tcMar>
              <w:top w:w="80" w:type="dxa"/>
              <w:bottom w:w="80" w:type="dxa"/>
              <w:start w:w="120" w:type="dxa"/>
              <w:end w:w="120" w:type="dxa"/>
            </w:tcMar>
          </w:tcPr>
          <w:p>
            <w:pPr>
              <w:pStyle w:val="TableText"/>
            </w:pPr>
            <w:r>
              <w:t>Node owns sampling; hub owns all routine windows and routine/contact incident creation.</w:t>
            </w:r>
          </w:p>
        </w:tc>
      </w:tr>
      <w:tr>
        <w:trPr>
          <w:cantSplit/>
        </w:trPr>
        <w:tc>
          <w:tcPr>
            <w:tcW w:type="dxa" w:w="1400"/>
            <w:tcMar>
              <w:top w:w="80" w:type="dxa"/>
              <w:bottom w:w="80" w:type="dxa"/>
              <w:start w:w="120" w:type="dxa"/>
              <w:end w:w="120" w:type="dxa"/>
            </w:tcMar>
          </w:tcPr>
          <w:p>
            <w:pPr>
              <w:pStyle w:val="TableText"/>
            </w:pPr>
            <w:r>
              <w:t>Rules core</w:t>
            </w:r>
          </w:p>
        </w:tc>
        <w:tc>
          <w:tcPr>
            <w:tcW w:type="dxa" w:w="4210"/>
            <w:tcMar>
              <w:top w:w="80" w:type="dxa"/>
              <w:bottom w:w="80" w:type="dxa"/>
              <w:start w:w="120" w:type="dxa"/>
              <w:end w:w="120" w:type="dxa"/>
            </w:tcMar>
          </w:tcPr>
          <w:p>
            <w:pPr>
              <w:pStyle w:val="TableText"/>
            </w:pPr>
            <w:r>
              <w:t>Pure C++ reducer with injected clock/events; compiled into hub and host tests.</w:t>
            </w:r>
          </w:p>
        </w:tc>
        <w:tc>
          <w:tcPr>
            <w:tcW w:type="dxa" w:w="3750"/>
            <w:tcMar>
              <w:top w:w="80" w:type="dxa"/>
              <w:bottom w:w="80" w:type="dxa"/>
              <w:start w:w="120" w:type="dxa"/>
              <w:end w:w="120" w:type="dxa"/>
            </w:tcMar>
          </w:tcPr>
          <w:p>
            <w:pPr>
              <w:pStyle w:val="TableText"/>
            </w:pPr>
            <w:r>
              <w:t>Deterministic decisions only; no GPIO, database, TLS or push calls.</w:t>
            </w:r>
          </w:p>
        </w:tc>
      </w:tr>
      <w:tr>
        <w:trPr>
          <w:cantSplit/>
        </w:trPr>
        <w:tc>
          <w:tcPr>
            <w:tcW w:type="dxa" w:w="1400"/>
            <w:tcMar>
              <w:top w:w="80" w:type="dxa"/>
              <w:bottom w:w="80" w:type="dxa"/>
              <w:start w:w="120" w:type="dxa"/>
              <w:end w:w="120" w:type="dxa"/>
            </w:tcMar>
          </w:tcPr>
          <w:p>
            <w:pPr>
              <w:pStyle w:val="TableText"/>
            </w:pPr>
            <w:r>
              <w:t>Backend</w:t>
            </w:r>
          </w:p>
        </w:tc>
        <w:tc>
          <w:tcPr>
            <w:tcW w:type="dxa" w:w="4210"/>
            <w:tcMar>
              <w:top w:w="80" w:type="dxa"/>
              <w:bottom w:w="80" w:type="dxa"/>
              <w:start w:w="120" w:type="dxa"/>
              <w:end w:w="120" w:type="dxa"/>
            </w:tcMar>
          </w:tcPr>
          <w:p>
            <w:pPr>
              <w:pStyle w:val="TableText"/>
            </w:pPr>
            <w:r>
              <w:t>Python FastAPI, PostgreSQL, Mosquitto; API + worker processes from one codebase.</w:t>
            </w:r>
          </w:p>
        </w:tc>
        <w:tc>
          <w:tcPr>
            <w:tcW w:type="dxa" w:w="3750"/>
            <w:tcMar>
              <w:top w:w="80" w:type="dxa"/>
              <w:bottom w:w="80" w:type="dxa"/>
              <w:start w:w="120" w:type="dxa"/>
              <w:end w:w="120" w:type="dxa"/>
            </w:tcMar>
          </w:tcPr>
          <w:p>
            <w:pPr>
              <w:pStyle w:val="TableText"/>
            </w:pPr>
            <w:r>
              <w:t>Access, durable cloud ingest, caregiver workflow, delivery, summaries and independent reachability incidents.</w:t>
            </w:r>
          </w:p>
        </w:tc>
      </w:tr>
      <w:tr>
        <w:trPr>
          <w:cantSplit/>
        </w:trPr>
        <w:tc>
          <w:tcPr>
            <w:tcW w:type="dxa" w:w="1400"/>
            <w:tcMar>
              <w:top w:w="80" w:type="dxa"/>
              <w:bottom w:w="80" w:type="dxa"/>
              <w:start w:w="120" w:type="dxa"/>
              <w:end w:w="120" w:type="dxa"/>
            </w:tcMar>
          </w:tcPr>
          <w:p>
            <w:pPr>
              <w:pStyle w:val="TableText"/>
            </w:pPr>
            <w:r>
              <w:t>App</w:t>
            </w:r>
          </w:p>
        </w:tc>
        <w:tc>
          <w:tcPr>
            <w:tcW w:type="dxa" w:w="4210"/>
            <w:tcMar>
              <w:top w:w="80" w:type="dxa"/>
              <w:bottom w:w="80" w:type="dxa"/>
              <w:start w:w="120" w:type="dxa"/>
              <w:end w:w="120" w:type="dxa"/>
            </w:tcMar>
          </w:tcPr>
          <w:p>
            <w:pPr>
              <w:pStyle w:val="TableText"/>
            </w:pPr>
            <w:r>
              <w:t>React + TypeScript PWA, HTTPS API, SSE foreground updates and standard Web Push.</w:t>
            </w:r>
          </w:p>
        </w:tc>
        <w:tc>
          <w:tcPr>
            <w:tcW w:type="dxa" w:w="3750"/>
            <w:tcMar>
              <w:top w:w="80" w:type="dxa"/>
              <w:bottom w:w="80" w:type="dxa"/>
              <w:start w:w="120" w:type="dxa"/>
              <w:end w:w="120" w:type="dxa"/>
            </w:tcMar>
          </w:tcPr>
          <w:p>
            <w:pPr>
              <w:pStyle w:val="TableText"/>
            </w:pPr>
            <w:r>
              <w:t>Presentation and user commands; never independently decides that a missed routine occurred.</w:t>
            </w:r>
          </w:p>
        </w:tc>
      </w:tr>
      <w:tr>
        <w:trPr>
          <w:cantSplit/>
        </w:trPr>
        <w:tc>
          <w:tcPr>
            <w:tcW w:type="dxa" w:w="1400"/>
            <w:tcMar>
              <w:top w:w="80" w:type="dxa"/>
              <w:bottom w:w="80" w:type="dxa"/>
              <w:start w:w="120" w:type="dxa"/>
              <w:end w:w="120" w:type="dxa"/>
            </w:tcMar>
          </w:tcPr>
          <w:p>
            <w:pPr>
              <w:pStyle w:val="TableText"/>
            </w:pPr>
            <w:r>
              <w:t>Identity / notification</w:t>
            </w:r>
          </w:p>
        </w:tc>
        <w:tc>
          <w:tcPr>
            <w:tcW w:type="dxa" w:w="4210"/>
            <w:tcMar>
              <w:top w:w="80" w:type="dxa"/>
              <w:bottom w:w="80" w:type="dxa"/>
              <w:start w:w="120" w:type="dxa"/>
              <w:end w:w="120" w:type="dxa"/>
            </w:tcMar>
          </w:tcPr>
          <w:p>
            <w:pPr>
              <w:pStyle w:val="TableText"/>
            </w:pPr>
            <w:r>
              <w:t>Managed OIDC adapter; provider choice is a procurement gate. Web Push VAPID service credentials.</w:t>
            </w:r>
          </w:p>
        </w:tc>
        <w:tc>
          <w:tcPr>
            <w:tcW w:type="dxa" w:w="3750"/>
            <w:tcMar>
              <w:top w:w="80" w:type="dxa"/>
              <w:bottom w:w="80" w:type="dxa"/>
              <w:start w:w="120" w:type="dxa"/>
              <w:end w:w="120" w:type="dxa"/>
            </w:tcMar>
          </w:tcPr>
          <w:p>
            <w:pPr>
              <w:pStyle w:val="TableText"/>
            </w:pPr>
            <w:r>
              <w:t>Provider authentication and push transport; neither provides a staffed responder.</w:t>
            </w:r>
          </w:p>
        </w:tc>
      </w:tr>
      <w:tr>
        <w:trPr>
          <w:cantSplit/>
        </w:trPr>
        <w:tc>
          <w:tcPr>
            <w:tcW w:type="dxa" w:w="1400"/>
            <w:tcMar>
              <w:top w:w="80" w:type="dxa"/>
              <w:bottom w:w="80" w:type="dxa"/>
              <w:start w:w="120" w:type="dxa"/>
              <w:end w:w="120" w:type="dxa"/>
            </w:tcMar>
          </w:tcPr>
          <w:p>
            <w:pPr>
              <w:pStyle w:val="TableText"/>
            </w:pPr>
            <w:r>
              <w:t>Deployment</w:t>
            </w:r>
          </w:p>
        </w:tc>
        <w:tc>
          <w:tcPr>
            <w:tcW w:type="dxa" w:w="4210"/>
            <w:tcMar>
              <w:top w:w="80" w:type="dxa"/>
              <w:bottom w:w="80" w:type="dxa"/>
              <w:start w:w="120" w:type="dxa"/>
              <w:end w:w="120" w:type="dxa"/>
            </w:tcMar>
          </w:tcPr>
          <w:p>
            <w:pPr>
              <w:pStyle w:val="TableText"/>
            </w:pPr>
            <w:r>
              <w:t>Containerized pilot on a small host, encrypted backups and external monitoring.</w:t>
            </w:r>
          </w:p>
        </w:tc>
        <w:tc>
          <w:tcPr>
            <w:tcW w:type="dxa" w:w="3750"/>
            <w:tcMar>
              <w:top w:w="80" w:type="dxa"/>
              <w:bottom w:w="80" w:type="dxa"/>
              <w:start w:w="120" w:type="dxa"/>
              <w:end w:w="120" w:type="dxa"/>
            </w:tcMar>
          </w:tcPr>
          <w:p>
            <w:pPr>
              <w:pStyle w:val="TableText"/>
            </w:pPr>
            <w:r>
              <w:t>Scale within a region first; avoid Kubernetes, Kafka and per-feature services in P0.</w:t>
            </w:r>
          </w:p>
        </w:tc>
      </w:tr>
    </w:tbl>
    <w:p>
      <w:pPr>
        <w:pStyle w:val="TableSpacer"/>
      </w:pPr>
    </w:p>
    <w:p>
      <w:pPr>
        <w:pStyle w:val="SpecBody"/>
      </w:pPr>
      <w:r>
        <w:t>Cloud SDK/library versions shall be locked after the integration spike, with a reproducible build and vulnerability scan. A version number in current documentation is not proof it has been tested on the purchased boards.</w:t>
      </w:r>
    </w:p>
    <w:p>
      <w:pPr>
        <w:pStyle w:val="Heading2"/>
      </w:pPr>
      <w:r>
        <w:rPr>
          <w:color w:val="000000"/>
        </w:rPr>
        <w:t>Single-writer rules</w:t>
      </w:r>
    </w:p>
    <w:p>
      <w:pPr>
        <w:pStyle w:val="ListBullet"/>
        <w:numPr>
          <w:ilvl w:val="0"/>
          <w:numId w:val="50"/>
        </w:numPr>
      </w:pPr>
      <w:r>
        <w:t>Hub: routine/contact incident IDs, window state, local evidence and applied configuration. Backend shall not regenerate an absence incident from an independent timer.</w:t>
      </w:r>
    </w:p>
    <w:p>
      <w:pPr>
        <w:pStyle w:val="ListBullet"/>
        <w:numPr>
          <w:ilvl w:val="0"/>
          <w:numId w:val="50"/>
        </w:numPr>
      </w:pPr>
      <w:r>
        <w:t>Backend: human claims, resolution, escalation and notification attempts. Hub projects those changes; it does not independently escalate to caregivers.</w:t>
      </w:r>
    </w:p>
    <w:p>
      <w:pPr>
        <w:pStyle w:val="ListBullet"/>
        <w:numPr>
          <w:ilvl w:val="0"/>
          <w:numId w:val="50"/>
        </w:numPr>
      </w:pPr>
      <w:r>
        <w:t>Backend health service: HUB_UNREACHABLE incidents, with a separate rule/ID namespace. Only verified new hub traffic closes reachability; it does not close a contact request.</w:t>
      </w:r>
    </w:p>
    <w:p>
      <w:pPr>
        <w:pStyle w:val="ListBullet"/>
        <w:numPr>
          <w:ilvl w:val="0"/>
          <w:numId w:val="50"/>
        </w:numPr>
      </w:pPr>
      <w:r>
        <w:t>App: no authoritative incident state while offline. Show pending commands and failed acknowledgements rather than pretending they succeeded.</w:t>
      </w:r>
    </w:p>
    <w:p>
      <w:pPr>
        <w:pStyle w:val="Heading2"/>
        <w:pageBreakBefore/>
      </w:pPr>
      <w:r>
        <w:rPr>
          <w:color w:val="000000"/>
        </w:rPr>
        <w:t>32 modules: bounded responsibilities, not 32 services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650"/>
        <w:gridCol w:w="6360"/>
      </w:tblGrid>
      <w:tr>
        <w:trPr>
          <w:cantSplit/>
          <w:tblHeader/>
        </w:trPr>
        <w:tc>
          <w:tcPr>
            <w:tcW w:type="dxa" w:w="2350"/>
            <w:tcMar>
              <w:top w:w="80" w:type="dxa"/>
              <w:bottom w:w="80" w:type="dxa"/>
              <w:start w:w="120" w:type="dxa"/>
              <w:end w:w="120" w:type="dxa"/>
            </w:tcMar>
            <w:shd w:fill="E8EEF5"/>
          </w:tcPr>
          <w:p>
            <w:pPr>
              <w:pStyle w:val="TableText"/>
            </w:pPr>
            <w:r>
              <w:rPr>
                <w:b/>
              </w:rPr>
              <w:t>Group</w:t>
            </w:r>
          </w:p>
        </w:tc>
        <w:tc>
          <w:tcPr>
            <w:tcW w:type="dxa" w:w="650"/>
            <w:tcMar>
              <w:top w:w="80" w:type="dxa"/>
              <w:bottom w:w="80" w:type="dxa"/>
              <w:start w:w="120" w:type="dxa"/>
              <w:end w:w="120" w:type="dxa"/>
            </w:tcMar>
            <w:shd w:fill="E8EEF5"/>
          </w:tcPr>
          <w:p>
            <w:pPr>
              <w:pStyle w:val="TableText"/>
            </w:pPr>
            <w:r>
              <w:rPr>
                <w:b/>
              </w:rPr>
              <w:t>#</w:t>
            </w:r>
          </w:p>
        </w:tc>
        <w:tc>
          <w:tcPr>
            <w:tcW w:type="dxa" w:w="6360"/>
            <w:tcMar>
              <w:top w:w="80" w:type="dxa"/>
              <w:bottom w:w="80" w:type="dxa"/>
              <w:start w:w="120" w:type="dxa"/>
              <w:end w:w="120" w:type="dxa"/>
            </w:tcMar>
            <w:shd w:fill="E8EEF5"/>
          </w:tcPr>
          <w:p>
            <w:pPr>
              <w:pStyle w:val="TableText"/>
            </w:pPr>
            <w:r>
              <w:rPr>
                <w:b/>
              </w:rPr>
              <w:t>Boundary</w:t>
            </w:r>
          </w:p>
        </w:tc>
      </w:tr>
      <w:tr>
        <w:trPr>
          <w:cantSplit/>
        </w:trPr>
        <w:tc>
          <w:tcPr>
            <w:tcW w:type="dxa" w:w="2350"/>
            <w:tcMar>
              <w:top w:w="80" w:type="dxa"/>
              <w:bottom w:w="80" w:type="dxa"/>
              <w:start w:w="120" w:type="dxa"/>
              <w:end w:w="120" w:type="dxa"/>
            </w:tcMar>
          </w:tcPr>
          <w:p>
            <w:pPr>
              <w:pStyle w:val="TableText"/>
            </w:pPr>
            <w:r>
              <w:t>Node N01–N05</w:t>
            </w:r>
          </w:p>
        </w:tc>
        <w:tc>
          <w:tcPr>
            <w:tcW w:type="dxa" w:w="650"/>
            <w:tcMar>
              <w:top w:w="80" w:type="dxa"/>
              <w:bottom w:w="80" w:type="dxa"/>
              <w:start w:w="120" w:type="dxa"/>
              <w:end w:w="120" w:type="dxa"/>
            </w:tcMar>
          </w:tcPr>
          <w:p>
            <w:pPr>
              <w:pStyle w:val="TableText"/>
            </w:pPr>
            <w:r>
              <w:t>5</w:t>
            </w:r>
          </w:p>
        </w:tc>
        <w:tc>
          <w:tcPr>
            <w:tcW w:type="dxa" w:w="6360"/>
            <w:tcMar>
              <w:top w:w="80" w:type="dxa"/>
              <w:bottom w:w="80" w:type="dxa"/>
              <w:start w:w="120" w:type="dxa"/>
              <w:end w:w="120" w:type="dxa"/>
            </w:tcMar>
          </w:tcPr>
          <w:p>
            <w:pPr>
              <w:pStyle w:val="TableText"/>
            </w:pPr>
            <w:r>
              <w:t>Sensors, radio, power, lifecycle and storage.</w:t>
            </w:r>
          </w:p>
        </w:tc>
      </w:tr>
      <w:tr>
        <w:trPr>
          <w:cantSplit/>
        </w:trPr>
        <w:tc>
          <w:tcPr>
            <w:tcW w:type="dxa" w:w="2350"/>
            <w:tcMar>
              <w:top w:w="80" w:type="dxa"/>
              <w:bottom w:w="80" w:type="dxa"/>
              <w:start w:w="120" w:type="dxa"/>
              <w:end w:w="120" w:type="dxa"/>
            </w:tcMar>
          </w:tcPr>
          <w:p>
            <w:pPr>
              <w:pStyle w:val="TableText"/>
            </w:pPr>
            <w:r>
              <w:t>Hub H01–H08</w:t>
            </w:r>
          </w:p>
        </w:tc>
        <w:tc>
          <w:tcPr>
            <w:tcW w:type="dxa" w:w="650"/>
            <w:tcMar>
              <w:top w:w="80" w:type="dxa"/>
              <w:bottom w:w="80" w:type="dxa"/>
              <w:start w:w="120" w:type="dxa"/>
              <w:end w:w="120" w:type="dxa"/>
            </w:tcMar>
          </w:tcPr>
          <w:p>
            <w:pPr>
              <w:pStyle w:val="TableText"/>
            </w:pPr>
            <w:r>
              <w:t>8</w:t>
            </w:r>
          </w:p>
        </w:tc>
        <w:tc>
          <w:tcPr>
            <w:tcW w:type="dxa" w:w="6360"/>
            <w:tcMar>
              <w:top w:w="80" w:type="dxa"/>
              <w:bottom w:w="80" w:type="dxa"/>
              <w:start w:w="120" w:type="dxa"/>
              <w:end w:w="120" w:type="dxa"/>
            </w:tcMar>
          </w:tcPr>
          <w:p>
            <w:pPr>
              <w:pStyle w:val="TableText"/>
            </w:pPr>
            <w:r>
              <w:t>Ingest, persistence, time, coverage, rules, resident UI, config and cloud link.</w:t>
            </w:r>
          </w:p>
        </w:tc>
      </w:tr>
      <w:tr>
        <w:trPr>
          <w:cantSplit/>
        </w:trPr>
        <w:tc>
          <w:tcPr>
            <w:tcW w:type="dxa" w:w="2350"/>
            <w:tcMar>
              <w:top w:w="80" w:type="dxa"/>
              <w:bottom w:w="80" w:type="dxa"/>
              <w:start w:w="120" w:type="dxa"/>
              <w:end w:w="120" w:type="dxa"/>
            </w:tcMar>
          </w:tcPr>
          <w:p>
            <w:pPr>
              <w:pStyle w:val="TableText"/>
            </w:pPr>
            <w:r>
              <w:t>Backend B01–B08</w:t>
            </w:r>
          </w:p>
        </w:tc>
        <w:tc>
          <w:tcPr>
            <w:tcW w:type="dxa" w:w="650"/>
            <w:tcMar>
              <w:top w:w="80" w:type="dxa"/>
              <w:bottom w:w="80" w:type="dxa"/>
              <w:start w:w="120" w:type="dxa"/>
              <w:end w:w="120" w:type="dxa"/>
            </w:tcMar>
          </w:tcPr>
          <w:p>
            <w:pPr>
              <w:pStyle w:val="TableText"/>
            </w:pPr>
            <w:r>
              <w:t>8</w:t>
            </w:r>
          </w:p>
        </w:tc>
        <w:tc>
          <w:tcPr>
            <w:tcW w:type="dxa" w:w="6360"/>
            <w:tcMar>
              <w:top w:w="80" w:type="dxa"/>
              <w:bottom w:w="80" w:type="dxa"/>
              <w:start w:w="120" w:type="dxa"/>
              <w:end w:w="120" w:type="dxa"/>
            </w:tcMar>
          </w:tcPr>
          <w:p>
            <w:pPr>
              <w:pStyle w:val="TableText"/>
            </w:pPr>
            <w:r>
              <w:t>Identity, home/consent, ingest, incidents, notifications, fleet, queries and operations.</w:t>
            </w:r>
          </w:p>
        </w:tc>
      </w:tr>
      <w:tr>
        <w:trPr>
          <w:cantSplit/>
        </w:trPr>
        <w:tc>
          <w:tcPr>
            <w:tcW w:type="dxa" w:w="2350"/>
            <w:tcMar>
              <w:top w:w="80" w:type="dxa"/>
              <w:bottom w:w="80" w:type="dxa"/>
              <w:start w:w="120" w:type="dxa"/>
              <w:end w:w="120" w:type="dxa"/>
            </w:tcMar>
          </w:tcPr>
          <w:p>
            <w:pPr>
              <w:pStyle w:val="TableText"/>
            </w:pPr>
            <w:r>
              <w:t>App A01–A05</w:t>
            </w:r>
          </w:p>
        </w:tc>
        <w:tc>
          <w:tcPr>
            <w:tcW w:type="dxa" w:w="650"/>
            <w:tcMar>
              <w:top w:w="80" w:type="dxa"/>
              <w:bottom w:w="80" w:type="dxa"/>
              <w:start w:w="120" w:type="dxa"/>
              <w:end w:w="120" w:type="dxa"/>
            </w:tcMar>
          </w:tcPr>
          <w:p>
            <w:pPr>
              <w:pStyle w:val="TableText"/>
            </w:pPr>
            <w:r>
              <w:t>5</w:t>
            </w:r>
          </w:p>
        </w:tc>
        <w:tc>
          <w:tcPr>
            <w:tcW w:type="dxa" w:w="6360"/>
            <w:tcMar>
              <w:top w:w="80" w:type="dxa"/>
              <w:bottom w:w="80" w:type="dxa"/>
              <w:start w:w="120" w:type="dxa"/>
              <w:end w:w="120" w:type="dxa"/>
            </w:tcMar>
          </w:tcPr>
          <w:p>
            <w:pPr>
              <w:pStyle w:val="TableText"/>
            </w:pPr>
            <w:r>
              <w:t>Onboarding, home, routine settings, incidents and platform integration.</w:t>
            </w:r>
          </w:p>
        </w:tc>
      </w:tr>
      <w:tr>
        <w:trPr>
          <w:cantSplit/>
        </w:trPr>
        <w:tc>
          <w:tcPr>
            <w:tcW w:type="dxa" w:w="2350"/>
            <w:tcMar>
              <w:top w:w="80" w:type="dxa"/>
              <w:bottom w:w="80" w:type="dxa"/>
              <w:start w:w="120" w:type="dxa"/>
              <w:end w:w="120" w:type="dxa"/>
            </w:tcMar>
          </w:tcPr>
          <w:p>
            <w:pPr>
              <w:pStyle w:val="TableText"/>
            </w:pPr>
            <w:r>
              <w:t>Shared S01–S03</w:t>
            </w:r>
          </w:p>
        </w:tc>
        <w:tc>
          <w:tcPr>
            <w:tcW w:type="dxa" w:w="650"/>
            <w:tcMar>
              <w:top w:w="80" w:type="dxa"/>
              <w:bottom w:w="80" w:type="dxa"/>
              <w:start w:w="120" w:type="dxa"/>
              <w:end w:w="120" w:type="dxa"/>
            </w:tcMar>
          </w:tcPr>
          <w:p>
            <w:pPr>
              <w:pStyle w:val="TableText"/>
            </w:pPr>
            <w:r>
              <w:t>3</w:t>
            </w:r>
          </w:p>
        </w:tc>
        <w:tc>
          <w:tcPr>
            <w:tcW w:type="dxa" w:w="6360"/>
            <w:tcMar>
              <w:top w:w="80" w:type="dxa"/>
              <w:bottom w:w="80" w:type="dxa"/>
              <w:start w:w="120" w:type="dxa"/>
              <w:end w:w="120" w:type="dxa"/>
            </w:tcMar>
          </w:tcPr>
          <w:p>
            <w:pPr>
              <w:pStyle w:val="TableText"/>
            </w:pPr>
            <w:r>
              <w:t>Contracts, deterministic rule core and firmware security/update utilities.</w:t>
            </w:r>
          </w:p>
        </w:tc>
      </w:tr>
      <w:tr>
        <w:trPr>
          <w:cantSplit/>
        </w:trPr>
        <w:tc>
          <w:tcPr>
            <w:tcW w:type="dxa" w:w="2350"/>
            <w:tcMar>
              <w:top w:w="80" w:type="dxa"/>
              <w:bottom w:w="80" w:type="dxa"/>
              <w:start w:w="120" w:type="dxa"/>
              <w:end w:w="120" w:type="dxa"/>
            </w:tcMar>
          </w:tcPr>
          <w:p>
            <w:pPr>
              <w:pStyle w:val="TableText"/>
            </w:pPr>
            <w:r>
              <w:t>Test/operations T01–T03</w:t>
            </w:r>
          </w:p>
        </w:tc>
        <w:tc>
          <w:tcPr>
            <w:tcW w:type="dxa" w:w="650"/>
            <w:tcMar>
              <w:top w:w="80" w:type="dxa"/>
              <w:bottom w:w="80" w:type="dxa"/>
              <w:start w:w="120" w:type="dxa"/>
              <w:end w:w="120" w:type="dxa"/>
            </w:tcMar>
          </w:tcPr>
          <w:p>
            <w:pPr>
              <w:pStyle w:val="TableText"/>
            </w:pPr>
            <w:r>
              <w:t>3</w:t>
            </w:r>
          </w:p>
        </w:tc>
        <w:tc>
          <w:tcPr>
            <w:tcW w:type="dxa" w:w="6360"/>
            <w:tcMar>
              <w:top w:w="80" w:type="dxa"/>
              <w:bottom w:w="80" w:type="dxa"/>
              <w:start w:w="120" w:type="dxa"/>
              <w:end w:w="120" w:type="dxa"/>
            </w:tcMar>
          </w:tcPr>
          <w:p>
            <w:pPr>
              <w:pStyle w:val="TableText"/>
            </w:pPr>
            <w:r>
              <w:t>Simulation, hardware-in-loop and deployment/runbooks.</w:t>
            </w:r>
          </w:p>
        </w:tc>
      </w:tr>
    </w:tbl>
    <w:p>
      <w:pPr>
        <w:pStyle w:val="TableSpacer"/>
      </w:pPr>
    </w:p>
    <w:p>
      <w:pPr>
        <w:pStyle w:val="SpecBody"/>
      </w:pPr>
      <w:r>
        <w:t>Within firmware, use static queues and a small number of tasks rather than one task per module. Proposed hub tasks: ingest dispatcher, storage/rules worker, resident UI, cloud worker and maintenance/health. A single state-owning worker serializes rule/config transitions; callbacks enqueue bounded data and never write flash, block on the network or play audio. Resident inputs have reserved admission capacity and priority over diagnostics.</w:t>
      </w:r>
    </w:p>
    <w:p>
      <w:pPr>
        <w:pStyle w:val="SpecBody"/>
      </w:pPr>
      <w:r>
        <w:t>Module interfaces use immutable value objects and explicit Result/Error types. Inject Clock, EventStore, RadioTransport and Notifier ports into tests. Backend services access repositories through interfaces; API handlers perform authentication/validation and invoke services, not raw cross-domain SQL. Dependency direction: app/transport adapters → application services → domain/contracts. Domain code never imports a UI/provider SDK.</w:t>
      </w:r>
    </w:p>
    <w:p>
      <w:pPr>
        <w:pStyle w:val="Heading2"/>
      </w:pPr>
      <w:r>
        <w:rPr>
          <w:color w:val="000000"/>
        </w:rPr>
        <w:t>How to read requirement-to-module ownership</w:t>
      </w:r>
    </w:p>
    <w:p>
      <w:pPr>
        <w:pStyle w:val="SpecBody"/>
      </w:pPr>
      <w:r>
        <w:t>A requirement ID is a stable behavioral contract; module IDs name the code boundaries that collaborate to satisfy it. A comma-separated list is ownership traceability, not an execution order and not a set of separate services. The first prefix indicates the deployment/code layer.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100"/>
        <w:gridCol w:w="2350"/>
        <w:gridCol w:w="5910"/>
      </w:tblGrid>
      <w:tr>
        <w:trPr>
          <w:cantSplit/>
          <w:tblHeader w:val="true"/>
        </w:trPr>
        <w:tc>
          <w:tcPr>
            <w:tcW w:type="dxa" w:w="1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Prefix</w:t>
            </w:r>
          </w:p>
        </w:tc>
        <w:tc>
          <w:tcPr>
            <w:tcW w:type="dxa" w:w="23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Layer</w:t>
            </w:r>
          </w:p>
        </w:tc>
        <w:tc>
          <w:tcPr>
            <w:tcW w:type="dxa" w:w="59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 in this baseline</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N</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Node firmware</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ESP32-C3 sampling, retained work, radio, power and lifecycle</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H</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Hub firmware</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ESP32 hub admission, persistence, time, coverage, rules, UI, config and cloud sync</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B</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Backend</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Identity, home/consent, ingest, incidents, notification, fleet, queries and operations</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A</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Caregiver application</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Onboarding, home view, routines, incident actions and browser platform</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S</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Shared</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Wire contracts, deterministic rule core and firmware security/update policy</w:t>
            </w:r>
          </w:p>
        </w:tc>
      </w:tr>
      <w:tr>
        <w:trPr>
          <w:cantSplit/>
        </w:trPr>
        <w:tc>
          <w:tcPr>
            <w:tcW w:type="dxa" w:w="1100"/>
            <w:tcMar>
              <w:top w:w="80" w:type="dxa"/>
              <w:start w:w="120" w:type="dxa"/>
              <w:bottom w:w="80" w:type="dxa"/>
              <w:end w:w="120" w:type="dxa"/>
            </w:tcMar>
            <w:vAlign w:val="center"/>
          </w:tcPr>
          <w:p>
            <w:pPr>
              <w:spacing w:before="0" w:after="60" w:line="240" w:lineRule="auto"/>
            </w:pPr>
            <w:r>
              <w:rPr>
                <w:rFonts w:ascii="Calibri" w:hAnsi="Calibri"/>
                <w:sz w:val="17"/>
              </w:rPr>
              <w:t>T</w:t>
            </w:r>
          </w:p>
        </w:tc>
        <w:tc>
          <w:tcPr>
            <w:tcW w:type="dxa" w:w="2350"/>
            <w:tcMar>
              <w:top w:w="80" w:type="dxa"/>
              <w:start w:w="120" w:type="dxa"/>
              <w:bottom w:w="80" w:type="dxa"/>
              <w:end w:w="120" w:type="dxa"/>
            </w:tcMar>
            <w:vAlign w:val="center"/>
          </w:tcPr>
          <w:p>
            <w:pPr>
              <w:spacing w:before="0" w:after="60" w:line="240" w:lineRule="auto"/>
            </w:pPr>
            <w:r>
              <w:rPr>
                <w:rFonts w:ascii="Calibri" w:hAnsi="Calibri"/>
                <w:sz w:val="17"/>
              </w:rPr>
              <w:t>Verification/operations</w:t>
            </w:r>
          </w:p>
        </w:tc>
        <w:tc>
          <w:tcPr>
            <w:tcW w:type="dxa" w:w="5910"/>
            <w:tcMar>
              <w:top w:w="80" w:type="dxa"/>
              <w:start w:w="120" w:type="dxa"/>
              <w:bottom w:w="80" w:type="dxa"/>
              <w:end w:w="120" w:type="dxa"/>
            </w:tcMar>
            <w:vAlign w:val="center"/>
          </w:tcPr>
          <w:p>
            <w:pPr>
              <w:spacing w:before="0" w:after="60" w:line="240" w:lineRule="auto"/>
            </w:pPr>
            <w:r>
              <w:rPr>
                <w:rFonts w:ascii="Calibri" w:hAnsi="Calibri"/>
                <w:sz w:val="17"/>
              </w:rPr>
              <w:t>Simulation/CI, HIL tooling and deployment/runbook assets</w:t>
            </w:r>
          </w:p>
        </w:tc>
      </w:tr>
    </w:tbl>
    <w:p>
      <w:pPr>
        <w:pStyle w:val="Heading3"/>
      </w:pPr>
      <w:r>
        <w:rPr>
          <w:color w:val="000000"/>
        </w:rPr>
        <w:t>F01 example flow</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800"/>
        <w:gridCol w:w="1300"/>
        <w:gridCol w:w="7260"/>
      </w:tblGrid>
      <w:tr>
        <w:trPr>
          <w:cantSplit/>
          <w:tblHeader w:val="true"/>
        </w:trPr>
        <w:tc>
          <w:tcPr>
            <w:tcW w:type="dxa" w:w="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Step</w:t>
            </w:r>
          </w:p>
        </w:tc>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Owner</w:t>
            </w:r>
          </w:p>
        </w:tc>
        <w:tc>
          <w:tcPr>
            <w:tcW w:type="dxa" w:w="72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Implemented flow</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1</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A01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Validate home name, IANA timezone, resident consent and distinct primary/backup caregivers; build idempotent create-home command.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2</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B01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Create home-scoped OWNER/CAREGIVER memberships and enforce access on every read/action.</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3</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B02</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Persist the household, consent state, route and version; withdrawal enters privacy mode.</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4</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S01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Carry canonical identifiers/versions across API and device configuration contracts.</w:t>
            </w:r>
          </w:p>
        </w:tc>
      </w:tr>
      <w:tr>
        <w:trPr>
          <w:cantSplit/>
        </w:trPr>
        <w:tc>
          <w:tcPr>
            <w:tcW w:type="dxa" w:w="800"/>
            <w:tcMar>
              <w:top w:w="80" w:type="dxa"/>
              <w:start w:w="120" w:type="dxa"/>
              <w:bottom w:w="80" w:type="dxa"/>
              <w:end w:w="120" w:type="dxa"/>
            </w:tcMar>
            <w:vAlign w:val="center"/>
          </w:tcPr>
          <w:p>
            <w:pPr>
              <w:spacing w:before="0" w:after="60" w:line="240" w:lineRule="auto"/>
            </w:pPr>
            <w:r>
              <w:rPr>
                <w:rFonts w:ascii="Calibri" w:hAnsi="Calibri"/>
                <w:sz w:val="17"/>
              </w:rPr>
              <w:t>5</w:t>
            </w:r>
          </w:p>
        </w:tc>
        <w:tc>
          <w:tcPr>
            <w:tcW w:type="dxa" w:w="1300"/>
            <w:tcMar>
              <w:top w:w="80" w:type="dxa"/>
              <w:start w:w="120" w:type="dxa"/>
              <w:bottom w:w="80" w:type="dxa"/>
              <w:end w:w="120" w:type="dxa"/>
            </w:tcMar>
            <w:vAlign w:val="center"/>
          </w:tcPr>
          <w:p>
            <w:pPr>
              <w:spacing w:before="0" w:after="60" w:line="240" w:lineRule="auto"/>
            </w:pPr>
            <w:r>
              <w:rPr>
                <w:rFonts w:ascii="Calibri" w:hAnsi="Calibri"/>
                <w:sz w:val="17"/>
              </w:rPr>
              <w:t>Verification</w:t>
            </w:r>
          </w:p>
        </w:tc>
        <w:tc>
          <w:tcPr>
            <w:tcW w:type="dxa" w:w="7260"/>
            <w:tcMar>
              <w:top w:w="80" w:type="dxa"/>
              <w:start w:w="120" w:type="dxa"/>
              <w:bottom w:w="80" w:type="dxa"/>
              <w:end w:w="120" w:type="dxa"/>
            </w:tcMar>
            <w:vAlign w:val="center"/>
          </w:tcPr>
          <w:p>
            <w:pPr>
              <w:spacing w:before="0" w:after="60" w:line="240" w:lineRule="auto"/>
            </w:pPr>
            <w:r>
              <w:rPr>
                <w:rFonts w:ascii="Calibri" w:hAnsi="Calibri"/>
                <w:sz w:val="17"/>
              </w:rPr>
              <w:t>Cross-home access fails; passive motion remains household/location evidence and never names a resident.</w:t>
            </w:r>
          </w:p>
        </w:tc>
      </w:tr>
    </w:tbl>
    <w:p>
      <w:pPr>
        <w:pStyle w:val="Heading3"/>
      </w:pPr>
      <w:r>
        <w:rPr>
          <w:color w:val="000000"/>
        </w:rPr>
        <w:t>Proposed hub FreeRTOS binding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800"/>
        <w:gridCol w:w="1400"/>
        <w:gridCol w:w="6160"/>
      </w:tblGrid>
      <w:tr>
        <w:trPr>
          <w:cantSplit/>
          <w:tblHeader w:val="true"/>
        </w:trPr>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Execution context</w:t>
            </w:r>
          </w:p>
        </w:tc>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6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behavior</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ESP-NOW callback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H01</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Authenticate/copy fixed data to static queue; never block, write flash or run a rule.</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hub_event_task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H01–H07</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Only rule/config/coverage state writer: privacy gate → durable journal → coverage → S02 reducer → ACK.</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cloud_sync_task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H08</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Manage Wi-Fi/MQTT and committed outbox; application DB-commit ACK retires records.</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ui_task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Debounce buttons/privacy, enqueue action, render immutable state snapshot and fixed feedback.</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maintenance_task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H07/S03</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Bounded service window, diagnostics and signed update orchestration.</w:t>
            </w:r>
          </w:p>
        </w:tc>
      </w:tr>
      <w:tr>
        <w:trPr>
          <w:cantSplit/>
        </w:trPr>
        <w:tc>
          <w:tcPr>
            <w:tcW w:type="dxa" w:w="1800"/>
            <w:tcMar>
              <w:top w:w="80" w:type="dxa"/>
              <w:start w:w="120" w:type="dxa"/>
              <w:bottom w:w="80" w:type="dxa"/>
              <w:end w:w="120" w:type="dxa"/>
            </w:tcMar>
            <w:vAlign w:val="center"/>
          </w:tcPr>
          <w:p>
            <w:pPr>
              <w:spacing w:before="0" w:after="60" w:line="240" w:lineRule="auto"/>
            </w:pPr>
            <w:r>
              <w:rPr>
                <w:rFonts w:ascii="Calibri" w:hAnsi="Calibri"/>
                <w:sz w:val="16"/>
              </w:rPr>
              <w:t>FreeRTOS timers</w:t>
            </w:r>
          </w:p>
        </w:tc>
        <w:tc>
          <w:tcPr>
            <w:tcW w:type="dxa" w:w="1400"/>
            <w:tcMar>
              <w:top w:w="80" w:type="dxa"/>
              <w:start w:w="120" w:type="dxa"/>
              <w:bottom w:w="80" w:type="dxa"/>
              <w:end w:w="120" w:type="dxa"/>
            </w:tcMar>
            <w:vAlign w:val="center"/>
          </w:tcPr>
          <w:p>
            <w:pPr>
              <w:spacing w:before="0" w:after="60" w:line="240" w:lineRule="auto"/>
            </w:pPr>
            <w:r>
              <w:rPr>
                <w:rFonts w:ascii="Calibri" w:hAnsi="Calibri"/>
                <w:sz w:val="16"/>
              </w:rPr>
              <w:t>H03/H04</w:t>
            </w:r>
          </w:p>
        </w:tc>
        <w:tc>
          <w:tcPr>
            <w:tcW w:type="dxa" w:w="6160"/>
            <w:tcMar>
              <w:top w:w="80" w:type="dxa"/>
              <w:start w:w="120" w:type="dxa"/>
              <w:bottom w:w="80" w:type="dxa"/>
              <w:end w:w="120" w:type="dxa"/>
            </w:tcMar>
            <w:vAlign w:val="center"/>
          </w:tcPr>
          <w:p>
            <w:pPr>
              <w:spacing w:before="0" w:after="60" w:line="240" w:lineRule="auto"/>
            </w:pPr>
            <w:r>
              <w:rPr>
                <w:rFonts w:ascii="Calibri" w:hAnsi="Calibri"/>
                <w:sz w:val="16"/>
              </w:rPr>
              <w:t>Enqueue deadline/lease/grace events; callbacks never mutate authoritative state.</w:t>
            </w:r>
          </w:p>
        </w:tc>
      </w:tr>
    </w:tbl>
    <w:p>
      <w:pPr>
        <w:pStyle w:val="SpecBody"/>
      </w:pPr>
      <w:r>
        <w:t>ESP-IDF already includes FreeRTOS. Do not install a second RTOS. Proposed task priority/stack values are starting points only and require high-water, queue-occupancy and starvation measurements on the exact hub board and pinned ESP-IDF build.</w:t>
      </w:r>
    </w:p>
    <w:p>
      <w:bookmarkStart w:id="4" w:name="hardware"/>
      <w:pPr>
        <w:pStyle w:val="Heading1"/>
        <w:pageBreakBefore/>
      </w:pPr>
      <w:r>
        <w:rPr>
          <w:color w:val="000000"/>
        </w:rPr>
        <w:t>4. Hardware and power specification</w:t>
      </w:r>
      <w:bookmarkEnd w:id="4"/>
    </w:p>
    <w:tbl>
      <w:tblPr>
        <w:tblW w:type="dxa" w:w="9360"/>
        <w:tblLayout w:type="fixed"/>
        <w:tblLook w:firstColumn="1" w:firstRow="1" w:lastColumn="0" w:lastRow="0" w:noHBand="0" w:noVBand="1" w:val="04A0"/>
        <w:jc w:val="left"/>
        <w:tblInd w:type="dxa" w:w="120"/>
        <w:tblBorders>
          <w:top w:val="single" w:sz="4" w:color="B8C5D1" w:space="0"/>
          <w:left w:val="single" w:sz="4" w:color="B8C5D1" w:space="0"/>
          <w:bottom w:val="single" w:sz="4" w:color="B8C5D1" w:space="0"/>
          <w:right w:val="single" w:sz="4" w:color="B8C5D1" w:space="0"/>
          <w:insideH w:val="single" w:sz="4" w:color="B8C5D1" w:space="0"/>
          <w:insideV w:val="single" w:sz="4" w:color="B8C5D1" w:space="0"/>
        </w:tblBorders>
      </w:tblPr>
      <w:tblGrid>
        <w:gridCol w:w="1500"/>
        <w:gridCol w:w="2650"/>
        <w:gridCol w:w="5210"/>
      </w:tblGrid>
      <w:tr>
        <w:trPr>
          <w:cantSplit/>
          <w:tblHeader/>
          <w:cantSplit/>
          <w:tblHeader w:val="true"/>
        </w:trPr>
        <w:tc>
          <w:tcPr>
            <w:tcW w:type="dxa" w:w="150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Item</w:t>
            </w:r>
          </w:p>
        </w:tc>
        <w:tc>
          <w:tcPr>
            <w:tcW w:type="dxa" w:w="265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P0 quantity / interface</w:t>
            </w:r>
          </w:p>
        </w:tc>
        <w:tc>
          <w:tcPr>
            <w:tcW w:type="dxa" w:w="521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Design and verification requirements</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HW-HUB</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1 × ESP32 DevKit V1 candidate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Verify exact 30/38-pin supplier variant, ESP32 module, flash, regulator, USB power path, radio behavior and usable pins. No camera or microphone in P0.</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HW-NODES</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4 × ESP32-C3 nodes</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Each node has a unique identity and declared PIR/reed capability profile. Exact SuperMini supplier variant, flash, LEDs and sleep leakage require measurement.</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HW-PIR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Up to 4 × low-power PIR</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One per selected node; minimum two independently placed and tested zones for unattended routine monitoring. Validate 3.3-V output, warm-up, hold time and field of view.</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HW-DOOR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1 × reed/magnet on a selected node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Debounced GPIO input, initial-state sample, mounting-gap and cable-strain test. A combined PIR+reed node is allowed only after placement and power validation.</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HW-UI</w:t>
            </w:r>
          </w:p>
        </w:tc>
        <w:tc>
          <w:tcPr>
            <w:tcW w:type="dxa" w:w="2650"/>
            <w:tcMar>
              <w:top w:w="80" w:type="dxa"/>
              <w:bottom w:w="80" w:type="dxa"/>
              <w:start w:w="120" w:type="dxa"/>
              <w:end w:w="120" w:type="dxa"/>
            </w:tcMar>
            <w:vAlign w:val="center"/>
          </w:tcPr>
          <w:p>
            <w:r>
              <w:t>2 resident action buttons</w:t>
            </w:r>
          </w:p>
        </w:tc>
        <w:tc>
          <w:tcPr>
            <w:tcW w:type="dxa" w:w="5210"/>
            <w:tcMar>
              <w:top w:w="80" w:type="dxa"/>
              <w:bottom w:w="80" w:type="dxa"/>
              <w:start w:w="120" w:type="dxa"/>
              <w:end w:w="120" w:type="dxa"/>
            </w:tcMar>
            <w:vAlign w:val="center"/>
          </w:tcPr>
          <w:p>
            <w:r>
              <w:t>I’m OK and Call family. Large tactile labels, distinct placement and no color-only meaning. Consent withdrawal is a software/account workflow, not a local toggle.</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HW-FEEDBACK</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OLED + status LED; optional speaker</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I²C display. Existing 8-ohm speaker requires a suitable amplifier and supply validation. Fixed prompts only; no microphone.</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HW-POWER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4 rechargeable node supplies; hub 5 V USB + backup candidate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Protected cells/packs, matched charger/power path, regulator, battery measurement and safe enclosure. Two-cell shield may support the bench prototype; commercial power hardware needs supply-transition, thermal, abuse and lifecycle qualification.</w:t>
            </w:r>
          </w:p>
        </w:tc>
      </w:tr>
      <w:tr>
        <w:trPr>
          <w:cantSplit/>
        </w:trPr>
        <w:tc>
          <w:tcPr>
            <w:tcW w:type="dxa" w:w="1500"/>
            <w:vAlign w:val="center"/>
          </w:tcPr>
          <w:p>
            <w:pPr>
              <w:spacing w:before="0" w:after="60" w:line="240" w:lineRule="auto"/>
            </w:pPr>
            <w:r>
              <w:rPr>
                <w:rFonts w:ascii="Calibri" w:hAnsi="Calibri"/>
                <w:sz w:val="18"/>
              </w:rPr>
              <w:t>HW-SERVICE</w:t>
            </w:r>
          </w:p>
        </w:tc>
        <w:tc>
          <w:tcPr>
            <w:tcW w:type="dxa" w:w="2650"/>
            <w:vAlign w:val="center"/>
          </w:tcPr>
          <w:p>
            <w:pPr>
              <w:spacing w:before="0" w:after="60" w:line="240" w:lineRule="auto"/>
            </w:pPr>
            <w:r>
              <w:rPr>
                <w:rFonts w:ascii="Calibri" w:hAnsi="Calibri"/>
                <w:sz w:val="18"/>
              </w:rPr>
              <w:t>USB access + kit labels</w:t>
            </w:r>
          </w:p>
        </w:tc>
        <w:tc>
          <w:tcPr>
            <w:tcW w:type="dxa" w:w="5210"/>
            <w:vAlign w:val="center"/>
          </w:tcPr>
          <w:p>
            <w:pPr>
              <w:spacing w:before="0" w:after="60" w:line="240" w:lineRule="auto"/>
            </w:pPr>
            <w:r>
              <w:rPr>
                <w:rFonts w:ascii="Calibri" w:hAnsi="Calibri"/>
                <w:sz w:val="18"/>
              </w:rPr>
              <w:t>Provisioning/update jig, test pads and serial/QR traceability; no exposed unsafe battery terminals. OTA does not remove the need for recoverable local service access.</w:t>
            </w:r>
          </w:p>
        </w:tc>
      </w:tr>
    </w:tbl>
    <w:p>
      <w:pPr>
        <w:pStyle w:val="TableSpacer"/>
      </w:pPr>
    </w:p>
    <w:p>
      <w:pPr>
        <w:pStyle w:val="Heading2"/>
      </w:pPr>
      <w:r>
        <w:rPr>
          <w:color w:val="000000"/>
        </w:rPr>
        <w:t>Logical I/O contract — physical pin numbers intentionally open</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260"/>
        <w:gridCol w:w="3300"/>
        <w:gridCol w:w="3800"/>
      </w:tblGrid>
      <w:tr>
        <w:trPr>
          <w:cantSplit/>
          <w:tblHeader/>
        </w:trPr>
        <w:tc>
          <w:tcPr>
            <w:tcW w:type="dxa" w:w="2260"/>
            <w:tcMar>
              <w:top w:w="80" w:type="dxa"/>
              <w:bottom w:w="80" w:type="dxa"/>
              <w:start w:w="120" w:type="dxa"/>
              <w:end w:w="120" w:type="dxa"/>
            </w:tcMar>
            <w:shd w:fill="E8EEF5"/>
          </w:tcPr>
          <w:p>
            <w:pPr>
              <w:pStyle w:val="TableText"/>
            </w:pPr>
            <w:r>
              <w:rPr>
                <w:b/>
              </w:rPr>
              <w:t>Signal</w:t>
            </w:r>
          </w:p>
        </w:tc>
        <w:tc>
          <w:tcPr>
            <w:tcW w:type="dxa" w:w="3300"/>
            <w:tcMar>
              <w:top w:w="80" w:type="dxa"/>
              <w:bottom w:w="80" w:type="dxa"/>
              <w:start w:w="120" w:type="dxa"/>
              <w:end w:w="120" w:type="dxa"/>
            </w:tcMar>
            <w:shd w:fill="E8EEF5"/>
          </w:tcPr>
          <w:p>
            <w:pPr>
              <w:pStyle w:val="TableText"/>
            </w:pPr>
            <w:r>
              <w:rPr>
                <w:b/>
              </w:rPr>
              <w:t>Required behavior</w:t>
            </w:r>
          </w:p>
        </w:tc>
        <w:tc>
          <w:tcPr>
            <w:tcW w:type="dxa" w:w="3800"/>
            <w:tcMar>
              <w:top w:w="80" w:type="dxa"/>
              <w:bottom w:w="80" w:type="dxa"/>
              <w:start w:w="120" w:type="dxa"/>
              <w:end w:w="120" w:type="dxa"/>
            </w:tcMar>
            <w:shd w:fill="E8EEF5"/>
          </w:tcPr>
          <w:p>
            <w:pPr>
              <w:pStyle w:val="TableText"/>
            </w:pPr>
            <w:r>
              <w:rPr>
                <w:b/>
              </w:rPr>
              <w:t>Pin/board constraint</w:t>
            </w:r>
          </w:p>
        </w:tc>
      </w:tr>
      <w:tr>
        <w:trPr>
          <w:cantSplit/>
        </w:trPr>
        <w:tc>
          <w:tcPr>
            <w:tcW w:type="dxa" w:w="2260"/>
            <w:tcMar>
              <w:top w:w="80" w:type="dxa"/>
              <w:bottom w:w="80" w:type="dxa"/>
              <w:start w:w="120" w:type="dxa"/>
              <w:end w:w="120" w:type="dxa"/>
            </w:tcMar>
          </w:tcPr>
          <w:p>
            <w:pPr>
              <w:pStyle w:val="TableText"/>
            </w:pPr>
            <w:r>
              <w:t>PIR_IN / REED_IN</w:t>
            </w:r>
          </w:p>
        </w:tc>
        <w:tc>
          <w:tcPr>
            <w:tcW w:type="dxa" w:w="3300"/>
            <w:tcMar>
              <w:top w:w="80" w:type="dxa"/>
              <w:bottom w:w="80" w:type="dxa"/>
              <w:start w:w="120" w:type="dxa"/>
              <w:end w:w="120" w:type="dxa"/>
            </w:tcMar>
          </w:tcPr>
          <w:p>
            <w:pPr>
              <w:pStyle w:val="TableText"/>
            </w:pPr>
            <w:r>
              <w:t>Digital input + debounced wake event</w:t>
            </w:r>
          </w:p>
        </w:tc>
        <w:tc>
          <w:tcPr>
            <w:tcW w:type="dxa" w:w="3800"/>
            <w:tcMar>
              <w:top w:w="80" w:type="dxa"/>
              <w:bottom w:w="80" w:type="dxa"/>
              <w:start w:w="120" w:type="dxa"/>
              <w:end w:w="120" w:type="dxa"/>
            </w:tcMar>
          </w:tcPr>
          <w:p>
            <w:pPr>
              <w:pStyle w:val="TableText"/>
            </w:pPr>
            <w:r>
              <w:t>Verify C3 wake-capable GPIO and boot/USB conflicts; test level-held wake loops.</w:t>
            </w:r>
          </w:p>
        </w:tc>
      </w:tr>
      <w:tr>
        <w:trPr>
          <w:cantSplit/>
        </w:trPr>
        <w:tc>
          <w:tcPr>
            <w:tcW w:type="dxa" w:w="2260"/>
            <w:tcMar>
              <w:top w:w="80" w:type="dxa"/>
              <w:bottom w:w="80" w:type="dxa"/>
              <w:start w:w="120" w:type="dxa"/>
              <w:end w:w="120" w:type="dxa"/>
            </w:tcMar>
          </w:tcPr>
          <w:p>
            <w:pPr>
              <w:pStyle w:val="TableText"/>
            </w:pPr>
            <w:r>
              <w:t>OK_BTN / CALL_BTN</w:t>
            </w:r>
          </w:p>
        </w:tc>
        <w:tc>
          <w:tcPr>
            <w:tcW w:type="dxa" w:w="3300"/>
            <w:tcMar>
              <w:top w:w="80" w:type="dxa"/>
              <w:bottom w:w="80" w:type="dxa"/>
              <w:start w:w="120" w:type="dxa"/>
              <w:end w:w="120" w:type="dxa"/>
            </w:tcMar>
          </w:tcPr>
          <w:p>
            <w:pPr>
              <w:pStyle w:val="TableText"/>
            </w:pPr>
            <w:r>
              <w:t>Separate debounced active input</w:t>
            </w:r>
          </w:p>
        </w:tc>
        <w:tc>
          <w:tcPr>
            <w:tcW w:type="dxa" w:w="3800"/>
            <w:tcMar>
              <w:top w:w="80" w:type="dxa"/>
              <w:bottom w:w="80" w:type="dxa"/>
              <w:start w:w="120" w:type="dxa"/>
              <w:end w:w="120" w:type="dxa"/>
            </w:tcMar>
          </w:tcPr>
          <w:p>
            <w:pPr>
              <w:pStyle w:val="TableText"/>
            </w:pPr>
            <w:r>
              <w:t>Avoid boot-strap side effects; stuck-at-boot behavior is explicit.</w:t>
            </w:r>
          </w:p>
        </w:tc>
      </w:tr>
      <w:tr>
        <w:trPr>
          <w:cantSplit/>
        </w:trPr>
        <w:tc>
          <w:tcPr>
            <w:tcW w:type="dxa" w:w="2260"/>
            <w:tcMar>
              <w:top w:w="80" w:type="dxa"/>
              <w:bottom w:w="80" w:type="dxa"/>
              <w:start w:w="120" w:type="dxa"/>
              <w:end w:w="120" w:type="dxa"/>
            </w:tcMar>
          </w:tcPr>
          <w:p>
            <w:r>
              <w:t>NO_PRIVACY_SWITCH</w:t>
            </w:r>
          </w:p>
        </w:tc>
        <w:tc>
          <w:tcPr>
            <w:tcW w:type="dxa" w:w="3300"/>
            <w:tcMar>
              <w:top w:w="80" w:type="dxa"/>
              <w:bottom w:w="80" w:type="dxa"/>
              <w:start w:w="120" w:type="dxa"/>
              <w:end w:w="120" w:type="dxa"/>
            </w:tcMar>
          </w:tcPr>
          <w:p>
            <w:r>
              <w:t>No user-facing privacy ON/OFF GPIO in P0</w:t>
            </w:r>
          </w:p>
        </w:tc>
        <w:tc>
          <w:tcPr>
            <w:tcW w:type="dxa" w:w="3800"/>
            <w:tcMar>
              <w:top w:w="80" w:type="dxa"/>
              <w:bottom w:w="80" w:type="dxa"/>
              <w:start w:w="120" w:type="dxa"/>
              <w:end w:w="120" w:type="dxa"/>
            </w:tcMar>
          </w:tcPr>
          <w:p>
            <w:r>
              <w:t>Do not allocate a hardware privacy toggle. Applied consent withdrawal drives the internal privacy-enforcement state.</w:t>
            </w:r>
          </w:p>
        </w:tc>
      </w:tr>
      <w:tr>
        <w:trPr>
          <w:cantSplit/>
        </w:trPr>
        <w:tc>
          <w:tcPr>
            <w:tcW w:type="dxa" w:w="2260"/>
            <w:tcMar>
              <w:top w:w="80" w:type="dxa"/>
              <w:bottom w:w="80" w:type="dxa"/>
              <w:start w:w="120" w:type="dxa"/>
              <w:end w:w="120" w:type="dxa"/>
            </w:tcMar>
          </w:tcPr>
          <w:p>
            <w:pPr>
              <w:pStyle w:val="TableText"/>
            </w:pPr>
            <w:r>
              <w:t>BAT_SENSE</w:t>
            </w:r>
          </w:p>
        </w:tc>
        <w:tc>
          <w:tcPr>
            <w:tcW w:type="dxa" w:w="3300"/>
            <w:tcMar>
              <w:top w:w="80" w:type="dxa"/>
              <w:bottom w:w="80" w:type="dxa"/>
              <w:start w:w="120" w:type="dxa"/>
              <w:end w:w="120" w:type="dxa"/>
            </w:tcMar>
          </w:tcPr>
          <w:p>
            <w:pPr>
              <w:pStyle w:val="TableText"/>
            </w:pPr>
            <w:r>
              <w:t>Calibrated millivolts with bounded input</w:t>
            </w:r>
          </w:p>
        </w:tc>
        <w:tc>
          <w:tcPr>
            <w:tcW w:type="dxa" w:w="3800"/>
            <w:tcMar>
              <w:top w:w="80" w:type="dxa"/>
              <w:bottom w:w="80" w:type="dxa"/>
              <w:start w:w="120" w:type="dxa"/>
              <w:end w:w="120" w:type="dxa"/>
            </w:tcMar>
          </w:tcPr>
          <w:p>
            <w:pPr>
              <w:pStyle w:val="TableText"/>
            </w:pPr>
            <w:r>
              <w:t>Divider within ADC rating at full charge; leakage measured at battery.</w:t>
            </w:r>
          </w:p>
        </w:tc>
      </w:tr>
      <w:tr>
        <w:trPr>
          <w:cantSplit/>
        </w:trPr>
        <w:tc>
          <w:tcPr>
            <w:tcW w:type="dxa" w:w="2260"/>
            <w:tcMar>
              <w:top w:w="80" w:type="dxa"/>
              <w:bottom w:w="80" w:type="dxa"/>
              <w:start w:w="120" w:type="dxa"/>
              <w:end w:w="120" w:type="dxa"/>
            </w:tcMar>
          </w:tcPr>
          <w:p>
            <w:pPr>
              <w:pStyle w:val="TableText"/>
            </w:pPr>
            <w:r>
              <w:t>USB_PRESENT / CHG_STATUS</w:t>
            </w:r>
          </w:p>
        </w:tc>
        <w:tc>
          <w:tcPr>
            <w:tcW w:type="dxa" w:w="3300"/>
            <w:tcMar>
              <w:top w:w="80" w:type="dxa"/>
              <w:bottom w:w="80" w:type="dxa"/>
              <w:start w:w="120" w:type="dxa"/>
              <w:end w:w="120" w:type="dxa"/>
            </w:tcMar>
          </w:tcPr>
          <w:p>
            <w:pPr>
              <w:pStyle w:val="TableText"/>
            </w:pPr>
            <w:r>
              <w:t>Optional verified status inputs</w:t>
            </w:r>
          </w:p>
        </w:tc>
        <w:tc>
          <w:tcPr>
            <w:tcW w:type="dxa" w:w="3800"/>
            <w:tcMar>
              <w:top w:w="80" w:type="dxa"/>
              <w:bottom w:w="80" w:type="dxa"/>
              <w:start w:w="120" w:type="dxa"/>
              <w:end w:w="120" w:type="dxa"/>
            </w:tcMar>
          </w:tcPr>
          <w:p>
            <w:pPr>
              <w:pStyle w:val="TableText"/>
            </w:pPr>
            <w:r>
              <w:t>Do not infer status from an unverified charger module or directly expose 5 V to GPIO.</w:t>
            </w:r>
          </w:p>
        </w:tc>
      </w:tr>
      <w:tr>
        <w:trPr>
          <w:cantSplit/>
        </w:trPr>
        <w:tc>
          <w:tcPr>
            <w:tcW w:type="dxa" w:w="2260"/>
            <w:tcMar>
              <w:top w:w="80" w:type="dxa"/>
              <w:bottom w:w="80" w:type="dxa"/>
              <w:start w:w="120" w:type="dxa"/>
              <w:end w:w="120" w:type="dxa"/>
            </w:tcMar>
          </w:tcPr>
          <w:p>
            <w:pPr>
              <w:pStyle w:val="TableText"/>
            </w:pPr>
            <w:r>
              <w:t>I²C / I²S / AMP_EN</w:t>
            </w:r>
          </w:p>
        </w:tc>
        <w:tc>
          <w:tcPr>
            <w:tcW w:type="dxa" w:w="3300"/>
            <w:tcMar>
              <w:top w:w="80" w:type="dxa"/>
              <w:bottom w:w="80" w:type="dxa"/>
              <w:start w:w="120" w:type="dxa"/>
              <w:end w:w="120" w:type="dxa"/>
            </w:tcMar>
          </w:tcPr>
          <w:p>
            <w:pPr>
              <w:pStyle w:val="TableText"/>
            </w:pPr>
            <w:r>
              <w:t>Display and optional fixed prompts</w:t>
            </w:r>
          </w:p>
        </w:tc>
        <w:tc>
          <w:tcPr>
            <w:tcW w:type="dxa" w:w="3800"/>
            <w:tcMar>
              <w:top w:w="80" w:type="dxa"/>
              <w:bottom w:w="80" w:type="dxa"/>
              <w:start w:w="120" w:type="dxa"/>
              <w:end w:w="120" w:type="dxa"/>
            </w:tcMar>
          </w:tcPr>
          <w:p>
            <w:pPr>
              <w:pStyle w:val="TableText"/>
            </w:pPr>
            <w:r>
              <w:t>Check voltage, pin allocation and audio-load peak current; power down amp when idle.</w:t>
            </w:r>
          </w:p>
        </w:tc>
      </w:tr>
    </w:tbl>
    <w:p>
      <w:pPr>
        <w:pStyle w:val="TableSpacer"/>
      </w:pPr>
    </w:p>
    <w:p>
      <w:pPr>
        <w:pStyle w:val="SpecBody"/>
      </w:pPr>
      <w:r>
        <w:t>HW01/HW04: perform placement, retention, cable strain and enclosure access tests with consenting adults. Keep nodes out of bathrooms/private rooms for the first pilot. An ordinary PIR is not a human-presence guarantee; a motionless person can remain undetected.</w:t>
      </w:r>
    </w:p>
    <w:p>
      <w:pPr>
        <w:pStyle w:val="Heading2"/>
        <w:pageBreakBefore/>
      </w:pPr>
      <w:r>
        <w:rPr>
          <w:color w:val="000000"/>
        </w:rPr>
        <w:t>Rechargeable batteries: allowed in principle, not yet a wiring approval</w:t>
      </w:r>
    </w:p>
    <w:p>
      <w:pPr>
        <w:pStyle w:val="SpecBody"/>
      </w:pPr>
      <w:r>
        <w:t>“BLC” is not an identified electrical specification. If BL-5C was intended, treat it as an unapproved candidate until the exact pack is documented. Do not infer the third terminal’s purpose or charge parameters from the shape/name. Existing DMEGC 18650 2900 mAh cells may support bench energy tests, but holders/cells alone do not establish a safe in-device charging system.</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830"/>
        <w:gridCol w:w="7530"/>
      </w:tblGrid>
      <w:tr>
        <w:trPr>
          <w:cantSplit/>
          <w:tblHeader/>
        </w:trPr>
        <w:tc>
          <w:tcPr>
            <w:tcW w:type="dxa" w:w="1830"/>
            <w:tcMar>
              <w:top w:w="80" w:type="dxa"/>
              <w:bottom w:w="80" w:type="dxa"/>
              <w:start w:w="120" w:type="dxa"/>
              <w:end w:w="120" w:type="dxa"/>
            </w:tcMar>
            <w:shd w:fill="E8EEF5"/>
          </w:tcPr>
          <w:p>
            <w:pPr>
              <w:pStyle w:val="TableText"/>
            </w:pPr>
            <w:r>
              <w:rPr>
                <w:b/>
              </w:rPr>
              <w:t>Function</w:t>
            </w:r>
          </w:p>
        </w:tc>
        <w:tc>
          <w:tcPr>
            <w:tcW w:type="dxa" w:w="7530"/>
            <w:tcMar>
              <w:top w:w="80" w:type="dxa"/>
              <w:bottom w:w="80" w:type="dxa"/>
              <w:start w:w="120" w:type="dxa"/>
              <w:end w:w="120" w:type="dxa"/>
            </w:tcMar>
            <w:shd w:fill="E8EEF5"/>
          </w:tcPr>
          <w:p>
            <w:pPr>
              <w:pStyle w:val="TableText"/>
            </w:pPr>
            <w:r>
              <w:rPr>
                <w:b/>
              </w:rPr>
              <w:t>Required design decision</w:t>
            </w:r>
          </w:p>
        </w:tc>
      </w:tr>
      <w:tr>
        <w:trPr>
          <w:cantSplit/>
        </w:trPr>
        <w:tc>
          <w:tcPr>
            <w:tcW w:type="dxa" w:w="1830"/>
            <w:tcMar>
              <w:top w:w="80" w:type="dxa"/>
              <w:bottom w:w="80" w:type="dxa"/>
              <w:start w:w="120" w:type="dxa"/>
              <w:end w:w="120" w:type="dxa"/>
            </w:tcMar>
          </w:tcPr>
          <w:p>
            <w:pPr>
              <w:pStyle w:val="TableText"/>
            </w:pPr>
            <w:r>
              <w:t>Cell/pack</w:t>
            </w:r>
          </w:p>
        </w:tc>
        <w:tc>
          <w:tcPr>
            <w:tcW w:type="dxa" w:w="7530"/>
            <w:tcMar>
              <w:top w:w="80" w:type="dxa"/>
              <w:bottom w:w="80" w:type="dxa"/>
              <w:start w:w="120" w:type="dxa"/>
              <w:end w:w="120" w:type="dxa"/>
            </w:tcMar>
          </w:tcPr>
          <w:p>
            <w:pPr>
              <w:pStyle w:val="TableText"/>
            </w:pPr>
            <w:r>
              <w:t>Known chemistry, voltage, continuous/pulse load capability, capacity provenance, protection and temperature limits. Never use swollen/damaged/unknown cells.</w:t>
            </w:r>
          </w:p>
        </w:tc>
      </w:tr>
      <w:tr>
        <w:trPr>
          <w:cantSplit/>
        </w:trPr>
        <w:tc>
          <w:tcPr>
            <w:tcW w:type="dxa" w:w="1830"/>
            <w:tcMar>
              <w:top w:w="80" w:type="dxa"/>
              <w:bottom w:w="80" w:type="dxa"/>
              <w:start w:w="120" w:type="dxa"/>
              <w:end w:w="120" w:type="dxa"/>
            </w:tcMar>
          </w:tcPr>
          <w:p>
            <w:pPr>
              <w:pStyle w:val="TableText"/>
            </w:pPr>
            <w:r>
              <w:t>Charging</w:t>
            </w:r>
          </w:p>
        </w:tc>
        <w:tc>
          <w:tcPr>
            <w:tcW w:type="dxa" w:w="7530"/>
            <w:tcMar>
              <w:top w:w="80" w:type="dxa"/>
              <w:bottom w:w="80" w:type="dxa"/>
              <w:start w:w="120" w:type="dxa"/>
              <w:end w:w="120" w:type="dxa"/>
            </w:tcMar>
          </w:tcPr>
          <w:p>
            <w:pPr>
              <w:pStyle w:val="TableText"/>
            </w:pPr>
            <w:r>
              <w:t>A matching single-cell charge controller with charge current set to the pack’s approved limit and temperature supervision where required. An unspecified TP4056 module is not automatically approved.</w:t>
            </w:r>
          </w:p>
        </w:tc>
      </w:tr>
      <w:tr>
        <w:trPr>
          <w:cantSplit/>
        </w:trPr>
        <w:tc>
          <w:tcPr>
            <w:tcW w:type="dxa" w:w="1830"/>
            <w:tcMar>
              <w:top w:w="80" w:type="dxa"/>
              <w:bottom w:w="80" w:type="dxa"/>
              <w:start w:w="120" w:type="dxa"/>
              <w:end w:w="120" w:type="dxa"/>
            </w:tcMar>
          </w:tcPr>
          <w:p>
            <w:pPr>
              <w:pStyle w:val="TableText"/>
            </w:pPr>
            <w:r>
              <w:t>Power sharing</w:t>
            </w:r>
          </w:p>
        </w:tc>
        <w:tc>
          <w:tcPr>
            <w:tcW w:type="dxa" w:w="7530"/>
            <w:tcMar>
              <w:top w:w="80" w:type="dxa"/>
              <w:bottom w:w="80" w:type="dxa"/>
              <w:start w:w="120" w:type="dxa"/>
              <w:end w:w="120" w:type="dxa"/>
            </w:tcMar>
          </w:tcPr>
          <w:p>
            <w:pPr>
              <w:pStyle w:val="TableText"/>
            </w:pPr>
            <w:r>
              <w:t>For operation while charging, choose a validated charger/power-path circuit. BQ24074 is one candidate class with power-path management [S9], not an approved finished module.</w:t>
            </w:r>
          </w:p>
        </w:tc>
      </w:tr>
      <w:tr>
        <w:trPr>
          <w:cantSplit/>
        </w:trPr>
        <w:tc>
          <w:tcPr>
            <w:tcW w:type="dxa" w:w="1830"/>
            <w:tcMar>
              <w:top w:w="80" w:type="dxa"/>
              <w:bottom w:w="80" w:type="dxa"/>
              <w:start w:w="120" w:type="dxa"/>
              <w:end w:w="120" w:type="dxa"/>
            </w:tcMar>
          </w:tcPr>
          <w:p>
            <w:pPr>
              <w:pStyle w:val="TableText"/>
            </w:pPr>
            <w:r>
              <w:t>Regulation</w:t>
            </w:r>
          </w:p>
        </w:tc>
        <w:tc>
          <w:tcPr>
            <w:tcW w:type="dxa" w:w="7530"/>
            <w:tcMar>
              <w:top w:w="80" w:type="dxa"/>
              <w:bottom w:w="80" w:type="dxa"/>
              <w:start w:w="120" w:type="dxa"/>
              <w:end w:w="120" w:type="dxa"/>
            </w:tcMar>
          </w:tcPr>
          <w:p>
            <w:pPr>
              <w:pStyle w:val="TableText"/>
            </w:pPr>
            <w:r>
              <w:t>TPS63020 is a buck-boost regulator, not a charger or complete battery protection system [S8]. Verify the purchased module’s output, efficiency, quiescent draw and transient response.</w:t>
            </w:r>
          </w:p>
        </w:tc>
      </w:tr>
      <w:tr>
        <w:trPr>
          <w:cantSplit/>
        </w:trPr>
        <w:tc>
          <w:tcPr>
            <w:tcW w:type="dxa" w:w="1830"/>
            <w:tcMar>
              <w:top w:w="80" w:type="dxa"/>
              <w:bottom w:w="80" w:type="dxa"/>
              <w:start w:w="120" w:type="dxa"/>
              <w:end w:w="120" w:type="dxa"/>
            </w:tcMar>
          </w:tcPr>
          <w:p>
            <w:pPr>
              <w:pStyle w:val="TableText"/>
            </w:pPr>
            <w:r>
              <w:t>Voltage safety</w:t>
            </w:r>
          </w:p>
        </w:tc>
        <w:tc>
          <w:tcPr>
            <w:tcW w:type="dxa" w:w="7530"/>
            <w:tcMar>
              <w:top w:w="80" w:type="dxa"/>
              <w:bottom w:w="80" w:type="dxa"/>
              <w:start w:w="120" w:type="dxa"/>
              <w:end w:w="120" w:type="dxa"/>
            </w:tcMar>
          </w:tcPr>
          <w:p>
            <w:pPr>
              <w:pStyle w:val="TableText"/>
            </w:pPr>
            <w:r>
              <w:t>A typical 1S Li-ion pack may reach 4.2 V. Do not wire it directly to a 3.3-V rail. Verify the exact board input path and avoid regulator/USB back-feeding.</w:t>
            </w:r>
          </w:p>
        </w:tc>
      </w:tr>
      <w:tr>
        <w:trPr>
          <w:cantSplit/>
        </w:trPr>
        <w:tc>
          <w:tcPr>
            <w:tcW w:type="dxa" w:w="1830"/>
            <w:tcMar>
              <w:top w:w="80" w:type="dxa"/>
              <w:bottom w:w="80" w:type="dxa"/>
              <w:start w:w="120" w:type="dxa"/>
              <w:end w:w="120" w:type="dxa"/>
            </w:tcMar>
          </w:tcPr>
          <w:p>
            <w:pPr>
              <w:pStyle w:val="TableText"/>
            </w:pPr>
            <w:r>
              <w:t>Mechanical safety</w:t>
            </w:r>
          </w:p>
        </w:tc>
        <w:tc>
          <w:tcPr>
            <w:tcW w:type="dxa" w:w="7530"/>
            <w:tcMar>
              <w:top w:w="80" w:type="dxa"/>
              <w:bottom w:w="80" w:type="dxa"/>
              <w:start w:w="120" w:type="dxa"/>
              <w:end w:w="120" w:type="dxa"/>
            </w:tcMar>
          </w:tcPr>
          <w:p>
            <w:pPr>
              <w:pStyle w:val="TableText"/>
            </w:pPr>
            <w:r>
              <w:t>Polarized connector, secure retention, insulation, short-circuit protection and thermal assessment. Do not combine unmatched cells in parallel/series for the prototype.</w:t>
            </w:r>
          </w:p>
        </w:tc>
      </w:tr>
      <w:tr>
        <w:trPr>
          <w:cantSplit/>
        </w:trPr>
        <w:tc>
          <w:tcPr>
            <w:tcW w:type="dxa" w:w="1830"/>
            <w:tcMar>
              <w:top w:w="80" w:type="dxa"/>
              <w:bottom w:w="80" w:type="dxa"/>
              <w:start w:w="120" w:type="dxa"/>
              <w:end w:w="120" w:type="dxa"/>
            </w:tcMar>
          </w:tcPr>
          <w:p>
            <w:pPr>
              <w:pStyle w:val="TableText"/>
            </w:pPr>
            <w:r>
              <w:t>Firmware behavior</w:t>
            </w:r>
          </w:p>
        </w:tc>
        <w:tc>
          <w:tcPr>
            <w:tcW w:type="dxa" w:w="7530"/>
            <w:tcMar>
              <w:top w:w="80" w:type="dxa"/>
              <w:bottom w:w="80" w:type="dxa"/>
              <w:start w:w="120" w:type="dxa"/>
              <w:end w:w="120" w:type="dxa"/>
            </w:tcMar>
          </w:tcPr>
          <w:p>
            <w:pPr>
              <w:pStyle w:val="TableText"/>
            </w:pPr>
            <w:r>
              <w:t>Monitor battery and power-source status where measured, warn with hysteresis, protect flash integrity on low supply and expose loss of coverage. Software does not replace hardware protection.</w:t>
            </w:r>
          </w:p>
        </w:tc>
      </w:tr>
    </w:tbl>
    <w:p>
      <w:pPr>
        <w:pStyle w:val="TableSpacer"/>
      </w:pPr>
    </w:p>
    <w:p>
      <w:pPr>
        <w:pStyle w:val="SpecBody"/>
      </w:pPr>
      <w:r>
        <w:t>Conceptual power path: USB input → validated charger/power-path subsystem ↔ protected pack; system output → suitable regulator → verified board rail. This is a functional architecture, not a construction-ready schematic. Charger, protection, regulator and board constraints must be reviewed together.</w:t>
      </w:r>
    </w:p>
    <w:p>
      <w:pPr>
        <w:pStyle w:val="Heading2"/>
        <w:pageBreakBefore/>
      </w:pPr>
      <w:r>
        <w:rPr>
          <w:color w:val="000000"/>
        </w:rPr>
        <w:t>Runtime model and power exit targets</w:t>
      </w:r>
    </w:p>
    <w:p>
      <w:pPr>
        <w:pStyle w:val="SpecBody"/>
      </w:pPr>
      <w:r>
        <w:t>Use battery-side average current: runtime hours ≈ rated mAh × usable fraction ÷ average mA. The 80% usable fraction below is an illustrative assumption, not a cell guarantee. It includes a reserve but does not validate ageing, temperature, cutoff or conversion losses. Measure those at system level.</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920"/>
        <w:gridCol w:w="3220"/>
        <w:gridCol w:w="3220"/>
      </w:tblGrid>
      <w:tr>
        <w:trPr>
          <w:cantSplit/>
          <w:tblHeader/>
        </w:trPr>
        <w:tc>
          <w:tcPr>
            <w:tcW w:type="dxa" w:w="2920"/>
            <w:tcMar>
              <w:top w:w="80" w:type="dxa"/>
              <w:bottom w:w="80" w:type="dxa"/>
              <w:start w:w="120" w:type="dxa"/>
              <w:end w:w="120" w:type="dxa"/>
            </w:tcMar>
            <w:shd w:fill="E8EEF5"/>
          </w:tcPr>
          <w:p>
            <w:pPr>
              <w:pStyle w:val="TableText"/>
            </w:pPr>
            <w:r>
              <w:rPr>
                <w:b/>
              </w:rPr>
              <w:t>Illustrative pack</w:t>
            </w:r>
          </w:p>
        </w:tc>
        <w:tc>
          <w:tcPr>
            <w:tcW w:type="dxa" w:w="3220"/>
            <w:tcMar>
              <w:top w:w="80" w:type="dxa"/>
              <w:bottom w:w="80" w:type="dxa"/>
              <w:start w:w="120" w:type="dxa"/>
              <w:end w:w="120" w:type="dxa"/>
            </w:tcMar>
            <w:shd w:fill="E8EEF5"/>
          </w:tcPr>
          <w:p>
            <w:pPr>
              <w:pStyle w:val="TableText"/>
            </w:pPr>
            <w:r>
              <w:rPr>
                <w:b/>
              </w:rPr>
              <w:t>Average battery current</w:t>
            </w:r>
          </w:p>
        </w:tc>
        <w:tc>
          <w:tcPr>
            <w:tcW w:type="dxa" w:w="3220"/>
            <w:tcMar>
              <w:top w:w="80" w:type="dxa"/>
              <w:bottom w:w="80" w:type="dxa"/>
              <w:start w:w="120" w:type="dxa"/>
              <w:end w:w="120" w:type="dxa"/>
            </w:tcMar>
            <w:shd w:fill="E8EEF5"/>
          </w:tcPr>
          <w:p>
            <w:pPr>
              <w:pStyle w:val="TableText"/>
            </w:pPr>
            <w:r>
              <w:rPr>
                <w:b/>
              </w:rPr>
              <w:t>Calculated runtime</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0.1 mA</w:t>
            </w:r>
          </w:p>
        </w:tc>
        <w:tc>
          <w:tcPr>
            <w:tcW w:type="dxa" w:w="3220"/>
            <w:tcMar>
              <w:top w:w="80" w:type="dxa"/>
              <w:bottom w:w="80" w:type="dxa"/>
              <w:start w:w="120" w:type="dxa"/>
              <w:end w:w="120" w:type="dxa"/>
            </w:tcMar>
          </w:tcPr>
          <w:p>
            <w:pPr>
              <w:pStyle w:val="TableText"/>
            </w:pPr>
            <w:r>
              <w:t>333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0.5 mA</w:t>
            </w:r>
          </w:p>
        </w:tc>
        <w:tc>
          <w:tcPr>
            <w:tcW w:type="dxa" w:w="3220"/>
            <w:tcMar>
              <w:top w:w="80" w:type="dxa"/>
              <w:bottom w:w="80" w:type="dxa"/>
              <w:start w:w="120" w:type="dxa"/>
              <w:end w:w="120" w:type="dxa"/>
            </w:tcMar>
          </w:tcPr>
          <w:p>
            <w:pPr>
              <w:pStyle w:val="TableText"/>
            </w:pPr>
            <w:r>
              <w:t>66.7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5 mA</w:t>
            </w:r>
          </w:p>
        </w:tc>
        <w:tc>
          <w:tcPr>
            <w:tcW w:type="dxa" w:w="3220"/>
            <w:tcMar>
              <w:top w:w="80" w:type="dxa"/>
              <w:bottom w:w="80" w:type="dxa"/>
              <w:start w:w="120" w:type="dxa"/>
              <w:end w:w="120" w:type="dxa"/>
            </w:tcMar>
          </w:tcPr>
          <w:p>
            <w:pPr>
              <w:pStyle w:val="TableText"/>
            </w:pPr>
            <w:r>
              <w:t>6.7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150 mA</w:t>
            </w:r>
          </w:p>
        </w:tc>
        <w:tc>
          <w:tcPr>
            <w:tcW w:type="dxa" w:w="3220"/>
            <w:tcMar>
              <w:top w:w="80" w:type="dxa"/>
              <w:bottom w:w="80" w:type="dxa"/>
              <w:start w:w="120" w:type="dxa"/>
              <w:end w:w="120" w:type="dxa"/>
            </w:tcMar>
          </w:tcPr>
          <w:p>
            <w:pPr>
              <w:pStyle w:val="TableText"/>
            </w:pPr>
            <w:r>
              <w:t>5.3 hours</w:t>
            </w:r>
          </w:p>
        </w:tc>
      </w:tr>
      <w:tr>
        <w:trPr>
          <w:cantSplit/>
        </w:trPr>
        <w:tc>
          <w:tcPr>
            <w:tcW w:type="dxa" w:w="2920"/>
            <w:tcMar>
              <w:top w:w="80" w:type="dxa"/>
              <w:bottom w:w="80" w:type="dxa"/>
              <w:start w:w="120" w:type="dxa"/>
              <w:end w:w="120" w:type="dxa"/>
            </w:tcMar>
          </w:tcPr>
          <w:p>
            <w:pPr>
              <w:pStyle w:val="TableText"/>
            </w:pPr>
            <w:r>
              <w:t>2,900 mAh × 80%</w:t>
            </w:r>
          </w:p>
        </w:tc>
        <w:tc>
          <w:tcPr>
            <w:tcW w:type="dxa" w:w="3220"/>
            <w:tcMar>
              <w:top w:w="80" w:type="dxa"/>
              <w:bottom w:w="80" w:type="dxa"/>
              <w:start w:w="120" w:type="dxa"/>
              <w:end w:w="120" w:type="dxa"/>
            </w:tcMar>
          </w:tcPr>
          <w:p>
            <w:pPr>
              <w:pStyle w:val="TableText"/>
            </w:pPr>
            <w:r>
              <w:t>150 mA</w:t>
            </w:r>
          </w:p>
        </w:tc>
        <w:tc>
          <w:tcPr>
            <w:tcW w:type="dxa" w:w="3220"/>
            <w:tcMar>
              <w:top w:w="80" w:type="dxa"/>
              <w:bottom w:w="80" w:type="dxa"/>
              <w:start w:w="120" w:type="dxa"/>
              <w:end w:w="120" w:type="dxa"/>
            </w:tcMar>
          </w:tcPr>
          <w:p>
            <w:pPr>
              <w:pStyle w:val="TableText"/>
            </w:pPr>
            <w:r>
              <w:t>15.5 hours</w:t>
            </w:r>
          </w:p>
        </w:tc>
      </w:tr>
    </w:tbl>
    <w:p>
      <w:pPr>
        <w:pStyle w:val="TableSpacer"/>
      </w:pPr>
    </w:p>
    <w:p>
      <w:pPr>
        <w:pStyle w:val="SpecBody"/>
      </w:pPr>
      <w:r>
        <w:t>One year from 1,000 mAh at 80% usable requires ≤91 µA average for the entire node; 2,900 mAh requires ≤265 µA. These are energy budgets, not expected lifetimes. PIR, divider, regulator, USB bridge, power LED, radio retries and scan recovery all count. A 60-second heartbeat may materially change the result.</w:t>
      </w:r>
    </w:p>
    <w:p>
      <w:pPr>
        <w:pStyle w:val="SpecBody"/>
      </w:pPr>
      <w:r>
        <w:t>HW02 gates: supervised charging/power-path review; no brownout at worst measured radio/audio burst; measured node runtime ≥7 days for the bench prototype and a provisional ≥30 days for the assisted pilot; hub backup ≥4 hours at the tested workload. Set a sellable runtime only after actual discharge/temperature/ageing tests. Battery-only hub use needs a separate measured requirement and user acceptance of recharge frequency.</w:t>
      </w:r>
    </w:p>
    <w:p>
      <w:bookmarkStart w:id="5" w:name="communications"/>
      <w:pPr>
        <w:pStyle w:val="Heading1"/>
        <w:pageBreakBefore/>
      </w:pPr>
      <w:r>
        <w:rPr>
          <w:color w:val="000000"/>
        </w:rPr>
        <w:t>5. Communication and interface contracts</w:t>
      </w:r>
      <w:bookmarkEnd w:id="5"/>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640"/>
        <w:gridCol w:w="3680"/>
        <w:gridCol w:w="4040"/>
      </w:tblGrid>
      <w:tr>
        <w:trPr>
          <w:cantSplit/>
          <w:tblHeader/>
        </w:trPr>
        <w:tc>
          <w:tcPr>
            <w:tcW w:type="dxa" w:w="1640"/>
            <w:tcMar>
              <w:top w:w="80" w:type="dxa"/>
              <w:bottom w:w="80" w:type="dxa"/>
              <w:start w:w="120" w:type="dxa"/>
              <w:end w:w="120" w:type="dxa"/>
            </w:tcMar>
            <w:shd w:fill="E8EEF5"/>
          </w:tcPr>
          <w:p>
            <w:pPr>
              <w:pStyle w:val="TableText"/>
            </w:pPr>
            <w:r>
              <w:rPr>
                <w:b/>
              </w:rPr>
              <w:t>Link</w:t>
            </w:r>
          </w:p>
        </w:tc>
        <w:tc>
          <w:tcPr>
            <w:tcW w:type="dxa" w:w="3680"/>
            <w:tcMar>
              <w:top w:w="80" w:type="dxa"/>
              <w:bottom w:w="80" w:type="dxa"/>
              <w:start w:w="120" w:type="dxa"/>
              <w:end w:w="120" w:type="dxa"/>
            </w:tcMar>
            <w:shd w:fill="E8EEF5"/>
          </w:tcPr>
          <w:p>
            <w:pPr>
              <w:pStyle w:val="TableText"/>
            </w:pPr>
            <w:r>
              <w:rPr>
                <w:b/>
              </w:rPr>
              <w:t>Mode / payload</w:t>
            </w:r>
          </w:p>
        </w:tc>
        <w:tc>
          <w:tcPr>
            <w:tcW w:type="dxa" w:w="4040"/>
            <w:tcMar>
              <w:top w:w="80" w:type="dxa"/>
              <w:bottom w:w="80" w:type="dxa"/>
              <w:start w:w="120" w:type="dxa"/>
              <w:end w:w="120" w:type="dxa"/>
            </w:tcMar>
            <w:shd w:fill="E8EEF5"/>
          </w:tcPr>
          <w:p>
            <w:pPr>
              <w:pStyle w:val="TableText"/>
            </w:pPr>
            <w:r>
              <w:rPr>
                <w:b/>
              </w:rPr>
              <w:t>Acknowledgement and authority</w:t>
            </w:r>
          </w:p>
        </w:tc>
      </w:tr>
      <w:tr>
        <w:trPr>
          <w:cantSplit/>
        </w:trPr>
        <w:tc>
          <w:tcPr>
            <w:tcW w:type="dxa" w:w="1640"/>
            <w:tcMar>
              <w:top w:w="80" w:type="dxa"/>
              <w:bottom w:w="80" w:type="dxa"/>
              <w:start w:w="120" w:type="dxa"/>
              <w:end w:w="120" w:type="dxa"/>
            </w:tcMar>
          </w:tcPr>
          <w:p>
            <w:pPr>
              <w:pStyle w:val="TableText"/>
            </w:pPr>
            <w:r>
              <w:t>Node ↔ hub</w:t>
            </w:r>
          </w:p>
        </w:tc>
        <w:tc>
          <w:tcPr>
            <w:tcW w:type="dxa" w:w="3680"/>
            <w:tcMar>
              <w:top w:w="80" w:type="dxa"/>
              <w:bottom w:w="80" w:type="dxa"/>
              <w:start w:w="120" w:type="dxa"/>
              <w:end w:w="120" w:type="dxa"/>
            </w:tcMar>
          </w:tcPr>
          <w:p>
            <w:pPr>
              <w:pStyle w:val="TableText"/>
            </w:pPr>
            <w:r>
              <w:t>Encrypted ESP-NOW unicast; compact CBOR ≤200 bytes, schema v1.</w:t>
            </w:r>
          </w:p>
        </w:tc>
        <w:tc>
          <w:tcPr>
            <w:tcW w:type="dxa" w:w="4040"/>
            <w:tcMar>
              <w:top w:w="80" w:type="dxa"/>
              <w:bottom w:w="80" w:type="dxa"/>
              <w:start w:w="120" w:type="dxa"/>
              <w:end w:w="120" w:type="dxa"/>
            </w:tcMar>
          </w:tcPr>
          <w:p>
            <w:pPr>
              <w:pStyle w:val="TableText"/>
            </w:pPr>
            <w:r>
              <w:t>Business event: durable application ACK. Heartbeat: explicitly volatile receipt ACK. MAC success alone is insufficient [S1].</w:t>
            </w:r>
          </w:p>
        </w:tc>
      </w:tr>
      <w:tr>
        <w:trPr>
          <w:cantSplit/>
        </w:trPr>
        <w:tc>
          <w:tcPr>
            <w:tcW w:type="dxa" w:w="1640"/>
            <w:tcMar>
              <w:top w:w="80" w:type="dxa"/>
              <w:bottom w:w="80" w:type="dxa"/>
              <w:start w:w="120" w:type="dxa"/>
              <w:end w:w="120" w:type="dxa"/>
            </w:tcMar>
          </w:tcPr>
          <w:p>
            <w:pPr>
              <w:pStyle w:val="TableText"/>
            </w:pPr>
            <w:r>
              <w:t>Hub ↔ backend</w:t>
            </w:r>
          </w:p>
        </w:tc>
        <w:tc>
          <w:tcPr>
            <w:tcW w:type="dxa" w:w="3680"/>
            <w:tcMar>
              <w:top w:w="80" w:type="dxa"/>
              <w:bottom w:w="80" w:type="dxa"/>
              <w:start w:w="120" w:type="dxa"/>
              <w:end w:w="120" w:type="dxa"/>
            </w:tcMar>
          </w:tcPr>
          <w:p>
            <w:pPr>
              <w:pStyle w:val="TableText"/>
            </w:pPr>
            <w:r>
              <w:t>MQTT 3.1.1 over TLS, QoS 1, authenticated per-hub ACL.</w:t>
            </w:r>
          </w:p>
        </w:tc>
        <w:tc>
          <w:tcPr>
            <w:tcW w:type="dxa" w:w="4040"/>
            <w:tcMar>
              <w:top w:w="80" w:type="dxa"/>
              <w:bottom w:w="80" w:type="dxa"/>
              <w:start w:w="120" w:type="dxa"/>
              <w:end w:w="120" w:type="dxa"/>
            </w:tcMar>
          </w:tcPr>
          <w:p>
            <w:pPr>
              <w:pStyle w:val="TableText"/>
            </w:pPr>
            <w:r>
              <w:t>PUBACK is broker-level. Hub retires business outbox only after backend DB-commit ACK [S5].</w:t>
            </w:r>
          </w:p>
        </w:tc>
      </w:tr>
      <w:tr>
        <w:trPr>
          <w:cantSplit/>
        </w:trPr>
        <w:tc>
          <w:tcPr>
            <w:tcW w:type="dxa" w:w="1640"/>
            <w:tcMar>
              <w:top w:w="80" w:type="dxa"/>
              <w:bottom w:w="80" w:type="dxa"/>
              <w:start w:w="120" w:type="dxa"/>
              <w:end w:w="120" w:type="dxa"/>
            </w:tcMar>
          </w:tcPr>
          <w:p>
            <w:pPr>
              <w:pStyle w:val="TableText"/>
            </w:pPr>
            <w:r>
              <w:t>App ↔ backend</w:t>
            </w:r>
          </w:p>
        </w:tc>
        <w:tc>
          <w:tcPr>
            <w:tcW w:type="dxa" w:w="3680"/>
            <w:tcMar>
              <w:top w:w="80" w:type="dxa"/>
              <w:bottom w:w="80" w:type="dxa"/>
              <w:start w:w="120" w:type="dxa"/>
              <w:end w:w="120" w:type="dxa"/>
            </w:tcMar>
          </w:tcPr>
          <w:p>
            <w:pPr>
              <w:pStyle w:val="TableText"/>
            </w:pPr>
            <w:r>
              <w:t>HTTPS REST/JSON; OIDC token; SSE change hints.</w:t>
            </w:r>
          </w:p>
        </w:tc>
        <w:tc>
          <w:tcPr>
            <w:tcW w:type="dxa" w:w="4040"/>
            <w:tcMar>
              <w:top w:w="80" w:type="dxa"/>
              <w:bottom w:w="80" w:type="dxa"/>
              <w:start w:w="120" w:type="dxa"/>
              <w:end w:w="120" w:type="dxa"/>
            </w:tcMar>
          </w:tcPr>
          <w:p>
            <w:pPr>
              <w:pStyle w:val="TableText"/>
            </w:pPr>
            <w:r>
              <w:t>Mutations have idempotency keys and resource versions; app displays committed/applied state.</w:t>
            </w:r>
          </w:p>
        </w:tc>
      </w:tr>
      <w:tr>
        <w:trPr>
          <w:cantSplit/>
        </w:trPr>
        <w:tc>
          <w:tcPr>
            <w:tcW w:type="dxa" w:w="1640"/>
            <w:tcMar>
              <w:top w:w="80" w:type="dxa"/>
              <w:bottom w:w="80" w:type="dxa"/>
              <w:start w:w="120" w:type="dxa"/>
              <w:end w:w="120" w:type="dxa"/>
            </w:tcMar>
          </w:tcPr>
          <w:p>
            <w:pPr>
              <w:pStyle w:val="TableText"/>
            </w:pPr>
            <w:r>
              <w:t>Backend → caregiver</w:t>
            </w:r>
          </w:p>
        </w:tc>
        <w:tc>
          <w:tcPr>
            <w:tcW w:type="dxa" w:w="3680"/>
            <w:tcMar>
              <w:top w:w="80" w:type="dxa"/>
              <w:bottom w:w="80" w:type="dxa"/>
              <w:start w:w="120" w:type="dxa"/>
              <w:end w:w="120" w:type="dxa"/>
            </w:tcMar>
          </w:tcPr>
          <w:p>
            <w:pPr>
              <w:pStyle w:val="TableText"/>
            </w:pPr>
            <w:r>
              <w:t>Web Push, generic lock-screen text + incident reference.</w:t>
            </w:r>
          </w:p>
        </w:tc>
        <w:tc>
          <w:tcPr>
            <w:tcW w:type="dxa" w:w="4040"/>
            <w:tcMar>
              <w:top w:w="80" w:type="dxa"/>
              <w:bottom w:w="80" w:type="dxa"/>
              <w:start w:w="120" w:type="dxa"/>
              <w:end w:w="120" w:type="dxa"/>
            </w:tcMar>
          </w:tcPr>
          <w:p>
            <w:pPr>
              <w:pStyle w:val="TableText"/>
            </w:pPr>
            <w:r>
              <w:t>Provider acceptance, optional app receipt and human action remain separate. Push is not a guaranteed response channel.</w:t>
            </w:r>
          </w:p>
        </w:tc>
      </w:tr>
      <w:tr>
        <w:trPr>
          <w:cantSplit/>
        </w:trPr>
        <w:tc>
          <w:tcPr>
            <w:tcW w:type="dxa" w:w="1640"/>
            <w:tcMar>
              <w:top w:w="80" w:type="dxa"/>
              <w:bottom w:w="80" w:type="dxa"/>
              <w:start w:w="120" w:type="dxa"/>
              <w:end w:w="120" w:type="dxa"/>
            </w:tcMar>
          </w:tcPr>
          <w:p>
            <w:pPr>
              <w:pStyle w:val="TableText"/>
            </w:pPr>
            <w:r>
              <w:t>Installer ↔ devices</w:t>
            </w:r>
          </w:p>
        </w:tc>
        <w:tc>
          <w:tcPr>
            <w:tcW w:type="dxa" w:w="3680"/>
            <w:tcMar>
              <w:top w:w="80" w:type="dxa"/>
              <w:bottom w:w="80" w:type="dxa"/>
              <w:start w:w="120" w:type="dxa"/>
              <w:end w:w="120" w:type="dxa"/>
            </w:tcMar>
          </w:tcPr>
          <w:p>
            <w:pPr>
              <w:pStyle w:val="TableText"/>
            </w:pPr>
            <w:r>
              <w:t>Local USB jig in physical service mode.</w:t>
            </w:r>
          </w:p>
        </w:tc>
        <w:tc>
          <w:tcPr>
            <w:tcW w:type="dxa" w:w="4040"/>
            <w:tcMar>
              <w:top w:w="80" w:type="dxa"/>
              <w:bottom w:w="80" w:type="dxa"/>
              <w:start w:w="120" w:type="dxa"/>
              <w:end w:w="120" w:type="dxa"/>
            </w:tcMar>
          </w:tcPr>
          <w:p>
            <w:pPr>
              <w:pStyle w:val="TableText"/>
            </w:pPr>
            <w:r>
              <w:t>Provisioning and signed maintenance image checks; no unauthenticated radio enrollment.</w:t>
            </w:r>
          </w:p>
        </w:tc>
      </w:tr>
      <w:tr>
        <w:trPr>
          <w:cantSplit/>
        </w:trPr>
        <w:tc>
          <w:tcPr>
            <w:tcW w:type="dxa" w:w="1640"/>
            <w:tcMar>
              <w:top w:w="80" w:type="dxa"/>
              <w:bottom w:w="80" w:type="dxa"/>
              <w:start w:w="120" w:type="dxa"/>
              <w:end w:w="120" w:type="dxa"/>
            </w:tcMar>
          </w:tcPr>
          <w:p>
            <w:pPr>
              <w:pStyle w:val="TableText"/>
            </w:pPr>
            <w:r>
              <w:t>Hub/node internal</w:t>
            </w:r>
          </w:p>
        </w:tc>
        <w:tc>
          <w:tcPr>
            <w:tcW w:type="dxa" w:w="3680"/>
            <w:tcMar>
              <w:top w:w="80" w:type="dxa"/>
              <w:bottom w:w="80" w:type="dxa"/>
              <w:start w:w="120" w:type="dxa"/>
              <w:end w:w="120" w:type="dxa"/>
            </w:tcMar>
          </w:tcPr>
          <w:p>
            <w:pPr>
              <w:pStyle w:val="TableText"/>
            </w:pPr>
            <w:r>
              <w:t>Bounded in-memory queues; journaled domain events.</w:t>
            </w:r>
          </w:p>
        </w:tc>
        <w:tc>
          <w:tcPr>
            <w:tcW w:type="dxa" w:w="4040"/>
            <w:tcMar>
              <w:top w:w="80" w:type="dxa"/>
              <w:bottom w:w="80" w:type="dxa"/>
              <w:start w:w="120" w:type="dxa"/>
              <w:end w:w="120" w:type="dxa"/>
            </w:tcMar>
          </w:tcPr>
          <w:p>
            <w:pPr>
              <w:pStyle w:val="TableText"/>
            </w:pPr>
            <w:r>
              <w:t>One state-owning reducer; durable commit before business ACK, no blocking driver callbacks.</w:t>
            </w:r>
          </w:p>
        </w:tc>
      </w:tr>
    </w:tbl>
    <w:p>
      <w:pPr>
        <w:pStyle w:val="TableSpacer"/>
      </w:pPr>
    </w:p>
    <w:p>
      <w:pPr>
        <w:pStyle w:val="Heading2"/>
      </w:pPr>
      <w:r>
        <w:rPr>
          <w:color w:val="000000"/>
        </w:rPr>
        <w:t>Radio envelope and identity</w:t>
      </w:r>
    </w:p>
    <w:p>
      <w:pPr>
        <w:pStyle w:val="Code"/>
        <w:keepLines/>
      </w:pPr>
      <w:r>
        <w:t>schema_v: 1</w:t>
        <w:br/>
        <w:t>kind: MOTION | DOOR_STATE | HEARTBEAT | SESSION_START</w:t>
        <w:br/>
        <w:t>node_id: 128-bit registered identifier</w:t>
        <w:br/>
        <w:t>session_id: 64-bit random cold-boot session</w:t>
        <w:br/>
        <w:t>seq: uint64, monotonic within session, retained across deep sleep</w:t>
        <w:br/>
        <w:t>event_ticks_ms: uint64 logical elapsed time within session</w:t>
        <w:br/>
        <w:t>age_uncertainty_ms: uint32</w:t>
        <w:br/>
        <w:t>config_v: uint32</w:t>
        <w:br/>
        <w:t>payload: typed sensor/status fields; battery_mv when sampled</w:t>
      </w:r>
    </w:p>
    <w:p>
      <w:pPr>
        <w:pStyle w:val="SpecBody"/>
      </w:pPr>
      <w:r>
        <w:t>The packet shall be encoded by the generated contract implementation, with compile-time/max-size tests. node_id is checked against the bonded peer; home/location are assigned from the hub registry, not trusted from the packet. Authenticate a new cold-boot session with a hub nonce exchange before admitting events. Ordinary deep-sleep wakes retain session/sequence and calibrated elapsed-time state. On hard power loss create a new session; queued old-session records preserve their original IDs/anchors and cannot masquerade as new observations. Sequence wraps are not supported; start a new authenticated session before wrap.</w:t>
      </w:r>
    </w:p>
    <w:p>
      <w:pPr>
        <w:pStyle w:val="SpecBody"/>
      </w:pPr>
      <w:r>
        <w:t>Per-node business queue: proposed 8 retained RAM slots (budget ≤1 KB serialized) plus a dedicated flash ring sized after actual flash confirmation. Timer heartbeats are coalesced and need no durable queue. PIR input held high must not cause a wake storm: wait/re-arm safely or use a bounded timer strategy, documenting any sampling gap. ESP-NOW channel recovery searches permitted regional channels with bounded dwell and backoff; loss of coverage remains visible until recovery.</w:t>
      </w:r>
    </w:p>
    <w:p>
      <w:pPr>
        <w:pStyle w:val="Heading2"/>
        <w:pageBreakBefore/>
      </w:pPr>
      <w:r>
        <w:rPr>
          <w:color w:val="000000"/>
        </w:rPr>
        <w:t>Cloud topics, commands and replay</w:t>
      </w:r>
    </w:p>
    <w:p>
      <w:pPr>
        <w:pStyle w:val="Code"/>
        <w:keepLines/>
      </w:pPr>
      <w:r>
        <w:t>fc/v1/hubs/{hub_id}/events       hub → ingest</w:t>
        <w:br/>
        <w:t>fc/v1/hubs/{hub_id}/heartbeat    hub → health service</w:t>
        <w:br/>
        <w:t>fc/v1/hubs/{hub_id}/commit       backend → hub: DB-committed IDs</w:t>
        <w:br/>
        <w:t>fc/v1/hubs/{hub_id}/commands     backend → hub: expiring commands</w:t>
        <w:br/>
        <w:t>fc/v1/hubs/{hub_id}/command_ack  hub → backend: applied/rejected</w:t>
        <w:br/>
        <w:t>fc/v1/hubs/{hub_id}/presence     Last Will / connection hint</w:t>
      </w:r>
    </w:p>
    <w:p>
      <w:pPr>
        <w:pStyle w:val="SpecBody"/>
      </w:pPr>
      <w:r>
        <w:t>Broker ACL binds the authenticated hub identity to its own topics; clients cannot choose a home by publishing another ID. Retain presence hints only, never contact requests or executable commands. The hub uses a persistent client ID/session, but correctness relies on its own durable outbox and the backend unique keys. Batch events only within a capped envelope (proposed 16 KB and 50 events). Malformed/oversized batches are rejected with a reason and do not block other homes.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7010"/>
      </w:tblGrid>
      <w:tr>
        <w:trPr>
          <w:cantSplit/>
          <w:tblHeader/>
        </w:trPr>
        <w:tc>
          <w:tcPr>
            <w:tcW w:type="dxa" w:w="2350"/>
            <w:tcMar>
              <w:top w:w="80" w:type="dxa"/>
              <w:bottom w:w="80" w:type="dxa"/>
              <w:start w:w="120" w:type="dxa"/>
              <w:end w:w="120" w:type="dxa"/>
            </w:tcMar>
            <w:shd w:fill="E8EEF5"/>
          </w:tcPr>
          <w:p>
            <w:pPr>
              <w:pStyle w:val="TableText"/>
            </w:pPr>
            <w:r>
              <w:rPr>
                <w:b/>
              </w:rPr>
              <w:t>Field / operation</w:t>
            </w:r>
          </w:p>
        </w:tc>
        <w:tc>
          <w:tcPr>
            <w:tcW w:type="dxa" w:w="7010"/>
            <w:tcMar>
              <w:top w:w="80" w:type="dxa"/>
              <w:bottom w:w="80" w:type="dxa"/>
              <w:start w:w="120" w:type="dxa"/>
              <w:end w:w="120" w:type="dxa"/>
            </w:tcMar>
            <w:shd w:fill="E8EEF5"/>
          </w:tcPr>
          <w:p>
            <w:pPr>
              <w:pStyle w:val="TableText"/>
            </w:pPr>
            <w:r>
              <w:rPr>
                <w:b/>
              </w:rPr>
              <w:t>Required semantics</w:t>
            </w:r>
          </w:p>
        </w:tc>
      </w:tr>
      <w:tr>
        <w:trPr>
          <w:cantSplit/>
        </w:trPr>
        <w:tc>
          <w:tcPr>
            <w:tcW w:type="dxa" w:w="2350"/>
            <w:tcMar>
              <w:top w:w="80" w:type="dxa"/>
              <w:bottom w:w="80" w:type="dxa"/>
              <w:start w:w="120" w:type="dxa"/>
              <w:end w:w="120" w:type="dxa"/>
            </w:tcMar>
          </w:tcPr>
          <w:p>
            <w:pPr>
              <w:pStyle w:val="TableText"/>
            </w:pPr>
            <w:r>
              <w:t>event_id</w:t>
            </w:r>
          </w:p>
        </w:tc>
        <w:tc>
          <w:tcPr>
            <w:tcW w:type="dxa" w:w="7010"/>
            <w:tcMar>
              <w:top w:w="80" w:type="dxa"/>
              <w:bottom w:w="80" w:type="dxa"/>
              <w:start w:w="120" w:type="dxa"/>
              <w:end w:w="120" w:type="dxa"/>
            </w:tcMar>
          </w:tcPr>
          <w:p>
            <w:pPr>
              <w:pStyle w:val="TableText"/>
            </w:pPr>
            <w:r>
              <w:t>Deterministic key from source/session/seq or hub journal epoch/seq. Globally unique within the source identity; immutable across retry.</w:t>
            </w:r>
          </w:p>
        </w:tc>
      </w:tr>
      <w:tr>
        <w:trPr>
          <w:cantSplit/>
        </w:trPr>
        <w:tc>
          <w:tcPr>
            <w:tcW w:type="dxa" w:w="2350"/>
            <w:tcMar>
              <w:top w:w="80" w:type="dxa"/>
              <w:bottom w:w="80" w:type="dxa"/>
              <w:start w:w="120" w:type="dxa"/>
              <w:end w:w="120" w:type="dxa"/>
            </w:tcMar>
          </w:tcPr>
          <w:p>
            <w:pPr>
              <w:pStyle w:val="TableText"/>
            </w:pPr>
            <w:r>
              <w:t>incident_id</w:t>
            </w:r>
          </w:p>
        </w:tc>
        <w:tc>
          <w:tcPr>
            <w:tcW w:type="dxa" w:w="7010"/>
            <w:tcMar>
              <w:top w:w="80" w:type="dxa"/>
              <w:bottom w:w="80" w:type="dxa"/>
              <w:start w:w="120" w:type="dxa"/>
              <w:end w:w="120" w:type="dxa"/>
            </w:tcMar>
          </w:tcPr>
          <w:p>
            <w:pPr>
              <w:pStyle w:val="TableText"/>
            </w:pPr>
            <w:r>
              <w:t>Routine: hash(home, hub_authority_epoch, rule, window_id). Contact: hash(home, source_event_id, CONTACT_REQUEST). Service faults use a separate backend namespace.</w:t>
            </w:r>
          </w:p>
        </w:tc>
      </w:tr>
      <w:tr>
        <w:trPr>
          <w:cantSplit/>
        </w:trPr>
        <w:tc>
          <w:tcPr>
            <w:tcW w:type="dxa" w:w="2350"/>
            <w:tcMar>
              <w:top w:w="80" w:type="dxa"/>
              <w:bottom w:w="80" w:type="dxa"/>
              <w:start w:w="120" w:type="dxa"/>
              <w:end w:w="120" w:type="dxa"/>
            </w:tcMar>
          </w:tcPr>
          <w:p>
            <w:pPr>
              <w:pStyle w:val="TableText"/>
            </w:pPr>
            <w:r>
              <w:t>command_id + expires_at</w:t>
            </w:r>
          </w:p>
        </w:tc>
        <w:tc>
          <w:tcPr>
            <w:tcW w:type="dxa" w:w="7010"/>
            <w:tcMar>
              <w:top w:w="80" w:type="dxa"/>
              <w:bottom w:w="80" w:type="dxa"/>
              <w:start w:w="120" w:type="dxa"/>
              <w:end w:w="120" w:type="dxa"/>
            </w:tcMar>
          </w:tcPr>
          <w:p>
            <w:pPr>
              <w:pStyle w:val="TableText"/>
            </w:pPr>
            <w:r>
              <w:t>Same ID across retries; reject after expiry or incompatible config version. Desired state is reconciled after reconnect with a new valid command.</w:t>
            </w:r>
          </w:p>
        </w:tc>
      </w:tr>
      <w:tr>
        <w:trPr>
          <w:cantSplit/>
        </w:trPr>
        <w:tc>
          <w:tcPr>
            <w:tcW w:type="dxa" w:w="2350"/>
            <w:tcMar>
              <w:top w:w="80" w:type="dxa"/>
              <w:bottom w:w="80" w:type="dxa"/>
              <w:start w:w="120" w:type="dxa"/>
              <w:end w:w="120" w:type="dxa"/>
            </w:tcMar>
          </w:tcPr>
          <w:p>
            <w:pPr>
              <w:pStyle w:val="TableText"/>
            </w:pPr>
            <w:r>
              <w:t>commit ACK</w:t>
            </w:r>
          </w:p>
        </w:tc>
        <w:tc>
          <w:tcPr>
            <w:tcW w:type="dxa" w:w="7010"/>
            <w:tcMar>
              <w:top w:w="80" w:type="dxa"/>
              <w:bottom w:w="80" w:type="dxa"/>
              <w:start w:w="120" w:type="dxa"/>
              <w:end w:w="120" w:type="dxa"/>
            </w:tcMar>
          </w:tcPr>
          <w:p>
            <w:pPr>
              <w:pStyle w:val="TableText"/>
            </w:pPr>
            <w:r>
              <w:t>Lists event IDs durably committed or already present. A failed DB transaction returns no commit ACK.</w:t>
            </w:r>
          </w:p>
        </w:tc>
      </w:tr>
      <w:tr>
        <w:trPr>
          <w:cantSplit/>
        </w:trPr>
        <w:tc>
          <w:tcPr>
            <w:tcW w:type="dxa" w:w="2350"/>
            <w:tcMar>
              <w:top w:w="80" w:type="dxa"/>
              <w:bottom w:w="80" w:type="dxa"/>
              <w:start w:w="120" w:type="dxa"/>
              <w:end w:w="120" w:type="dxa"/>
            </w:tcMar>
          </w:tcPr>
          <w:p>
            <w:pPr>
              <w:pStyle w:val="TableText"/>
            </w:pPr>
            <w:r>
              <w:t>node command ACK</w:t>
            </w:r>
          </w:p>
        </w:tc>
        <w:tc>
          <w:tcPr>
            <w:tcW w:type="dxa" w:w="7010"/>
            <w:tcMar>
              <w:top w:w="80" w:type="dxa"/>
              <w:bottom w:w="80" w:type="dxa"/>
              <w:start w:w="120" w:type="dxa"/>
              <w:end w:w="120" w:type="dxa"/>
            </w:tcMar>
          </w:tcPr>
          <w:p>
            <w:pPr>
              <w:pStyle w:val="TableText"/>
            </w:pPr>
            <w:r>
              <w:t>Includes command ID, applied_version/hash, result and reason. Configuration remains pending until this arrives.</w:t>
            </w:r>
          </w:p>
        </w:tc>
      </w:tr>
      <w:tr>
        <w:trPr>
          <w:cantSplit/>
        </w:trPr>
        <w:tc>
          <w:tcPr>
            <w:tcW w:type="dxa" w:w="2350"/>
            <w:tcMar>
              <w:top w:w="80" w:type="dxa"/>
              <w:bottom w:w="80" w:type="dxa"/>
              <w:start w:w="120" w:type="dxa"/>
              <w:end w:w="120" w:type="dxa"/>
            </w:tcMar>
          </w:tcPr>
          <w:p>
            <w:pPr>
              <w:pStyle w:val="TableText"/>
            </w:pPr>
            <w:r>
              <w:t>schema migration</w:t>
            </w:r>
          </w:p>
        </w:tc>
        <w:tc>
          <w:tcPr>
            <w:tcW w:type="dxa" w:w="7010"/>
            <w:tcMar>
              <w:top w:w="80" w:type="dxa"/>
              <w:bottom w:w="80" w:type="dxa"/>
              <w:start w:w="120" w:type="dxa"/>
              <w:end w:w="120" w:type="dxa"/>
            </w:tcMar>
          </w:tcPr>
          <w:p>
            <w:pPr>
              <w:pStyle w:val="TableText"/>
            </w:pPr>
            <w:r>
              <w:t>Readers tolerate additional optional fields within v1; incompatible changes use v2. Preserve v1 read support through the documented rollout/replay interval.</w:t>
            </w:r>
          </w:p>
        </w:tc>
      </w:tr>
    </w:tbl>
    <w:p>
      <w:pPr>
        <w:pStyle w:val="TableSpacer"/>
      </w:pPr>
    </w:p>
    <w:p>
      <w:pPr>
        <w:pStyle w:val="Heading2"/>
      </w:pPr>
      <w:r>
        <w:rPr>
          <w:color w:val="000000"/>
        </w:rPr>
        <w:t>Timing and default retry policy</w:t>
      </w:r>
    </w:p>
    <w:p>
      <w:pPr>
        <w:pStyle w:val="SpecBody"/>
      </w:pPr>
      <w:r>
        <w:t>Radio: 0.2/0.6/1.8-second retry delays with jitter, then defer to scheduled wake; cap time awake and queued records. Hub MQTT reconnect: exponential 1–60 seconds with jitter. Notification transient retries: 10 seconds, 30 seconds, 2 minutes and 5 minutes; stop on permanent errors and expose them. These are test defaults, not performance guarantees. Backlog replay is rate-limited per home so one recovered hub cannot starve live requests.</w:t>
      </w:r>
    </w:p>
    <w:p>
      <w:pPr>
        <w:pStyle w:val="SpecBody"/>
      </w:pPr>
      <w:r>
        <w:t>Single-radio constraint: the S3 station’s home Wi-Fi channel and its ESP-NOW peers must be compatible [S1]. Prefer a fixed, permitted 2.4-GHz router channel during an assisted pilot but still test automatic channel changes. Do not make “router never changes channel” a hidden reliability assumption.</w:t>
      </w:r>
    </w:p>
    <w:p>
      <w:pPr>
        <w:pStyle w:val="SpecBody"/>
      </w:pPr>
      <w:r>
        <w:t>External push is not transactionally atomic with PostgreSQL. If a worker crashes after a provider accepts a push but before recording the result, a retry may duplicate delivery. Persist attempt IDs before sending, use provider idempotency when available, and use a stable incident/stage notification tag in the PWA. Preserve this residual risk; claim only one business/job intent, not exactly-once phone delivery.</w:t>
      </w:r>
    </w:p>
    <w:p>
      <w:pPr>
        <w:pStyle w:val="Heading2"/>
        <w:pageBreakBefore/>
      </w:pPr>
      <w:r>
        <w:rPr>
          <w:color w:val="000000"/>
        </w:rPr>
        <w:t>End-to-end communication scenarios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580"/>
        <w:gridCol w:w="3970"/>
        <w:gridCol w:w="3810"/>
      </w:tblGrid>
      <w:tr>
        <w:trPr>
          <w:cantSplit/>
          <w:tblHeader/>
        </w:trPr>
        <w:tc>
          <w:tcPr>
            <w:tcW w:type="dxa" w:w="1580"/>
            <w:tcMar>
              <w:top w:w="80" w:type="dxa"/>
              <w:bottom w:w="80" w:type="dxa"/>
              <w:start w:w="120" w:type="dxa"/>
              <w:end w:w="120" w:type="dxa"/>
            </w:tcMar>
            <w:shd w:fill="E8EEF5"/>
          </w:tcPr>
          <w:p>
            <w:pPr>
              <w:pStyle w:val="TableText"/>
            </w:pPr>
            <w:r>
              <w:rPr>
                <w:b/>
              </w:rPr>
              <w:t>Scenario</w:t>
            </w:r>
          </w:p>
        </w:tc>
        <w:tc>
          <w:tcPr>
            <w:tcW w:type="dxa" w:w="3970"/>
            <w:tcMar>
              <w:top w:w="80" w:type="dxa"/>
              <w:bottom w:w="80" w:type="dxa"/>
              <w:start w:w="120" w:type="dxa"/>
              <w:end w:w="120" w:type="dxa"/>
            </w:tcMar>
            <w:shd w:fill="E8EEF5"/>
          </w:tcPr>
          <w:p>
            <w:pPr>
              <w:pStyle w:val="TableText"/>
            </w:pPr>
            <w:r>
              <w:rPr>
                <w:b/>
              </w:rPr>
              <w:t>Ordered exchange</w:t>
            </w:r>
          </w:p>
        </w:tc>
        <w:tc>
          <w:tcPr>
            <w:tcW w:type="dxa" w:w="3810"/>
            <w:tcMar>
              <w:top w:w="80" w:type="dxa"/>
              <w:bottom w:w="80" w:type="dxa"/>
              <w:start w:w="120" w:type="dxa"/>
              <w:end w:w="120" w:type="dxa"/>
            </w:tcMar>
            <w:shd w:fill="E8EEF5"/>
          </w:tcPr>
          <w:p>
            <w:pPr>
              <w:pStyle w:val="TableText"/>
            </w:pPr>
            <w:r>
              <w:rPr>
                <w:b/>
              </w:rPr>
              <w:t>Expected result / failure branch</w:t>
            </w:r>
          </w:p>
        </w:tc>
      </w:tr>
      <w:tr>
        <w:trPr>
          <w:cantSplit/>
        </w:trPr>
        <w:tc>
          <w:tcPr>
            <w:tcW w:type="dxa" w:w="1580"/>
            <w:tcMar>
              <w:top w:w="80" w:type="dxa"/>
              <w:bottom w:w="80" w:type="dxa"/>
              <w:start w:w="120" w:type="dxa"/>
              <w:end w:w="120" w:type="dxa"/>
            </w:tcMar>
          </w:tcPr>
          <w:p>
            <w:pPr>
              <w:pStyle w:val="TableText"/>
            </w:pPr>
            <w:r>
              <w:t>C01 Normal morning</w:t>
            </w:r>
          </w:p>
        </w:tc>
        <w:tc>
          <w:tcPr>
            <w:tcW w:type="dxa" w:w="3970"/>
            <w:tcMar>
              <w:top w:w="80" w:type="dxa"/>
              <w:bottom w:w="80" w:type="dxa"/>
              <w:start w:w="120" w:type="dxa"/>
              <w:end w:w="120" w:type="dxa"/>
            </w:tcMar>
          </w:tcPr>
          <w:p>
            <w:pPr>
              <w:pStyle w:val="TableText"/>
            </w:pPr>
            <w:r>
              <w:t>PIR → node journal → ESP-NOW → hub commit/ACK → reducer → MQTT → backend commit/ACK → app snapshot.</w:t>
            </w:r>
          </w:p>
        </w:tc>
        <w:tc>
          <w:tcPr>
            <w:tcW w:type="dxa" w:w="3810"/>
            <w:tcMar>
              <w:top w:w="80" w:type="dxa"/>
              <w:bottom w:w="80" w:type="dxa"/>
              <w:start w:w="120" w:type="dxa"/>
              <w:end w:w="120" w:type="dxa"/>
            </w:tcMar>
          </w:tcPr>
          <w:p>
            <w:pPr>
              <w:pStyle w:val="TableText"/>
            </w:pPr>
            <w:r>
              <w:t>Activity evidence appears once. No routine alert. Sensor health and self-check-in remain separate.</w:t>
            </w:r>
          </w:p>
        </w:tc>
      </w:tr>
      <w:tr>
        <w:trPr>
          <w:cantSplit/>
        </w:trPr>
        <w:tc>
          <w:tcPr>
            <w:tcW w:type="dxa" w:w="1580"/>
            <w:tcMar>
              <w:top w:w="80" w:type="dxa"/>
              <w:bottom w:w="80" w:type="dxa"/>
              <w:start w:w="120" w:type="dxa"/>
              <w:end w:w="120" w:type="dxa"/>
            </w:tcMar>
          </w:tcPr>
          <w:p>
            <w:pPr>
              <w:pStyle w:val="TableText"/>
            </w:pPr>
            <w:r>
              <w:t>C02 No movement</w:t>
            </w:r>
          </w:p>
        </w:tc>
        <w:tc>
          <w:tcPr>
            <w:tcW w:type="dxa" w:w="3970"/>
            <w:tcMar>
              <w:top w:w="80" w:type="dxa"/>
              <w:bottom w:w="80" w:type="dxa"/>
              <w:start w:w="120" w:type="dxa"/>
              <w:end w:w="120" w:type="dxa"/>
            </w:tcMar>
          </w:tcPr>
          <w:p>
            <w:pPr>
              <w:pStyle w:val="TableText"/>
            </w:pPr>
            <w:r>
              <w:t>Deadline → eligibility check → optional local reminder → grace timer → recheck → hub incident → backend route → phone.</w:t>
            </w:r>
          </w:p>
        </w:tc>
        <w:tc>
          <w:tcPr>
            <w:tcW w:type="dxa" w:w="3810"/>
            <w:tcMar>
              <w:top w:w="80" w:type="dxa"/>
              <w:bottom w:w="80" w:type="dxa"/>
              <w:start w:w="120" w:type="dxa"/>
              <w:end w:w="120" w:type="dxa"/>
            </w:tcMar>
          </w:tcPr>
          <w:p>
            <w:pPr>
              <w:pStyle w:val="TableText"/>
            </w:pPr>
            <w:r>
              <w:t>One explainable prompt only if coverage is eligible. A gap produces observation-incomplete/service status instead.</w:t>
            </w:r>
          </w:p>
        </w:tc>
      </w:tr>
      <w:tr>
        <w:trPr>
          <w:cantSplit/>
        </w:trPr>
        <w:tc>
          <w:tcPr>
            <w:tcW w:type="dxa" w:w="1580"/>
            <w:tcMar>
              <w:top w:w="80" w:type="dxa"/>
              <w:bottom w:w="80" w:type="dxa"/>
              <w:start w:w="120" w:type="dxa"/>
              <w:end w:w="120" w:type="dxa"/>
            </w:tcMar>
          </w:tcPr>
          <w:p>
            <w:pPr>
              <w:pStyle w:val="TableText"/>
            </w:pPr>
            <w:r>
              <w:t>C03 Manual contact</w:t>
            </w:r>
          </w:p>
        </w:tc>
        <w:tc>
          <w:tcPr>
            <w:tcW w:type="dxa" w:w="3970"/>
            <w:tcMar>
              <w:top w:w="80" w:type="dxa"/>
              <w:bottom w:w="80" w:type="dxa"/>
              <w:start w:w="120" w:type="dxa"/>
              <w:end w:w="120" w:type="dxa"/>
            </w:tcMar>
          </w:tcPr>
          <w:p>
            <w:pPr>
              <w:pStyle w:val="TableText"/>
            </w:pPr>
            <w:r>
              <w:t>Call button → local durable event → incident → primary push → human claim → human outcome → hub/app status.</w:t>
            </w:r>
          </w:p>
        </w:tc>
        <w:tc>
          <w:tcPr>
            <w:tcW w:type="dxa" w:w="3810"/>
            <w:tcMar>
              <w:top w:w="80" w:type="dxa"/>
              <w:bottom w:w="80" w:type="dxa"/>
              <w:start w:w="120" w:type="dxa"/>
              <w:end w:w="120" w:type="dxa"/>
            </w:tcMar>
          </w:tcPr>
          <w:p>
            <w:pPr>
              <w:pStyle w:val="TableText"/>
            </w:pPr>
            <w:r>
              <w:t>No-ack routes to backup. Claim without resolution has a 10-minute lease. Later PIR never resolves it.</w:t>
            </w:r>
          </w:p>
        </w:tc>
      </w:tr>
      <w:tr>
        <w:trPr>
          <w:cantSplit/>
        </w:trPr>
        <w:tc>
          <w:tcPr>
            <w:tcW w:type="dxa" w:w="1580"/>
            <w:tcMar>
              <w:top w:w="80" w:type="dxa"/>
              <w:bottom w:w="80" w:type="dxa"/>
              <w:start w:w="120" w:type="dxa"/>
              <w:end w:w="120" w:type="dxa"/>
            </w:tcMar>
          </w:tcPr>
          <w:p>
            <w:pPr>
              <w:pStyle w:val="TableText"/>
            </w:pPr>
            <w:r>
              <w:t>C04 WAN outage</w:t>
            </w:r>
          </w:p>
        </w:tc>
        <w:tc>
          <w:tcPr>
            <w:tcW w:type="dxa" w:w="3970"/>
            <w:tcMar>
              <w:top w:w="80" w:type="dxa"/>
              <w:bottom w:w="80" w:type="dxa"/>
              <w:start w:w="120" w:type="dxa"/>
              <w:end w:w="120" w:type="dxa"/>
            </w:tcMar>
          </w:tcPr>
          <w:p>
            <w:pPr>
              <w:pStyle w:val="TableText"/>
            </w:pPr>
            <w:r>
              <w:t>Hub cloud lease expires → backend service notice; nodes still send locally → hub queues → reconnect → prioritized replay.</w:t>
            </w:r>
          </w:p>
        </w:tc>
        <w:tc>
          <w:tcPr>
            <w:tcW w:type="dxa" w:w="3810"/>
            <w:tcMar>
              <w:top w:w="80" w:type="dxa"/>
              <w:bottom w:w="80" w:type="dxa"/>
              <w:start w:w="120" w:type="dxa"/>
              <w:end w:w="120" w:type="dxa"/>
            </w:tcMar>
          </w:tcPr>
          <w:p>
            <w:pPr>
              <w:pStyle w:val="TableText"/>
            </w:pPr>
            <w:r>
              <w:t>Remote service unavailable is visible. Late contact requests retain age; no fabricated real-time notification.</w:t>
            </w:r>
          </w:p>
        </w:tc>
      </w:tr>
      <w:tr>
        <w:trPr>
          <w:cantSplit/>
        </w:trPr>
        <w:tc>
          <w:tcPr>
            <w:tcW w:type="dxa" w:w="1580"/>
            <w:tcMar>
              <w:top w:w="80" w:type="dxa"/>
              <w:bottom w:w="80" w:type="dxa"/>
              <w:start w:w="120" w:type="dxa"/>
              <w:end w:w="120" w:type="dxa"/>
            </w:tcMar>
          </w:tcPr>
          <w:p>
            <w:pPr>
              <w:pStyle w:val="TableText"/>
            </w:pPr>
            <w:r>
              <w:t>C05 Node outage / channel change</w:t>
            </w:r>
          </w:p>
        </w:tc>
        <w:tc>
          <w:tcPr>
            <w:tcW w:type="dxa" w:w="3970"/>
            <w:tcMar>
              <w:top w:w="80" w:type="dxa"/>
              <w:bottom w:w="80" w:type="dxa"/>
              <w:start w:w="120" w:type="dxa"/>
              <w:end w:w="120" w:type="dxa"/>
            </w:tcMar>
          </w:tcPr>
          <w:p>
            <w:pPr>
              <w:pStyle w:val="TableText"/>
            </w:pPr>
            <w:r>
              <w:t>Missed leases or radio retry failure → coverage interval closes → node bounded reacquisition → new authenticated traffic.</w:t>
            </w:r>
          </w:p>
        </w:tc>
        <w:tc>
          <w:tcPr>
            <w:tcW w:type="dxa" w:w="3810"/>
            <w:tcMar>
              <w:top w:w="80" w:type="dxa"/>
              <w:bottom w:w="80" w:type="dxa"/>
              <w:start w:w="120" w:type="dxa"/>
              <w:end w:w="120" w:type="dxa"/>
            </w:tcMar>
          </w:tcPr>
          <w:p>
            <w:pPr>
              <w:pStyle w:val="TableText"/>
            </w:pPr>
            <w:r>
              <w:t>Current health recovers; historical observation gap remains. No retrospective “normal morning”.</w:t>
            </w:r>
          </w:p>
        </w:tc>
      </w:tr>
      <w:tr>
        <w:trPr>
          <w:cantSplit/>
        </w:trPr>
        <w:tc>
          <w:tcPr>
            <w:tcW w:type="dxa" w:w="1580"/>
            <w:tcMar>
              <w:top w:w="80" w:type="dxa"/>
              <w:bottom w:w="80" w:type="dxa"/>
              <w:start w:w="120" w:type="dxa"/>
              <w:end w:w="120" w:type="dxa"/>
            </w:tcMar>
          </w:tcPr>
          <w:p>
            <w:pPr>
              <w:pStyle w:val="TableText"/>
            </w:pPr>
            <w:r>
              <w:t>C06 Config while asleep</w:t>
            </w:r>
          </w:p>
        </w:tc>
        <w:tc>
          <w:tcPr>
            <w:tcW w:type="dxa" w:w="3970"/>
            <w:tcMar>
              <w:top w:w="80" w:type="dxa"/>
              <w:bottom w:w="80" w:type="dxa"/>
              <w:start w:w="120" w:type="dxa"/>
              <w:end w:w="120" w:type="dxa"/>
            </w:tcMar>
          </w:tcPr>
          <w:p>
            <w:pPr>
              <w:pStyle w:val="TableText"/>
            </w:pPr>
            <w:r>
              <w:t>App desired version → backend command → hub staging/apply → node next wake receives command → node apply ACK.</w:t>
            </w:r>
          </w:p>
        </w:tc>
        <w:tc>
          <w:tcPr>
            <w:tcW w:type="dxa" w:w="3810"/>
            <w:tcMar>
              <w:top w:w="80" w:type="dxa"/>
              <w:bottom w:w="80" w:type="dxa"/>
              <w:start w:w="120" w:type="dxa"/>
              <w:end w:w="120" w:type="dxa"/>
            </w:tcMar>
          </w:tcPr>
          <w:p>
            <w:pPr>
              <w:pStyle w:val="TableText"/>
            </w:pPr>
            <w:r>
              <w:t>App shows hub/node applied versions independently; stale heartbeat settings are not assumed applied.</w:t>
            </w:r>
          </w:p>
        </w:tc>
      </w:tr>
      <w:tr>
        <w:trPr>
          <w:cantSplit/>
        </w:trPr>
        <w:tc>
          <w:tcPr>
            <w:tcW w:type="dxa" w:w="1580"/>
            <w:tcMar>
              <w:top w:w="80" w:type="dxa"/>
              <w:bottom w:w="80" w:type="dxa"/>
              <w:start w:w="120" w:type="dxa"/>
              <w:end w:w="120" w:type="dxa"/>
            </w:tcMar>
          </w:tcPr>
          <w:p>
            <w:r>
              <w:t>C07 Consent withdrawal / internal privacy enforcement</w:t>
            </w:r>
          </w:p>
        </w:tc>
        <w:tc>
          <w:tcPr>
            <w:tcW w:type="dxa" w:w="3970"/>
            <w:tcMar>
              <w:top w:w="80" w:type="dxa"/>
              <w:bottom w:w="80" w:type="dxa"/>
              <w:start w:w="120" w:type="dxa"/>
              <w:end w:w="120" w:type="dxa"/>
            </w:tcMar>
          </w:tcPr>
          <w:p>
            <w:r>
              <w:t>Authenticated consent withdrawal → backend/config intent → hub applied state → internal passive-collection gate; explicit re-consent is required before observation resumes.</w:t>
            </w:r>
          </w:p>
        </w:tc>
        <w:tc>
          <w:tcPr>
            <w:tcW w:type="dxa" w:w="3810"/>
            <w:tcMar>
              <w:top w:w="80" w:type="dxa"/>
              <w:bottom w:w="80" w:type="dxa"/>
              <w:start w:w="120" w:type="dxa"/>
              <w:end w:w="120" w:type="dxa"/>
            </w:tcMar>
          </w:tcPr>
          <w:p>
            <w:r>
              <w:t>No normal Privacy ON/OFF toggle exists. Until the hub reports the withdrawal applied, the remote request is pending; after apply, passive collection is suppressed and audit state is visible.</w:t>
            </w:r>
          </w:p>
        </w:tc>
      </w:tr>
      <w:tr>
        <w:trPr>
          <w:cantSplit/>
        </w:trPr>
        <w:tc>
          <w:tcPr>
            <w:tcW w:type="dxa" w:w="1580"/>
            <w:tcMar>
              <w:top w:w="80" w:type="dxa"/>
              <w:bottom w:w="80" w:type="dxa"/>
              <w:start w:w="120" w:type="dxa"/>
              <w:end w:w="120" w:type="dxa"/>
            </w:tcMar>
          </w:tcPr>
          <w:p>
            <w:pPr>
              <w:pStyle w:val="TableText"/>
            </w:pPr>
            <w:r>
              <w:t>C08 Reboot at deadline</w:t>
            </w:r>
          </w:p>
        </w:tc>
        <w:tc>
          <w:tcPr>
            <w:tcW w:type="dxa" w:w="3970"/>
            <w:tcMar>
              <w:top w:w="80" w:type="dxa"/>
              <w:bottom w:w="80" w:type="dxa"/>
              <w:start w:w="120" w:type="dxa"/>
              <w:end w:w="120" w:type="dxa"/>
            </w:tcMar>
          </w:tcPr>
          <w:p>
            <w:pPr>
              <w:pStyle w:val="TableText"/>
            </w:pPr>
            <w:r>
              <w:t>Boot → switch/credentials/config check → journal replay → time trust check → rebuild timers → reducer.</w:t>
            </w:r>
          </w:p>
        </w:tc>
        <w:tc>
          <w:tcPr>
            <w:tcW w:type="dxa" w:w="3810"/>
            <w:tcMar>
              <w:top w:w="80" w:type="dxa"/>
              <w:bottom w:w="80" w:type="dxa"/>
              <w:start w:w="120" w:type="dxa"/>
              <w:end w:w="120" w:type="dxa"/>
            </w:tcMar>
          </w:tcPr>
          <w:p>
            <w:pPr>
              <w:pStyle w:val="TableText"/>
            </w:pPr>
            <w:r>
              <w:t>Same stable window/incident ID. If time or coverage cannot be recovered, result is incomplete, not absent.</w:t>
            </w:r>
          </w:p>
        </w:tc>
      </w:tr>
      <w:tr>
        <w:trPr>
          <w:cantSplit/>
        </w:trPr>
        <w:tc>
          <w:tcPr>
            <w:tcW w:type="dxa" w:w="1580"/>
            <w:tcMar>
              <w:top w:w="80" w:type="dxa"/>
              <w:bottom w:w="80" w:type="dxa"/>
              <w:start w:w="120" w:type="dxa"/>
              <w:end w:w="120" w:type="dxa"/>
            </w:tcMar>
          </w:tcPr>
          <w:p>
            <w:pPr>
              <w:pStyle w:val="TableText"/>
            </w:pPr>
            <w:r>
              <w:t>C09 Caregiver unavailable</w:t>
            </w:r>
          </w:p>
        </w:tc>
        <w:tc>
          <w:tcPr>
            <w:tcW w:type="dxa" w:w="3970"/>
            <w:tcMar>
              <w:top w:w="80" w:type="dxa"/>
              <w:bottom w:w="80" w:type="dxa"/>
              <w:start w:w="120" w:type="dxa"/>
              <w:end w:w="120" w:type="dxa"/>
            </w:tcMar>
          </w:tcPr>
          <w:p>
            <w:pPr>
              <w:pStyle w:val="TableText"/>
            </w:pPr>
            <w:r>
              <w:t>Primary timeout/failure → backup stage → no action or expired claim → route exhausted.</w:t>
            </w:r>
          </w:p>
        </w:tc>
        <w:tc>
          <w:tcPr>
            <w:tcW w:type="dxa" w:w="3810"/>
            <w:tcMar>
              <w:top w:w="80" w:type="dxa"/>
              <w:bottom w:w="80" w:type="dxa"/>
              <w:start w:w="120" w:type="dxa"/>
              <w:end w:w="120" w:type="dxa"/>
            </w:tcMar>
          </w:tcPr>
          <w:p>
            <w:pPr>
              <w:pStyle w:val="TableText"/>
            </w:pPr>
            <w:r>
              <w:t>Incident remains unresolved with failure reason. No infinite loop and no implied staffed monitoring.</w:t>
            </w:r>
          </w:p>
        </w:tc>
      </w:tr>
      <w:tr>
        <w:trPr>
          <w:cantSplit/>
        </w:trPr>
        <w:tc>
          <w:tcPr>
            <w:tcW w:type="dxa" w:w="1580"/>
            <w:tcMar>
              <w:top w:w="80" w:type="dxa"/>
              <w:bottom w:w="80" w:type="dxa"/>
              <w:start w:w="120" w:type="dxa"/>
              <w:end w:w="120" w:type="dxa"/>
            </w:tcMar>
          </w:tcPr>
          <w:p>
            <w:pPr>
              <w:pStyle w:val="TableText"/>
            </w:pPr>
            <w:r>
              <w:t>C10 Device replacement</w:t>
            </w:r>
          </w:p>
        </w:tc>
        <w:tc>
          <w:tcPr>
            <w:tcW w:type="dxa" w:w="3970"/>
            <w:tcMar>
              <w:top w:w="80" w:type="dxa"/>
              <w:bottom w:w="80" w:type="dxa"/>
              <w:start w:w="120" w:type="dxa"/>
              <w:end w:w="120" w:type="dxa"/>
            </w:tcMar>
          </w:tcPr>
          <w:p>
            <w:pPr>
              <w:pStyle w:val="TableText"/>
            </w:pPr>
            <w:r>
              <w:t>Owner + physical service authorization → revoke old peer/hub epoch → provision replacement → repeat tests → activate.</w:t>
            </w:r>
          </w:p>
        </w:tc>
        <w:tc>
          <w:tcPr>
            <w:tcW w:type="dxa" w:w="3810"/>
            <w:tcMar>
              <w:top w:w="80" w:type="dxa"/>
              <w:bottom w:w="80" w:type="dxa"/>
              <w:start w:w="120" w:type="dxa"/>
              <w:end w:w="120" w:type="dxa"/>
            </w:tcMar>
          </w:tcPr>
          <w:p>
            <w:pPr>
              <w:pStyle w:val="TableText"/>
            </w:pPr>
            <w:r>
              <w:t>History remains attributable. New hub cannot reuse authority before old hub is fenced/revoked.</w:t>
            </w:r>
          </w:p>
        </w:tc>
      </w:tr>
      <w:tr>
        <w:tc>
          <w:tcPr>
            <w:tcW w:type="dxa" w:w="1580"/>
          </w:tcPr>
          <w:p>
            <w:r>
              <w:t>C11 Morning sequence</w:t>
            </w:r>
          </w:p>
        </w:tc>
        <w:tc>
          <w:tcPr>
            <w:tcW w:type="dxa" w:w="3970"/>
          </w:tcPr>
          <w:p>
            <w:r>
              <w:t>Configured bedroom motion → bathroom/kitchen in either order → sequence-window evaluation → MORNING_ROUTINE_COMPLETED.</w:t>
            </w:r>
          </w:p>
        </w:tc>
        <w:tc>
          <w:tcPr>
            <w:tcW w:type="dxa" w:w="3810"/>
          </w:tcPr>
          <w:p>
            <w:r>
              <w:t>Completion is positive household routine evidence. Bathroom before the configured bedroom start does not complete; no resident identity is inferred.</w:t>
            </w:r>
          </w:p>
        </w:tc>
      </w:tr>
      <w:tr>
        <w:tc>
          <w:tcPr>
            <w:tcW w:type="dxa" w:w="1580"/>
          </w:tcPr>
          <w:p>
            <w:r>
              <w:t>C12 Night activity threshold</w:t>
            </w:r>
          </w:p>
        </w:tc>
        <w:tc>
          <w:tcPr>
            <w:tcW w:type="dxa" w:w="3970"/>
          </w:tcPr>
          <w:p>
            <w:r>
              <w:t>Night-window PIR events → merge repeated edges into visits → compare distinct visits with configured bathroom/common threshold → concern event if exceeded.</w:t>
            </w:r>
          </w:p>
        </w:tc>
        <w:tc>
          <w:tcPr>
            <w:tcW w:type="dxa" w:w="3810"/>
          </w:tcPr>
          <w:p>
            <w:r>
              <w:t>Equal-to-threshold stays normal; threshold+1 creates the rule-specific concern; outside-window activity does not count for this rule.</w:t>
            </w:r>
          </w:p>
        </w:tc>
      </w:tr>
      <w:tr>
        <w:tc>
          <w:tcPr>
            <w:tcW w:type="dxa" w:w="1580"/>
          </w:tcPr>
          <w:p>
            <w:r>
              <w:t>C13 Post-door inactivity</w:t>
            </w:r>
          </w:p>
        </w:tc>
        <w:tc>
          <w:tcPr>
            <w:tcW w:type="dxa" w:w="3970"/>
          </w:tcPr>
          <w:p>
            <w:r>
              <w:t>Door closed → arm configured post-door timer → indoor motion cancels OR timeout emits POST_DOOR_INACTIVITY → backend incident/read model/PWA.</w:t>
            </w:r>
          </w:p>
        </w:tc>
        <w:tc>
          <w:tcPr>
            <w:tcW w:type="dxa" w:w="3810"/>
          </w:tcPr>
          <w:p>
            <w:r>
              <w:t>No-motion concern is specific and explanatory. It does not prove the resident left or was harmed.</w:t>
            </w:r>
          </w:p>
        </w:tc>
      </w:tr>
      <w:tr>
        <w:tc>
          <w:tcPr>
            <w:tcW w:type="dxa" w:w="1580"/>
          </w:tcPr>
          <w:p>
            <w:r>
              <w:t>C14 Validation cleanup</w:t>
            </w:r>
          </w:p>
        </w:tc>
        <w:tc>
          <w:tcPr>
            <w:tcW w:type="dxa" w:w="3970"/>
          </w:tcPr>
          <w:p>
            <w:r>
              <w:t>Run all / Playwright scenario execution → synthetic states → cleanup/reset.</w:t>
            </w:r>
          </w:p>
        </w:tc>
        <w:tc>
          <w:tcPr>
            <w:tcW w:type="dxa" w:w="3810"/>
          </w:tcPr>
          <w:p>
            <w:r>
              <w:t>Dashboard returns to Reset/PASS. Validation-only state never remains as the live household care state.</w:t>
            </w:r>
          </w:p>
        </w:tc>
      </w:tr>
    </w:tbl>
    <w:p>
      <w:pPr>
        <w:pStyle w:val="TableSpacer"/>
      </w:pPr>
    </w:p>
    <w:p>
      <w:bookmarkStart w:id="6" w:name="state"/>
      <w:pPr>
        <w:pStyle w:val="Heading1"/>
        <w:pageBreakBefore/>
      </w:pPr>
      <w:r>
        <w:rPr>
          <w:color w:val="000000"/>
        </w:rPr>
        <w:t>6. State, time and persistence model</w:t>
      </w:r>
      <w:bookmarkEnd w:id="6"/>
    </w:p>
    <w:p>
      <w:pPr>
        <w:pStyle w:val="SpecBody"/>
      </w:pPr>
      <w:r>
        <w:t>Do not compress the home into one traffic-light enum. Separate dimensions are required because a check-in can coexist with a sensor outage, a contact request and visitor mode. The stored reason is part of the state, not just a UI tooltip.</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690"/>
        <w:gridCol w:w="3910"/>
        <w:gridCol w:w="3760"/>
      </w:tblGrid>
      <w:tr>
        <w:trPr>
          <w:cantSplit/>
          <w:tblHeader/>
        </w:trPr>
        <w:tc>
          <w:tcPr>
            <w:tcW w:type="dxa" w:w="1690"/>
            <w:tcMar>
              <w:top w:w="80" w:type="dxa"/>
              <w:bottom w:w="80" w:type="dxa"/>
              <w:start w:w="120" w:type="dxa"/>
              <w:end w:w="120" w:type="dxa"/>
            </w:tcMar>
            <w:shd w:fill="E8EEF5"/>
          </w:tcPr>
          <w:p>
            <w:pPr>
              <w:pStyle w:val="TableText"/>
            </w:pPr>
            <w:r>
              <w:rPr>
                <w:b/>
              </w:rPr>
              <w:t>Dimension</w:t>
            </w:r>
          </w:p>
        </w:tc>
        <w:tc>
          <w:tcPr>
            <w:tcW w:type="dxa" w:w="3910"/>
            <w:tcMar>
              <w:top w:w="80" w:type="dxa"/>
              <w:bottom w:w="80" w:type="dxa"/>
              <w:start w:w="120" w:type="dxa"/>
              <w:end w:w="120" w:type="dxa"/>
            </w:tcMar>
            <w:shd w:fill="E8EEF5"/>
          </w:tcPr>
          <w:p>
            <w:pPr>
              <w:pStyle w:val="TableText"/>
            </w:pPr>
            <w:r>
              <w:rPr>
                <w:b/>
              </w:rPr>
              <w:t>State / fields</w:t>
            </w:r>
          </w:p>
        </w:tc>
        <w:tc>
          <w:tcPr>
            <w:tcW w:type="dxa" w:w="3760"/>
            <w:tcMar>
              <w:top w:w="80" w:type="dxa"/>
              <w:bottom w:w="80" w:type="dxa"/>
              <w:start w:w="120" w:type="dxa"/>
              <w:end w:w="120" w:type="dxa"/>
            </w:tcMar>
            <w:shd w:fill="E8EEF5"/>
          </w:tcPr>
          <w:p>
            <w:pPr>
              <w:pStyle w:val="TableText"/>
            </w:pPr>
            <w:r>
              <w:rPr>
                <w:b/>
              </w:rPr>
              <w:t>Rules</w:t>
            </w:r>
          </w:p>
        </w:tc>
      </w:tr>
      <w:tr>
        <w:trPr>
          <w:cantSplit/>
        </w:trPr>
        <w:tc>
          <w:tcPr>
            <w:tcW w:type="dxa" w:w="1690"/>
            <w:tcMar>
              <w:top w:w="80" w:type="dxa"/>
              <w:bottom w:w="80" w:type="dxa"/>
              <w:start w:w="120" w:type="dxa"/>
              <w:end w:w="120" w:type="dxa"/>
            </w:tcMar>
          </w:tcPr>
          <w:p>
            <w:pPr>
              <w:pStyle w:val="TableText"/>
            </w:pPr>
            <w:r>
              <w:t>Consent/privacy</w:t>
            </w:r>
          </w:p>
        </w:tc>
        <w:tc>
          <w:tcPr>
            <w:tcW w:type="dxa" w:w="3910"/>
            <w:tcMar>
              <w:top w:w="80" w:type="dxa"/>
              <w:bottom w:w="80" w:type="dxa"/>
              <w:start w:w="120" w:type="dxa"/>
              <w:end w:w="120" w:type="dxa"/>
            </w:tcMar>
          </w:tcPr>
          <w:p>
            <w:r>
              <w:t>consent_valid; consent_version; privacy_enforced</w:t>
            </w:r>
          </w:p>
        </w:tc>
        <w:tc>
          <w:tcPr>
            <w:tcW w:type="dxa" w:w="3760"/>
            <w:tcMar>
              <w:top w:w="80" w:type="dxa"/>
              <w:bottom w:w="80" w:type="dxa"/>
              <w:start w:w="120" w:type="dxa"/>
              <w:end w:w="120" w:type="dxa"/>
            </w:tcMar>
          </w:tcPr>
          <w:p>
            <w:r>
              <w:t>Highest precedence once applied; no hub/cloud passive persistence while privacy_enforced. No user-facing toggle. Re-observation requires deliberate valid consent.</w:t>
            </w:r>
          </w:p>
        </w:tc>
      </w:tr>
      <w:tr>
        <w:trPr>
          <w:cantSplit/>
        </w:trPr>
        <w:tc>
          <w:tcPr>
            <w:tcW w:type="dxa" w:w="1690"/>
            <w:tcMar>
              <w:top w:w="80" w:type="dxa"/>
              <w:bottom w:w="80" w:type="dxa"/>
              <w:start w:w="120" w:type="dxa"/>
              <w:end w:w="120" w:type="dxa"/>
            </w:tcMar>
          </w:tcPr>
          <w:p>
            <w:pPr>
              <w:pStyle w:val="TableText"/>
            </w:pPr>
            <w:r>
              <w:t>Monitoring mode</w:t>
            </w:r>
          </w:p>
        </w:tc>
        <w:tc>
          <w:tcPr>
            <w:tcW w:type="dxa" w:w="3910"/>
            <w:tcMar>
              <w:top w:w="80" w:type="dxa"/>
              <w:bottom w:w="80" w:type="dxa"/>
              <w:start w:w="120" w:type="dxa"/>
              <w:end w:w="120" w:type="dxa"/>
            </w:tcMar>
          </w:tcPr>
          <w:p>
            <w:pPr>
              <w:pStyle w:val="TableText"/>
            </w:pPr>
            <w:r>
              <w:t>ACTIVE / AWAY / PAUSED / VISITOR + intervals</w:t>
            </w:r>
          </w:p>
        </w:tc>
        <w:tc>
          <w:tcPr>
            <w:tcW w:type="dxa" w:w="3760"/>
            <w:tcMar>
              <w:top w:w="80" w:type="dxa"/>
              <w:bottom w:w="80" w:type="dxa"/>
              <w:start w:w="120" w:type="dxa"/>
              <w:end w:w="120" w:type="dxa"/>
            </w:tcMar>
          </w:tcPr>
          <w:p>
            <w:pPr>
              <w:pStyle w:val="TableText"/>
            </w:pPr>
            <w:r>
              <w:t>Explicit exceptions; preserve effective times. Visitors invalidate resident-specific interpretation.</w:t>
            </w:r>
          </w:p>
        </w:tc>
      </w:tr>
      <w:tr>
        <w:trPr>
          <w:cantSplit/>
        </w:trPr>
        <w:tc>
          <w:tcPr>
            <w:tcW w:type="dxa" w:w="1690"/>
            <w:tcMar>
              <w:top w:w="80" w:type="dxa"/>
              <w:bottom w:w="80" w:type="dxa"/>
              <w:start w:w="120" w:type="dxa"/>
              <w:end w:w="120" w:type="dxa"/>
            </w:tcMar>
          </w:tcPr>
          <w:p>
            <w:pPr>
              <w:pStyle w:val="TableText"/>
            </w:pPr>
            <w:r>
              <w:t>Coverage</w:t>
            </w:r>
          </w:p>
        </w:tc>
        <w:tc>
          <w:tcPr>
            <w:tcW w:type="dxa" w:w="3910"/>
            <w:tcMar>
              <w:top w:w="80" w:type="dxa"/>
              <w:bottom w:w="80" w:type="dxa"/>
              <w:start w:w="120" w:type="dxa"/>
              <w:end w:w="120" w:type="dxa"/>
            </w:tcMar>
          </w:tcPr>
          <w:p>
            <w:pPr>
              <w:pStyle w:val="TableText"/>
            </w:pPr>
            <w:r>
              <w:t>AVAILABLE / DEGRADED / UNAVAILABLE + intervals/reasons</w:t>
            </w:r>
          </w:p>
        </w:tc>
        <w:tc>
          <w:tcPr>
            <w:tcW w:type="dxa" w:w="3760"/>
            <w:tcMar>
              <w:top w:w="80" w:type="dxa"/>
              <w:bottom w:w="80" w:type="dxa"/>
              <w:start w:w="120" w:type="dxa"/>
              <w:end w:w="120" w:type="dxa"/>
            </w:tcMar>
          </w:tcPr>
          <w:p>
            <w:pPr>
              <w:pStyle w:val="TableText"/>
            </w:pPr>
            <w:r>
              <w:t>Current coverage and window coverage are different. Heartbeats cannot prove a sensor is physically functioning.</w:t>
            </w:r>
          </w:p>
        </w:tc>
      </w:tr>
      <w:tr>
        <w:trPr>
          <w:cantSplit/>
        </w:trPr>
        <w:tc>
          <w:tcPr>
            <w:tcW w:type="dxa" w:w="1690"/>
            <w:tcMar>
              <w:top w:w="80" w:type="dxa"/>
              <w:bottom w:w="80" w:type="dxa"/>
              <w:start w:w="120" w:type="dxa"/>
              <w:end w:w="120" w:type="dxa"/>
            </w:tcMar>
          </w:tcPr>
          <w:p>
            <w:pPr>
              <w:pStyle w:val="TableText"/>
            </w:pPr>
            <w:r>
              <w:t>Time</w:t>
            </w:r>
          </w:p>
        </w:tc>
        <w:tc>
          <w:tcPr>
            <w:tcW w:type="dxa" w:w="3910"/>
            <w:tcMar>
              <w:top w:w="80" w:type="dxa"/>
              <w:bottom w:w="80" w:type="dxa"/>
              <w:start w:w="120" w:type="dxa"/>
              <w:end w:w="120" w:type="dxa"/>
            </w:tcMar>
          </w:tcPr>
          <w:p>
            <w:pPr>
              <w:pStyle w:val="TableText"/>
            </w:pPr>
            <w:r>
              <w:t>TRUSTED / UNCERTAIN / UNTRUSTED + uncertainty</w:t>
            </w:r>
          </w:p>
        </w:tc>
        <w:tc>
          <w:tcPr>
            <w:tcW w:type="dxa" w:w="3760"/>
            <w:tcMar>
              <w:top w:w="80" w:type="dxa"/>
              <w:bottom w:w="80" w:type="dxa"/>
              <w:start w:w="120" w:type="dxa"/>
              <w:end w:w="120" w:type="dxa"/>
            </w:tcMar>
          </w:tcPr>
          <w:p>
            <w:pPr>
              <w:pStyle w:val="TableText"/>
            </w:pPr>
            <w:r>
              <w:t>Absence evaluation requires trusted boundaries/clock. Manual requests remain available.</w:t>
            </w:r>
          </w:p>
        </w:tc>
      </w:tr>
      <w:tr>
        <w:trPr>
          <w:cantSplit/>
        </w:trPr>
        <w:tc>
          <w:tcPr>
            <w:tcW w:type="dxa" w:w="1690"/>
            <w:tcMar>
              <w:top w:w="80" w:type="dxa"/>
              <w:bottom w:w="80" w:type="dxa"/>
              <w:start w:w="120" w:type="dxa"/>
              <w:end w:w="120" w:type="dxa"/>
            </w:tcMar>
          </w:tcPr>
          <w:p>
            <w:pPr>
              <w:pStyle w:val="TableText"/>
            </w:pPr>
            <w:r>
              <w:t>Routine lifecycle</w:t>
            </w:r>
          </w:p>
        </w:tc>
        <w:tc>
          <w:tcPr>
            <w:tcW w:type="dxa" w:w="3910"/>
            <w:tcMar>
              <w:top w:w="80" w:type="dxa"/>
              <w:bottom w:w="80" w:type="dxa"/>
              <w:start w:w="120" w:type="dxa"/>
              <w:end w:w="120" w:type="dxa"/>
            </w:tcMar>
          </w:tcPr>
          <w:p>
            <w:pPr>
              <w:pStyle w:val="TableText"/>
            </w:pPr>
            <w:r>
              <w:t>WAITING / OBSERVING / GRACE / FINALIZED / ABORTED</w:t>
            </w:r>
          </w:p>
        </w:tc>
        <w:tc>
          <w:tcPr>
            <w:tcW w:type="dxa" w:w="3760"/>
            <w:tcMar>
              <w:top w:w="80" w:type="dxa"/>
              <w:bottom w:w="80" w:type="dxa"/>
              <w:start w:w="120" w:type="dxa"/>
              <w:end w:w="120" w:type="dxa"/>
            </w:tcMar>
          </w:tcPr>
          <w:p>
            <w:pPr>
              <w:pStyle w:val="TableText"/>
            </w:pPr>
            <w:r>
              <w:t>Window completion does not close independent incidents.</w:t>
            </w:r>
          </w:p>
        </w:tc>
      </w:tr>
      <w:tr>
        <w:trPr>
          <w:cantSplit/>
        </w:trPr>
        <w:tc>
          <w:tcPr>
            <w:tcW w:type="dxa" w:w="1690"/>
            <w:tcMar>
              <w:top w:w="80" w:type="dxa"/>
              <w:bottom w:w="80" w:type="dxa"/>
              <w:start w:w="120" w:type="dxa"/>
              <w:end w:w="120" w:type="dxa"/>
            </w:tcMar>
          </w:tcPr>
          <w:p>
            <w:pPr>
              <w:pStyle w:val="TableText"/>
            </w:pPr>
            <w:r>
              <w:t>Evidence</w:t>
            </w:r>
          </w:p>
        </w:tc>
        <w:tc>
          <w:tcPr>
            <w:tcW w:type="dxa" w:w="3910"/>
            <w:tcMar>
              <w:top w:w="80" w:type="dxa"/>
              <w:bottom w:w="80" w:type="dxa"/>
              <w:start w:w="120" w:type="dxa"/>
              <w:end w:w="120" w:type="dxa"/>
            </w:tcMar>
          </w:tcPr>
          <w:p>
            <w:pPr>
              <w:pStyle w:val="TableText"/>
            </w:pPr>
            <w:r>
              <w:t>activity_first_at; activity_last_at; self_checkin_at</w:t>
            </w:r>
          </w:p>
        </w:tc>
        <w:tc>
          <w:tcPr>
            <w:tcW w:type="dxa" w:w="3760"/>
            <w:tcMar>
              <w:top w:w="80" w:type="dxa"/>
              <w:bottom w:w="80" w:type="dxa"/>
              <w:start w:w="120" w:type="dxa"/>
              <w:end w:w="120" w:type="dxa"/>
            </w:tcMar>
          </w:tcPr>
          <w:p>
            <w:pPr>
              <w:pStyle w:val="TableText"/>
            </w:pPr>
            <w:r>
              <w:t>Independent nullable fields; both can be present. Do not overwrite one with the other.</w:t>
            </w:r>
          </w:p>
        </w:tc>
      </w:tr>
      <w:tr>
        <w:trPr>
          <w:cantSplit/>
        </w:trPr>
        <w:tc>
          <w:tcPr>
            <w:tcW w:type="dxa" w:w="1690"/>
            <w:tcMar>
              <w:top w:w="80" w:type="dxa"/>
              <w:bottom w:w="80" w:type="dxa"/>
              <w:start w:w="120" w:type="dxa"/>
              <w:end w:w="120" w:type="dxa"/>
            </w:tcMar>
          </w:tcPr>
          <w:p>
            <w:pPr>
              <w:pStyle w:val="TableText"/>
            </w:pPr>
            <w:r>
              <w:t>Window outcome</w:t>
            </w:r>
          </w:p>
        </w:tc>
        <w:tc>
          <w:tcPr>
            <w:tcW w:type="dxa" w:w="3910"/>
            <w:tcMar>
              <w:top w:w="80" w:type="dxa"/>
              <w:bottom w:w="80" w:type="dxa"/>
              <w:start w:w="120" w:type="dxa"/>
              <w:end w:w="120" w:type="dxa"/>
            </w:tcMar>
          </w:tcPr>
          <w:p>
            <w:pPr>
              <w:pStyle w:val="TableText"/>
            </w:pPr>
            <w:r>
              <w:t>SELF_CHECKIN / ACTIVITY_OBSERVED / NO_EVIDENCE / OBSERVATION_INCOMPLETE / SUPPRESSED</w:t>
            </w:r>
          </w:p>
        </w:tc>
        <w:tc>
          <w:tcPr>
            <w:tcW w:type="dxa" w:w="3760"/>
            <w:tcMar>
              <w:top w:w="80" w:type="dxa"/>
              <w:bottom w:w="80" w:type="dxa"/>
              <w:start w:w="120" w:type="dxa"/>
              <w:end w:w="120" w:type="dxa"/>
            </w:tcMar>
          </w:tcPr>
          <w:p>
            <w:pPr>
              <w:pStyle w:val="TableText"/>
            </w:pPr>
            <w:r>
              <w:t>A display summary with evidence retained; SELF_CHECKIN does not clear health warnings.</w:t>
            </w:r>
          </w:p>
        </w:tc>
      </w:tr>
      <w:tr>
        <w:trPr>
          <w:cantSplit/>
        </w:trPr>
        <w:tc>
          <w:tcPr>
            <w:tcW w:type="dxa" w:w="1690"/>
            <w:tcMar>
              <w:top w:w="80" w:type="dxa"/>
              <w:bottom w:w="80" w:type="dxa"/>
              <w:start w:w="120" w:type="dxa"/>
              <w:end w:w="120" w:type="dxa"/>
            </w:tcMar>
          </w:tcPr>
          <w:p>
            <w:pPr>
              <w:pStyle w:val="TableText"/>
            </w:pPr>
            <w:r>
              <w:t>Incident workflow</w:t>
            </w:r>
          </w:p>
        </w:tc>
        <w:tc>
          <w:tcPr>
            <w:tcW w:type="dxa" w:w="3910"/>
            <w:tcMar>
              <w:top w:w="80" w:type="dxa"/>
              <w:bottom w:w="80" w:type="dxa"/>
              <w:start w:w="120" w:type="dxa"/>
              <w:end w:w="120" w:type="dxa"/>
            </w:tcMar>
          </w:tcPr>
          <w:p>
            <w:pPr>
              <w:pStyle w:val="TableText"/>
            </w:pPr>
            <w:r>
              <w:t>OPEN / CLAIMED / RESOLVED / CLOSED_UNRESOLVED</w:t>
            </w:r>
          </w:p>
        </w:tc>
        <w:tc>
          <w:tcPr>
            <w:tcW w:type="dxa" w:w="3760"/>
            <w:tcMar>
              <w:top w:w="80" w:type="dxa"/>
              <w:bottom w:w="80" w:type="dxa"/>
              <w:start w:w="120" w:type="dxa"/>
              <w:end w:w="120" w:type="dxa"/>
            </w:tcMar>
          </w:tcPr>
          <w:p>
            <w:pPr>
              <w:pStyle w:val="TableText"/>
            </w:pPr>
            <w:r>
              <w:t>Human claim is leased; explicit outcome closes. Do not auto-close on activity.</w:t>
            </w:r>
          </w:p>
        </w:tc>
      </w:tr>
      <w:tr>
        <w:trPr>
          <w:cantSplit/>
        </w:trPr>
        <w:tc>
          <w:tcPr>
            <w:tcW w:type="dxa" w:w="1690"/>
            <w:tcMar>
              <w:top w:w="80" w:type="dxa"/>
              <w:bottom w:w="80" w:type="dxa"/>
              <w:start w:w="120" w:type="dxa"/>
              <w:end w:w="120" w:type="dxa"/>
            </w:tcMar>
          </w:tcPr>
          <w:p>
            <w:pPr>
              <w:pStyle w:val="TableText"/>
            </w:pPr>
            <w:r>
              <w:t>Delivery attempt</w:t>
            </w:r>
          </w:p>
        </w:tc>
        <w:tc>
          <w:tcPr>
            <w:tcW w:type="dxa" w:w="3910"/>
            <w:tcMar>
              <w:top w:w="80" w:type="dxa"/>
              <w:bottom w:w="80" w:type="dxa"/>
              <w:start w:w="120" w:type="dxa"/>
              <w:end w:w="120" w:type="dxa"/>
            </w:tcMar>
          </w:tcPr>
          <w:p>
            <w:pPr>
              <w:pStyle w:val="TableText"/>
            </w:pPr>
            <w:r>
              <w:t>QUEUED / SUBMITTED / PROVIDER_ACCEPTED / RETRYABLE_FAILED / PERMANENT_FAILED</w:t>
            </w:r>
          </w:p>
        </w:tc>
        <w:tc>
          <w:tcPr>
            <w:tcW w:type="dxa" w:w="3760"/>
            <w:tcMar>
              <w:top w:w="80" w:type="dxa"/>
              <w:bottom w:w="80" w:type="dxa"/>
              <w:start w:w="120" w:type="dxa"/>
              <w:end w:w="120" w:type="dxa"/>
            </w:tcMar>
          </w:tcPr>
          <w:p>
            <w:pPr>
              <w:pStyle w:val="TableText"/>
            </w:pPr>
            <w:r>
              <w:t>Optional app receipt stored separately; only authenticated human action is acknowledgement.</w:t>
            </w:r>
          </w:p>
        </w:tc>
      </w:tr>
    </w:tbl>
    <w:p>
      <w:pPr>
        <w:pStyle w:val="TableSpacer"/>
      </w:pPr>
    </w:p>
    <w:p>
      <w:pPr>
        <w:pStyle w:val="Heading2"/>
        <w:pageBreakBefore/>
      </w:pPr>
      <w:r>
        <w:rPr>
          <w:color w:val="000000"/>
        </w:rPr>
        <w:t>Deterministic morning decision</w:t>
      </w:r>
    </w:p>
    <w:p>
      <w:pPr>
        <w:pStyle w:val="Code"/>
        <w:keepLines/>
      </w:pPr>
      <w:r>
        <w:t>on deadline/grace tick or qualifying event:</w:t>
        <w:br/>
        <w:t xml:space="preserve">  replay/validate window and frozen config</w:t>
        <w:br/>
        <w:t xml:space="preserve">  update activity and self-check-in independently</w:t>
        <w:br/>
        <w:t xml:space="preserve">  if privacy/no consent: suppress passive routine</w:t>
        <w:br/>
        <w:t xml:space="preserve">  elif window contains away/pause/visitor: outcome = SUPPRESSED</w:t>
        <w:br/>
        <w:t xml:space="preserve">  elif self-checkin exists: outcome = SELF_CHECKIN</w:t>
        <w:br/>
        <w:t xml:space="preserve">  elif trusted in-window activity exists: outcome = ACTIVITY_OBSERVED</w:t>
        <w:br/>
        <w:t xml:space="preserve">  elif timing/coverage/data integrity is insufficient:</w:t>
        <w:br/>
        <w:t xml:space="preserve">       outcome = OBSERVATION_INCOMPLETE</w:t>
        <w:br/>
        <w:t xml:space="preserve">  elif deadline reached and grace not started: persist GRACE timer</w:t>
        <w:br/>
        <w:t xml:space="preserve">  elif grace expired: persist NO_EVIDENCE + one incident/outbox intent</w:t>
      </w:r>
    </w:p>
    <w:p>
      <w:pPr>
        <w:pStyle w:val="SpecBody"/>
      </w:pPr>
      <w:r>
        <w:t>Self-check-in/activity outcomes can be displayed while coverage is degraded; the orthogonal health dimension remains visible. A contact request is processed by a separate reducer and cannot be cleared by the morning outcome.</w:t>
      </w:r>
    </w:p>
    <w:p>
      <w:pPr>
        <w:pStyle w:val="Heading2"/>
      </w:pPr>
      <w:r>
        <w:rPr>
          <w:color w:val="000000"/>
        </w:rPr>
        <w:t>Coverage eligibility and clock recovery</w:t>
      </w:r>
    </w:p>
    <w:p>
      <w:pPr>
        <w:pStyle w:val="SpecBody"/>
      </w:pPr>
      <w:r>
        <w:t>Proposed P0 eligibility is conservative: every configured motion sensor has valid installation and lease coverage for the whole active window plus grace, no known dropped-event interval, no relevant mode gap, and trusted time. Once a lease expires, conservatively mark the unknown interval from its last confirmed contact to recovery. “Eligible” means no known gap under this model, not proof that every movement was detectable. Undetected failures within a lease and PIR limitations remain residual risks.</w:t>
      </w:r>
    </w:p>
    <w:p>
      <w:pPr>
        <w:pStyle w:val="SpecBody"/>
      </w:pPr>
      <w:r>
        <w:t>A motion event from one configured node can establish activity even when another node is down. The converse is not true: no events from a partially covered home cannot establish an inactivity condition. Late evidence with trustworthy occurrence time may revise the window result and append a correction to an incident, but shall not erase the original notification/audit history.</w:t>
      </w:r>
    </w:p>
    <w:p>
      <w:pPr>
        <w:pStyle w:val="SpecBody"/>
      </w:pPr>
      <w:r>
        <w:t>Window identity = schedule UUID + local date + frozen config version, scoped to home and hub-authority epoch. A backend-generated 90-day horizon contains UTC start/deadline/grace boundaries and timezone database version. Hub rules use those boundaries offline. Expired horizons cannot continue trusted routine evaluation. India uses Asia/Kolkata; future DST zones use tested, explicit overlap/gap policy described in E06.</w:t>
      </w:r>
    </w:p>
    <w:p>
      <w:pPr>
        <w:pStyle w:val="Heading2"/>
        <w:pageBreakBefore/>
      </w:pPr>
      <w:r>
        <w:rPr>
          <w:color w:val="000000"/>
        </w:rPr>
        <w:t>Proposed storage sizing and overflow behavior</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00"/>
        <w:gridCol w:w="3420"/>
        <w:gridCol w:w="4240"/>
      </w:tblGrid>
      <w:tr>
        <w:trPr>
          <w:cantSplit/>
          <w:tblHeader/>
        </w:trPr>
        <w:tc>
          <w:tcPr>
            <w:tcW w:type="dxa" w:w="1700"/>
            <w:tcMar>
              <w:top w:w="80" w:type="dxa"/>
              <w:bottom w:w="80" w:type="dxa"/>
              <w:start w:w="120" w:type="dxa"/>
              <w:end w:w="120" w:type="dxa"/>
            </w:tcMar>
            <w:shd w:fill="E8EEF5"/>
          </w:tcPr>
          <w:p>
            <w:pPr>
              <w:pStyle w:val="TableText"/>
            </w:pPr>
            <w:r>
              <w:rPr>
                <w:b/>
              </w:rPr>
              <w:t>Store</w:t>
            </w:r>
          </w:p>
        </w:tc>
        <w:tc>
          <w:tcPr>
            <w:tcW w:type="dxa" w:w="3420"/>
            <w:tcMar>
              <w:top w:w="80" w:type="dxa"/>
              <w:bottom w:w="80" w:type="dxa"/>
              <w:start w:w="120" w:type="dxa"/>
              <w:end w:w="120" w:type="dxa"/>
            </w:tcMar>
            <w:shd w:fill="E8EEF5"/>
          </w:tcPr>
          <w:p>
            <w:pPr>
              <w:pStyle w:val="TableText"/>
            </w:pPr>
            <w:r>
              <w:rPr>
                <w:b/>
              </w:rPr>
              <w:t>Initial engineering budget</w:t>
            </w:r>
          </w:p>
        </w:tc>
        <w:tc>
          <w:tcPr>
            <w:tcW w:type="dxa" w:w="4240"/>
            <w:tcMar>
              <w:top w:w="80" w:type="dxa"/>
              <w:bottom w:w="80" w:type="dxa"/>
              <w:start w:w="120" w:type="dxa"/>
              <w:end w:w="120" w:type="dxa"/>
            </w:tcMar>
            <w:shd w:fill="E8EEF5"/>
          </w:tcPr>
          <w:p>
            <w:pPr>
              <w:pStyle w:val="TableText"/>
            </w:pPr>
            <w:r>
              <w:rPr>
                <w:b/>
              </w:rPr>
              <w:t>Policy / validation</w:t>
            </w:r>
          </w:p>
        </w:tc>
      </w:tr>
      <w:tr>
        <w:trPr>
          <w:cantSplit/>
        </w:trPr>
        <w:tc>
          <w:tcPr>
            <w:tcW w:type="dxa" w:w="1700"/>
            <w:tcMar>
              <w:top w:w="80" w:type="dxa"/>
              <w:bottom w:w="80" w:type="dxa"/>
              <w:start w:w="120" w:type="dxa"/>
              <w:end w:w="120" w:type="dxa"/>
            </w:tcMar>
          </w:tcPr>
          <w:p>
            <w:pPr>
              <w:pStyle w:val="TableText"/>
            </w:pPr>
            <w:r>
              <w:t>Node retained state</w:t>
            </w:r>
          </w:p>
        </w:tc>
        <w:tc>
          <w:tcPr>
            <w:tcW w:type="dxa" w:w="3420"/>
            <w:tcMar>
              <w:top w:w="80" w:type="dxa"/>
              <w:bottom w:w="80" w:type="dxa"/>
              <w:start w:w="120" w:type="dxa"/>
              <w:end w:w="120" w:type="dxa"/>
            </w:tcMar>
          </w:tcPr>
          <w:p>
            <w:pPr>
              <w:pStyle w:val="TableText"/>
            </w:pPr>
            <w:r>
              <w:t>8 serialized event slots ≤1 KB + bounded metadata</w:t>
            </w:r>
          </w:p>
        </w:tc>
        <w:tc>
          <w:tcPr>
            <w:tcW w:type="dxa" w:w="4240"/>
            <w:tcMar>
              <w:top w:w="80" w:type="dxa"/>
              <w:bottom w:w="80" w:type="dxa"/>
              <w:start w:w="120" w:type="dxa"/>
              <w:end w:w="120" w:type="dxa"/>
            </w:tcMar>
          </w:tcPr>
          <w:p>
            <w:pPr>
              <w:pStyle w:val="TableText"/>
            </w:pPr>
            <w:r>
              <w:t>Retain session/sequence across deep sleep. Measure actual RTC memory usage; no dynamic unbounded queue.</w:t>
            </w:r>
          </w:p>
        </w:tc>
      </w:tr>
      <w:tr>
        <w:trPr>
          <w:cantSplit/>
        </w:trPr>
        <w:tc>
          <w:tcPr>
            <w:tcW w:type="dxa" w:w="1700"/>
            <w:tcMar>
              <w:top w:w="80" w:type="dxa"/>
              <w:bottom w:w="80" w:type="dxa"/>
              <w:start w:w="120" w:type="dxa"/>
              <w:end w:w="120" w:type="dxa"/>
            </w:tcMar>
          </w:tcPr>
          <w:p>
            <w:pPr>
              <w:pStyle w:val="TableText"/>
            </w:pPr>
            <w:r>
              <w:t>Node flash ring</w:t>
            </w:r>
          </w:p>
        </w:tc>
        <w:tc>
          <w:tcPr>
            <w:tcW w:type="dxa" w:w="3420"/>
            <w:tcMar>
              <w:top w:w="80" w:type="dxa"/>
              <w:bottom w:w="80" w:type="dxa"/>
              <w:start w:w="120" w:type="dxa"/>
              <w:end w:w="120" w:type="dxa"/>
            </w:tcMar>
          </w:tcPr>
          <w:p>
            <w:pPr>
              <w:pStyle w:val="TableText"/>
            </w:pPr>
            <w:r>
              <w:t>Candidate 64 KB, subject to actual board capacity</w:t>
            </w:r>
          </w:p>
        </w:tc>
        <w:tc>
          <w:tcPr>
            <w:tcW w:type="dxa" w:w="4240"/>
            <w:tcMar>
              <w:top w:w="80" w:type="dxa"/>
              <w:bottom w:w="80" w:type="dxa"/>
              <w:start w:w="120" w:type="dxa"/>
              <w:end w:w="120" w:type="dxa"/>
            </w:tcMar>
          </w:tcPr>
          <w:p>
            <w:pPr>
              <w:pStyle w:val="TableText"/>
            </w:pPr>
            <w:r>
              <w:t>Business events only, with CRC/commit. Coalesce heartbeats; test wear and interrupted writes.</w:t>
            </w:r>
          </w:p>
        </w:tc>
      </w:tr>
      <w:tr>
        <w:trPr>
          <w:cantSplit/>
        </w:trPr>
        <w:tc>
          <w:tcPr>
            <w:tcW w:type="dxa" w:w="1700"/>
            <w:tcMar>
              <w:top w:w="80" w:type="dxa"/>
              <w:bottom w:w="80" w:type="dxa"/>
              <w:start w:w="120" w:type="dxa"/>
              <w:end w:w="120" w:type="dxa"/>
            </w:tcMar>
          </w:tcPr>
          <w:p>
            <w:pPr>
              <w:pStyle w:val="TableText"/>
            </w:pPr>
            <w:r>
              <w:t>Hub callback queues</w:t>
            </w:r>
          </w:p>
        </w:tc>
        <w:tc>
          <w:tcPr>
            <w:tcW w:type="dxa" w:w="3420"/>
            <w:tcMar>
              <w:top w:w="80" w:type="dxa"/>
              <w:bottom w:w="80" w:type="dxa"/>
              <w:start w:w="120" w:type="dxa"/>
              <w:end w:w="120" w:type="dxa"/>
            </w:tcMar>
          </w:tcPr>
          <w:p>
            <w:pPr>
              <w:pStyle w:val="TableText"/>
            </w:pPr>
            <w:r>
              <w:t>128 × 192-byte copied event slots ≈24 KB</w:t>
            </w:r>
          </w:p>
        </w:tc>
        <w:tc>
          <w:tcPr>
            <w:tcW w:type="dxa" w:w="4240"/>
            <w:tcMar>
              <w:top w:w="80" w:type="dxa"/>
              <w:bottom w:w="80" w:type="dxa"/>
              <w:start w:w="120" w:type="dxa"/>
              <w:end w:w="120" w:type="dxa"/>
            </w:tcMar>
          </w:tcPr>
          <w:p>
            <w:pPr>
              <w:pStyle w:val="TableText"/>
            </w:pPr>
            <w:r>
              <w:t>Admission control; reserve UI/incident capacity. Cap incoming wire packet and verify serialization overhead.</w:t>
            </w:r>
          </w:p>
        </w:tc>
      </w:tr>
      <w:tr>
        <w:trPr>
          <w:cantSplit/>
        </w:trPr>
        <w:tc>
          <w:tcPr>
            <w:tcW w:type="dxa" w:w="1700"/>
            <w:tcMar>
              <w:top w:w="80" w:type="dxa"/>
              <w:bottom w:w="80" w:type="dxa"/>
              <w:start w:w="120" w:type="dxa"/>
              <w:end w:w="120" w:type="dxa"/>
            </w:tcMar>
          </w:tcPr>
          <w:p>
            <w:pPr>
              <w:pStyle w:val="TableText"/>
            </w:pPr>
            <w:r>
              <w:t>Hub data ring</w:t>
            </w:r>
          </w:p>
        </w:tc>
        <w:tc>
          <w:tcPr>
            <w:tcW w:type="dxa" w:w="3420"/>
            <w:tcMar>
              <w:top w:w="80" w:type="dxa"/>
              <w:bottom w:w="80" w:type="dxa"/>
              <w:start w:w="120" w:type="dxa"/>
              <w:end w:w="120" w:type="dxa"/>
            </w:tcMar>
          </w:tcPr>
          <w:p>
            <w:pPr>
              <w:pStyle w:val="TableText"/>
            </w:pPr>
            <w:r>
              <w:t>Candidate 2 MB, with 25% operating reserve</w:t>
            </w:r>
          </w:p>
        </w:tc>
        <w:tc>
          <w:tcPr>
            <w:tcW w:type="dxa" w:w="4240"/>
            <w:tcMar>
              <w:top w:w="80" w:type="dxa"/>
              <w:bottom w:w="80" w:type="dxa"/>
              <w:start w:w="120" w:type="dxa"/>
              <w:end w:w="120" w:type="dxa"/>
            </w:tcMar>
          </w:tcPr>
          <w:p>
            <w:pPr>
              <w:pStyle w:val="TableText"/>
            </w:pPr>
            <w:r>
              <w:t>At 256 bytes/record, 75% holds 6,144 records. At 500 business events/day, raw event budget ≈12 days before extra metadata; prove ≥72 hours with actual records.</w:t>
            </w:r>
          </w:p>
        </w:tc>
      </w:tr>
      <w:tr>
        <w:trPr>
          <w:cantSplit/>
        </w:trPr>
        <w:tc>
          <w:tcPr>
            <w:tcW w:type="dxa" w:w="1700"/>
            <w:tcMar>
              <w:top w:w="80" w:type="dxa"/>
              <w:bottom w:w="80" w:type="dxa"/>
              <w:start w:w="120" w:type="dxa"/>
              <w:end w:w="120" w:type="dxa"/>
            </w:tcMar>
          </w:tcPr>
          <w:p>
            <w:pPr>
              <w:pStyle w:val="TableText"/>
            </w:pPr>
            <w:r>
              <w:t>Hub partitions</w:t>
            </w:r>
          </w:p>
        </w:tc>
        <w:tc>
          <w:tcPr>
            <w:tcW w:type="dxa" w:w="3420"/>
            <w:tcMar>
              <w:top w:w="80" w:type="dxa"/>
              <w:bottom w:w="80" w:type="dxa"/>
              <w:start w:w="120" w:type="dxa"/>
              <w:end w:w="120" w:type="dxa"/>
            </w:tcMar>
          </w:tcPr>
          <w:p>
            <w:pPr>
              <w:pStyle w:val="TableText"/>
            </w:pPr>
            <w:r>
              <w:t>Two OTA app slots + NVS + credentials + journal</w:t>
            </w:r>
          </w:p>
        </w:tc>
        <w:tc>
          <w:tcPr>
            <w:tcW w:type="dxa" w:w="4240"/>
            <w:tcMar>
              <w:top w:w="80" w:type="dxa"/>
              <w:bottom w:w="80" w:type="dxa"/>
              <w:start w:w="120" w:type="dxa"/>
              <w:end w:w="120" w:type="dxa"/>
            </w:tcMar>
          </w:tcPr>
          <w:p>
            <w:pPr>
              <w:pStyle w:val="TableText"/>
            </w:pPr>
            <w:r>
              <w:t>Compile/link map decides exact partition sizes. Do not allocate based only on the board’s printed N16R8 label.</w:t>
            </w:r>
          </w:p>
        </w:tc>
      </w:tr>
      <w:tr>
        <w:trPr>
          <w:cantSplit/>
        </w:trPr>
        <w:tc>
          <w:tcPr>
            <w:tcW w:type="dxa" w:w="1700"/>
            <w:tcMar>
              <w:top w:w="80" w:type="dxa"/>
              <w:bottom w:w="80" w:type="dxa"/>
              <w:start w:w="120" w:type="dxa"/>
              <w:end w:w="120" w:type="dxa"/>
            </w:tcMar>
          </w:tcPr>
          <w:p>
            <w:pPr>
              <w:pStyle w:val="TableText"/>
            </w:pPr>
            <w:r>
              <w:t>Backend events</w:t>
            </w:r>
          </w:p>
        </w:tc>
        <w:tc>
          <w:tcPr>
            <w:tcW w:type="dxa" w:w="3420"/>
            <w:tcMar>
              <w:top w:w="80" w:type="dxa"/>
              <w:bottom w:w="80" w:type="dxa"/>
              <w:start w:w="120" w:type="dxa"/>
              <w:end w:w="120" w:type="dxa"/>
            </w:tcMar>
          </w:tcPr>
          <w:p>
            <w:pPr>
              <w:pStyle w:val="TableText"/>
            </w:pPr>
            <w:r>
              <w:t>30-day raw activity default; window summaries 90 days</w:t>
            </w:r>
          </w:p>
        </w:tc>
        <w:tc>
          <w:tcPr>
            <w:tcW w:type="dxa" w:w="4240"/>
            <w:tcMar>
              <w:top w:w="80" w:type="dxa"/>
              <w:bottom w:w="80" w:type="dxa"/>
              <w:start w:w="120" w:type="dxa"/>
              <w:end w:w="120" w:type="dxa"/>
            </w:tcMar>
          </w:tcPr>
          <w:p>
            <w:pPr>
              <w:pStyle w:val="TableText"/>
            </w:pPr>
            <w:r>
              <w:t>Partition by month only when justified; minimize personal detail; see deletion policy.</w:t>
            </w:r>
          </w:p>
        </w:tc>
      </w:tr>
      <w:tr>
        <w:trPr>
          <w:cantSplit/>
        </w:trPr>
        <w:tc>
          <w:tcPr>
            <w:tcW w:type="dxa" w:w="1700"/>
            <w:tcMar>
              <w:top w:w="80" w:type="dxa"/>
              <w:bottom w:w="80" w:type="dxa"/>
              <w:start w:w="120" w:type="dxa"/>
              <w:end w:w="120" w:type="dxa"/>
            </w:tcMar>
          </w:tcPr>
          <w:p>
            <w:pPr>
              <w:pStyle w:val="TableText"/>
            </w:pPr>
            <w:r>
              <w:t>Incident/audit data</w:t>
            </w:r>
          </w:p>
        </w:tc>
        <w:tc>
          <w:tcPr>
            <w:tcW w:type="dxa" w:w="3420"/>
            <w:tcMar>
              <w:top w:w="80" w:type="dxa"/>
              <w:bottom w:w="80" w:type="dxa"/>
              <w:start w:w="120" w:type="dxa"/>
              <w:end w:w="120" w:type="dxa"/>
            </w:tcMar>
          </w:tcPr>
          <w:p>
            <w:pPr>
              <w:pStyle w:val="TableText"/>
            </w:pPr>
            <w:r>
              <w:t>90-day product history default; security metadata 180 days</w:t>
            </w:r>
          </w:p>
        </w:tc>
        <w:tc>
          <w:tcPr>
            <w:tcW w:type="dxa" w:w="4240"/>
            <w:tcMar>
              <w:top w:w="80" w:type="dxa"/>
              <w:bottom w:w="80" w:type="dxa"/>
              <w:start w:w="120" w:type="dxa"/>
              <w:end w:w="120" w:type="dxa"/>
            </w:tcMar>
          </w:tcPr>
          <w:p>
            <w:pPr>
              <w:pStyle w:val="TableText"/>
            </w:pPr>
            <w:r>
              <w:t>No permanent personal archive. Exact retention/obligations reviewed before launch.</w:t>
            </w:r>
          </w:p>
        </w:tc>
      </w:tr>
    </w:tbl>
    <w:p>
      <w:pPr>
        <w:pStyle w:val="TableSpacer"/>
      </w:pPr>
    </w:p>
    <w:p>
      <w:pPr>
        <w:pStyle w:val="SpecBody"/>
      </w:pPr>
      <w:r>
        <w:t>The hub’s 192-byte internal slot is a normalized record, not a promise that every possible 200-byte wire packet fits after copying. Validate/decode into the bounded internal type; reject unsupported payloads before enqueue or use a separately bounded raw buffer pool. Never memcpy an unchecked length. Under pressure, coalesce health samples and remove acknowledged/expired records first. If business records are lost, persist a gap marker where possible and invalidate absence eligibility.</w:t>
      </w:r>
    </w:p>
    <w:p>
      <w:pPr>
        <w:pStyle w:val="SpecBody"/>
      </w:pPr>
      <w:r>
        <w:t>Retain cloud-committed business records locally for at least 72 hours at the design workload even after retiring their outbox entries. After a backend restore, publish a new reconciliation epoch and request a bounded hub replay to recover available records. Missing older data is marked unknown; the 24-hour cloud backup RPO is not silently converted into complete history. Deduplication retention covers the maximum permitted replay period; reject ancient replays explicitly rather than creating new incidents.</w:t>
      </w:r>
    </w:p>
    <w:p>
      <w:bookmarkStart w:id="7" w:name="data"/>
      <w:pPr>
        <w:pStyle w:val="Heading1"/>
        <w:pageBreakBefore/>
      </w:pPr>
      <w:r>
        <w:rPr>
          <w:color w:val="000000"/>
        </w:rPr>
        <w:t>7. Data model, APIs and security design</w:t>
      </w:r>
      <w:bookmarkEnd w:id="7"/>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490"/>
        <w:gridCol w:w="3650"/>
        <w:gridCol w:w="3220"/>
      </w:tblGrid>
      <w:tr>
        <w:trPr>
          <w:cantSplit/>
          <w:tblHeader/>
        </w:trPr>
        <w:tc>
          <w:tcPr>
            <w:tcW w:type="dxa" w:w="2490"/>
            <w:tcMar>
              <w:top w:w="80" w:type="dxa"/>
              <w:bottom w:w="80" w:type="dxa"/>
              <w:start w:w="120" w:type="dxa"/>
              <w:end w:w="120" w:type="dxa"/>
            </w:tcMar>
            <w:shd w:fill="E8EEF5"/>
          </w:tcPr>
          <w:p>
            <w:pPr>
              <w:pStyle w:val="TableText"/>
            </w:pPr>
            <w:r>
              <w:rPr>
                <w:b/>
              </w:rPr>
              <w:t>Entity / key</w:t>
            </w:r>
          </w:p>
        </w:tc>
        <w:tc>
          <w:tcPr>
            <w:tcW w:type="dxa" w:w="3650"/>
            <w:tcMar>
              <w:top w:w="80" w:type="dxa"/>
              <w:bottom w:w="80" w:type="dxa"/>
              <w:start w:w="120" w:type="dxa"/>
              <w:end w:w="120" w:type="dxa"/>
            </w:tcMar>
            <w:shd w:fill="E8EEF5"/>
          </w:tcPr>
          <w:p>
            <w:pPr>
              <w:pStyle w:val="TableText"/>
            </w:pPr>
            <w:r>
              <w:rPr>
                <w:b/>
              </w:rPr>
              <w:t>Important fields</w:t>
            </w:r>
          </w:p>
        </w:tc>
        <w:tc>
          <w:tcPr>
            <w:tcW w:type="dxa" w:w="3220"/>
            <w:tcMar>
              <w:top w:w="80" w:type="dxa"/>
              <w:bottom w:w="80" w:type="dxa"/>
              <w:start w:w="120" w:type="dxa"/>
              <w:end w:w="120" w:type="dxa"/>
            </w:tcMar>
            <w:shd w:fill="E8EEF5"/>
          </w:tcPr>
          <w:p>
            <w:pPr>
              <w:pStyle w:val="TableText"/>
            </w:pPr>
            <w:r>
              <w:rPr>
                <w:b/>
              </w:rPr>
              <w:t>Invariant</w:t>
            </w:r>
          </w:p>
        </w:tc>
      </w:tr>
      <w:tr>
        <w:trPr>
          <w:cantSplit/>
        </w:trPr>
        <w:tc>
          <w:tcPr>
            <w:tcW w:type="dxa" w:w="2490"/>
            <w:tcMar>
              <w:top w:w="80" w:type="dxa"/>
              <w:bottom w:w="80" w:type="dxa"/>
              <w:start w:w="120" w:type="dxa"/>
              <w:end w:w="120" w:type="dxa"/>
            </w:tcMar>
          </w:tcPr>
          <w:p>
            <w:pPr>
              <w:pStyle w:val="TableText"/>
            </w:pPr>
            <w:r>
              <w:t>homes / home_id</w:t>
            </w:r>
          </w:p>
        </w:tc>
        <w:tc>
          <w:tcPr>
            <w:tcW w:type="dxa" w:w="3650"/>
            <w:tcMar>
              <w:top w:w="80" w:type="dxa"/>
              <w:bottom w:w="80" w:type="dxa"/>
              <w:start w:w="120" w:type="dxa"/>
              <w:end w:w="120" w:type="dxa"/>
            </w:tcMar>
          </w:tcPr>
          <w:p>
            <w:pPr>
              <w:pStyle w:val="TableText"/>
            </w:pPr>
            <w:r>
              <w:t>timezone, locale, owner, status, retention_policy</w:t>
            </w:r>
          </w:p>
        </w:tc>
        <w:tc>
          <w:tcPr>
            <w:tcW w:type="dxa" w:w="3220"/>
            <w:tcMar>
              <w:top w:w="80" w:type="dxa"/>
              <w:bottom w:w="80" w:type="dxa"/>
              <w:start w:w="120" w:type="dxa"/>
              <w:end w:w="120" w:type="dxa"/>
            </w:tcMar>
          </w:tcPr>
          <w:p>
            <w:pPr>
              <w:pStyle w:val="TableText"/>
            </w:pPr>
            <w:r>
              <w:t>All household data references one home.</w:t>
            </w:r>
          </w:p>
        </w:tc>
      </w:tr>
      <w:tr>
        <w:trPr>
          <w:cantSplit/>
        </w:trPr>
        <w:tc>
          <w:tcPr>
            <w:tcW w:type="dxa" w:w="2490"/>
            <w:tcMar>
              <w:top w:w="80" w:type="dxa"/>
              <w:bottom w:w="80" w:type="dxa"/>
              <w:start w:w="120" w:type="dxa"/>
              <w:end w:w="120" w:type="dxa"/>
            </w:tcMar>
          </w:tcPr>
          <w:p>
            <w:pPr>
              <w:pStyle w:val="TableText"/>
            </w:pPr>
            <w:r>
              <w:t>memberships / home_id,user_id</w:t>
            </w:r>
          </w:p>
        </w:tc>
        <w:tc>
          <w:tcPr>
            <w:tcW w:type="dxa" w:w="3650"/>
            <w:tcMar>
              <w:top w:w="80" w:type="dxa"/>
              <w:bottom w:w="80" w:type="dxa"/>
              <w:start w:w="120" w:type="dxa"/>
              <w:end w:w="120" w:type="dxa"/>
            </w:tcMar>
          </w:tcPr>
          <w:p>
            <w:pPr>
              <w:pStyle w:val="TableText"/>
            </w:pPr>
            <w:r>
              <w:t>role, accepted_at, revoked_at, expires_at</w:t>
            </w:r>
          </w:p>
        </w:tc>
        <w:tc>
          <w:tcPr>
            <w:tcW w:type="dxa" w:w="3220"/>
            <w:tcMar>
              <w:top w:w="80" w:type="dxa"/>
              <w:bottom w:w="80" w:type="dxa"/>
              <w:start w:w="120" w:type="dxa"/>
              <w:end w:w="120" w:type="dxa"/>
            </w:tcMar>
          </w:tcPr>
          <w:p>
            <w:pPr>
              <w:pStyle w:val="TableText"/>
            </w:pPr>
            <w:r>
              <w:t>Invitation is not active access; check membership on every request.</w:t>
            </w:r>
          </w:p>
        </w:tc>
      </w:tr>
      <w:tr>
        <w:trPr>
          <w:cantSplit/>
        </w:trPr>
        <w:tc>
          <w:tcPr>
            <w:tcW w:type="dxa" w:w="2490"/>
            <w:tcMar>
              <w:top w:w="80" w:type="dxa"/>
              <w:bottom w:w="80" w:type="dxa"/>
              <w:start w:w="120" w:type="dxa"/>
              <w:end w:w="120" w:type="dxa"/>
            </w:tcMar>
          </w:tcPr>
          <w:p>
            <w:pPr>
              <w:pStyle w:val="TableText"/>
            </w:pPr>
            <w:r>
              <w:t>consent_records / consent_id</w:t>
            </w:r>
          </w:p>
        </w:tc>
        <w:tc>
          <w:tcPr>
            <w:tcW w:type="dxa" w:w="3650"/>
            <w:tcMar>
              <w:top w:w="80" w:type="dxa"/>
              <w:bottom w:w="80" w:type="dxa"/>
              <w:start w:w="120" w:type="dxa"/>
              <w:end w:w="120" w:type="dxa"/>
            </w:tcMar>
          </w:tcPr>
          <w:p>
            <w:pPr>
              <w:pStyle w:val="TableText"/>
            </w:pPr>
            <w:r>
              <w:t>home, version, purpose, method, captured_at, withdrawn_at</w:t>
            </w:r>
          </w:p>
        </w:tc>
        <w:tc>
          <w:tcPr>
            <w:tcW w:type="dxa" w:w="3220"/>
            <w:tcMar>
              <w:top w:w="80" w:type="dxa"/>
              <w:bottom w:w="80" w:type="dxa"/>
              <w:start w:w="120" w:type="dxa"/>
              <w:end w:w="120" w:type="dxa"/>
            </w:tcMar>
          </w:tcPr>
          <w:p>
            <w:pPr>
              <w:pStyle w:val="TableText"/>
            </w:pPr>
            <w:r>
              <w:t>Append consent history; withdrawal takes effect independently of deletion.</w:t>
            </w:r>
          </w:p>
        </w:tc>
      </w:tr>
      <w:tr>
        <w:trPr>
          <w:cantSplit/>
        </w:trPr>
        <w:tc>
          <w:tcPr>
            <w:tcW w:type="dxa" w:w="2490"/>
            <w:tcMar>
              <w:top w:w="80" w:type="dxa"/>
              <w:bottom w:w="80" w:type="dxa"/>
              <w:start w:w="120" w:type="dxa"/>
              <w:end w:w="120" w:type="dxa"/>
            </w:tcMar>
          </w:tcPr>
          <w:p>
            <w:pPr>
              <w:pStyle w:val="TableText"/>
            </w:pPr>
            <w:r>
              <w:t>devices / device_id</w:t>
            </w:r>
          </w:p>
        </w:tc>
        <w:tc>
          <w:tcPr>
            <w:tcW w:type="dxa" w:w="3650"/>
            <w:tcMar>
              <w:top w:w="80" w:type="dxa"/>
              <w:bottom w:w="80" w:type="dxa"/>
              <w:start w:w="120" w:type="dxa"/>
              <w:end w:w="120" w:type="dxa"/>
            </w:tcMar>
          </w:tcPr>
          <w:p>
            <w:pPr>
              <w:pStyle w:val="TableText"/>
            </w:pPr>
            <w:r>
              <w:t>home, type, location, certificate, authority_epoch, firmware</w:t>
            </w:r>
          </w:p>
        </w:tc>
        <w:tc>
          <w:tcPr>
            <w:tcW w:type="dxa" w:w="3220"/>
            <w:tcMar>
              <w:top w:w="80" w:type="dxa"/>
              <w:bottom w:w="80" w:type="dxa"/>
              <w:start w:w="120" w:type="dxa"/>
              <w:end w:w="120" w:type="dxa"/>
            </w:tcMar>
          </w:tcPr>
          <w:p>
            <w:pPr>
              <w:pStyle w:val="TableText"/>
            </w:pPr>
            <w:r>
              <w:t>At most one active authoritative hub/home; replacement is fenced.</w:t>
            </w:r>
          </w:p>
        </w:tc>
      </w:tr>
      <w:tr>
        <w:trPr>
          <w:cantSplit/>
        </w:trPr>
        <w:tc>
          <w:tcPr>
            <w:tcW w:type="dxa" w:w="2490"/>
            <w:tcMar>
              <w:top w:w="80" w:type="dxa"/>
              <w:bottom w:w="80" w:type="dxa"/>
              <w:start w:w="120" w:type="dxa"/>
              <w:end w:w="120" w:type="dxa"/>
            </w:tcMar>
          </w:tcPr>
          <w:p>
            <w:pPr>
              <w:pStyle w:val="TableText"/>
            </w:pPr>
            <w:r>
              <w:t>config_versions / home,version</w:t>
            </w:r>
          </w:p>
        </w:tc>
        <w:tc>
          <w:tcPr>
            <w:tcW w:type="dxa" w:w="3650"/>
            <w:tcMar>
              <w:top w:w="80" w:type="dxa"/>
              <w:bottom w:w="80" w:type="dxa"/>
              <w:start w:w="120" w:type="dxa"/>
              <w:end w:w="120" w:type="dxa"/>
            </w:tcMar>
          </w:tcPr>
          <w:p>
            <w:pPr>
              <w:pStyle w:val="TableText"/>
            </w:pPr>
            <w:r>
              <w:t>schema, body_hash, desired/applied, effective_at</w:t>
            </w:r>
          </w:p>
        </w:tc>
        <w:tc>
          <w:tcPr>
            <w:tcW w:type="dxa" w:w="3220"/>
            <w:tcMar>
              <w:top w:w="80" w:type="dxa"/>
              <w:bottom w:w="80" w:type="dxa"/>
              <w:start w:w="120" w:type="dxa"/>
              <w:end w:w="120" w:type="dxa"/>
            </w:tcMar>
          </w:tcPr>
          <w:p>
            <w:pPr>
              <w:pStyle w:val="TableText"/>
            </w:pPr>
            <w:r>
              <w:t>Immutable versions; node application is tracked separately.</w:t>
            </w:r>
          </w:p>
        </w:tc>
      </w:tr>
      <w:tr>
        <w:trPr>
          <w:cantSplit/>
        </w:trPr>
        <w:tc>
          <w:tcPr>
            <w:tcW w:type="dxa" w:w="2490"/>
            <w:tcMar>
              <w:top w:w="80" w:type="dxa"/>
              <w:bottom w:w="80" w:type="dxa"/>
              <w:start w:w="120" w:type="dxa"/>
              <w:end w:w="120" w:type="dxa"/>
            </w:tcMar>
          </w:tcPr>
          <w:p>
            <w:pPr>
              <w:pStyle w:val="TableText"/>
            </w:pPr>
            <w:r>
              <w:t>events / home,event_id</w:t>
            </w:r>
          </w:p>
        </w:tc>
        <w:tc>
          <w:tcPr>
            <w:tcW w:type="dxa" w:w="3650"/>
            <w:tcMar>
              <w:top w:w="80" w:type="dxa"/>
              <w:bottom w:w="80" w:type="dxa"/>
              <w:start w:w="120" w:type="dxa"/>
              <w:end w:w="120" w:type="dxa"/>
            </w:tcMar>
          </w:tcPr>
          <w:p>
            <w:pPr>
              <w:pStyle w:val="TableText"/>
            </w:pPr>
            <w:r>
              <w:t>source/session/seq, kind, times, time_quality, payload</w:t>
            </w:r>
          </w:p>
        </w:tc>
        <w:tc>
          <w:tcPr>
            <w:tcW w:type="dxa" w:w="3220"/>
            <w:tcMar>
              <w:top w:w="80" w:type="dxa"/>
              <w:bottom w:w="80" w:type="dxa"/>
              <w:start w:w="120" w:type="dxa"/>
              <w:end w:w="120" w:type="dxa"/>
            </w:tcMar>
          </w:tcPr>
          <w:p>
            <w:pPr>
              <w:pStyle w:val="TableText"/>
            </w:pPr>
            <w:r>
              <w:t>Unique idempotency key; store home from verified identity.</w:t>
            </w:r>
          </w:p>
        </w:tc>
      </w:tr>
      <w:tr>
        <w:trPr>
          <w:cantSplit/>
        </w:trPr>
        <w:tc>
          <w:tcPr>
            <w:tcW w:type="dxa" w:w="2490"/>
            <w:tcMar>
              <w:top w:w="80" w:type="dxa"/>
              <w:bottom w:w="80" w:type="dxa"/>
              <w:start w:w="120" w:type="dxa"/>
              <w:end w:w="120" w:type="dxa"/>
            </w:tcMar>
          </w:tcPr>
          <w:p>
            <w:pPr>
              <w:pStyle w:val="TableText"/>
            </w:pPr>
            <w:r>
              <w:t>coverage_intervals / interval_id</w:t>
            </w:r>
          </w:p>
        </w:tc>
        <w:tc>
          <w:tcPr>
            <w:tcW w:type="dxa" w:w="3650"/>
            <w:tcMar>
              <w:top w:w="80" w:type="dxa"/>
              <w:bottom w:w="80" w:type="dxa"/>
              <w:start w:w="120" w:type="dxa"/>
              <w:end w:w="120" w:type="dxa"/>
            </w:tcMar>
          </w:tcPr>
          <w:p>
            <w:pPr>
              <w:pStyle w:val="TableText"/>
            </w:pPr>
            <w:r>
              <w:t>home, node, start, end, cause, config_version</w:t>
            </w:r>
          </w:p>
        </w:tc>
        <w:tc>
          <w:tcPr>
            <w:tcW w:type="dxa" w:w="3220"/>
            <w:tcMar>
              <w:top w:w="80" w:type="dxa"/>
              <w:bottom w:w="80" w:type="dxa"/>
              <w:start w:w="120" w:type="dxa"/>
              <w:end w:w="120" w:type="dxa"/>
            </w:tcMar>
          </w:tcPr>
          <w:p>
            <w:pPr>
              <w:pStyle w:val="TableText"/>
            </w:pPr>
            <w:r>
              <w:t>Historical gaps are not overwritten by current recovery.</w:t>
            </w:r>
          </w:p>
        </w:tc>
      </w:tr>
      <w:tr>
        <w:trPr>
          <w:cantSplit/>
        </w:trPr>
        <w:tc>
          <w:tcPr>
            <w:tcW w:type="dxa" w:w="2490"/>
            <w:tcMar>
              <w:top w:w="80" w:type="dxa"/>
              <w:bottom w:w="80" w:type="dxa"/>
              <w:start w:w="120" w:type="dxa"/>
              <w:end w:w="120" w:type="dxa"/>
            </w:tcMar>
          </w:tcPr>
          <w:p>
            <w:pPr>
              <w:pStyle w:val="TableText"/>
            </w:pPr>
            <w:r>
              <w:t>routine_windows / home,window_id</w:t>
            </w:r>
          </w:p>
        </w:tc>
        <w:tc>
          <w:tcPr>
            <w:tcW w:type="dxa" w:w="3650"/>
            <w:tcMar>
              <w:top w:w="80" w:type="dxa"/>
              <w:bottom w:w="80" w:type="dxa"/>
              <w:start w:w="120" w:type="dxa"/>
              <w:end w:w="120" w:type="dxa"/>
            </w:tcMar>
          </w:tcPr>
          <w:p>
            <w:pPr>
              <w:pStyle w:val="TableText"/>
            </w:pPr>
            <w:r>
              <w:t>boundaries, evidence, outcome, revision, coverage summary</w:t>
            </w:r>
          </w:p>
        </w:tc>
        <w:tc>
          <w:tcPr>
            <w:tcW w:type="dxa" w:w="3220"/>
            <w:tcMar>
              <w:top w:w="80" w:type="dxa"/>
              <w:bottom w:w="80" w:type="dxa"/>
              <w:start w:w="120" w:type="dxa"/>
              <w:end w:w="120" w:type="dxa"/>
            </w:tcMar>
          </w:tcPr>
          <w:p>
            <w:pPr>
              <w:pStyle w:val="TableText"/>
            </w:pPr>
            <w:r>
              <w:t>One frozen configuration per window; retain outcome revisions.</w:t>
            </w:r>
          </w:p>
        </w:tc>
      </w:tr>
      <w:tr>
        <w:trPr>
          <w:cantSplit/>
        </w:trPr>
        <w:tc>
          <w:tcPr>
            <w:tcW w:type="dxa" w:w="2490"/>
            <w:tcMar>
              <w:top w:w="80" w:type="dxa"/>
              <w:bottom w:w="80" w:type="dxa"/>
              <w:start w:w="120" w:type="dxa"/>
              <w:end w:w="120" w:type="dxa"/>
            </w:tcMar>
          </w:tcPr>
          <w:p>
            <w:pPr>
              <w:pStyle w:val="TableText"/>
            </w:pPr>
            <w:r>
              <w:t>incidents / incident_id</w:t>
            </w:r>
          </w:p>
        </w:tc>
        <w:tc>
          <w:tcPr>
            <w:tcW w:type="dxa" w:w="3650"/>
            <w:tcMar>
              <w:top w:w="80" w:type="dxa"/>
              <w:bottom w:w="80" w:type="dxa"/>
              <w:start w:w="120" w:type="dxa"/>
              <w:end w:w="120" w:type="dxa"/>
            </w:tcMar>
          </w:tcPr>
          <w:p>
            <w:pPr>
              <w:pStyle w:val="TableText"/>
            </w:pPr>
            <w:r>
              <w:t>home, type, source/window, state, version, claim_until</w:t>
            </w:r>
          </w:p>
        </w:tc>
        <w:tc>
          <w:tcPr>
            <w:tcW w:type="dxa" w:w="3220"/>
            <w:tcMar>
              <w:top w:w="80" w:type="dxa"/>
              <w:bottom w:w="80" w:type="dxa"/>
              <w:start w:w="120" w:type="dxa"/>
              <w:end w:w="120" w:type="dxa"/>
            </w:tcMar>
          </w:tcPr>
          <w:p>
            <w:pPr>
              <w:pStyle w:val="TableText"/>
            </w:pPr>
            <w:r>
              <w:t>Stable origin ID; optimistic locking for human actions.</w:t>
            </w:r>
          </w:p>
        </w:tc>
      </w:tr>
      <w:tr>
        <w:trPr>
          <w:cantSplit/>
        </w:trPr>
        <w:tc>
          <w:tcPr>
            <w:tcW w:type="dxa" w:w="2490"/>
            <w:tcMar>
              <w:top w:w="80" w:type="dxa"/>
              <w:bottom w:w="80" w:type="dxa"/>
              <w:start w:w="120" w:type="dxa"/>
              <w:end w:w="120" w:type="dxa"/>
            </w:tcMar>
          </w:tcPr>
          <w:p>
            <w:pPr>
              <w:pStyle w:val="TableText"/>
            </w:pPr>
            <w:r>
              <w:t>incident_actions / action_id</w:t>
            </w:r>
          </w:p>
        </w:tc>
        <w:tc>
          <w:tcPr>
            <w:tcW w:type="dxa" w:w="3650"/>
            <w:tcMar>
              <w:top w:w="80" w:type="dxa"/>
              <w:bottom w:w="80" w:type="dxa"/>
              <w:start w:w="120" w:type="dxa"/>
              <w:end w:w="120" w:type="dxa"/>
            </w:tcMar>
          </w:tcPr>
          <w:p>
            <w:pPr>
              <w:pStyle w:val="TableText"/>
            </w:pPr>
            <w:r>
              <w:t>incident, actor, action, idempotency_key, time</w:t>
            </w:r>
          </w:p>
        </w:tc>
        <w:tc>
          <w:tcPr>
            <w:tcW w:type="dxa" w:w="3220"/>
            <w:tcMar>
              <w:top w:w="80" w:type="dxa"/>
              <w:bottom w:w="80" w:type="dxa"/>
              <w:start w:w="120" w:type="dxa"/>
              <w:end w:w="120" w:type="dxa"/>
            </w:tcMar>
          </w:tcPr>
          <w:p>
            <w:pPr>
              <w:pStyle w:val="TableText"/>
            </w:pPr>
            <w:r>
              <w:t>Append human actions; no implicit success from dialer launch.</w:t>
            </w:r>
          </w:p>
        </w:tc>
      </w:tr>
      <w:tr>
        <w:trPr>
          <w:cantSplit/>
        </w:trPr>
        <w:tc>
          <w:tcPr>
            <w:tcW w:type="dxa" w:w="2490"/>
            <w:tcMar>
              <w:top w:w="80" w:type="dxa"/>
              <w:bottom w:w="80" w:type="dxa"/>
              <w:start w:w="120" w:type="dxa"/>
              <w:end w:w="120" w:type="dxa"/>
            </w:tcMar>
          </w:tcPr>
          <w:p>
            <w:pPr>
              <w:pStyle w:val="TableText"/>
            </w:pPr>
            <w:r>
              <w:t>notification_jobs / job_id</w:t>
            </w:r>
          </w:p>
        </w:tc>
        <w:tc>
          <w:tcPr>
            <w:tcW w:type="dxa" w:w="3650"/>
            <w:tcMar>
              <w:top w:w="80" w:type="dxa"/>
              <w:bottom w:w="80" w:type="dxa"/>
              <w:start w:w="120" w:type="dxa"/>
              <w:end w:w="120" w:type="dxa"/>
            </w:tcMar>
          </w:tcPr>
          <w:p>
            <w:pPr>
              <w:pStyle w:val="TableText"/>
            </w:pPr>
            <w:r>
              <w:t>incident, recipient, stage, channel, next_at, lease_until</w:t>
            </w:r>
          </w:p>
        </w:tc>
        <w:tc>
          <w:tcPr>
            <w:tcW w:type="dxa" w:w="3220"/>
            <w:tcMar>
              <w:top w:w="80" w:type="dxa"/>
              <w:bottom w:w="80" w:type="dxa"/>
              <w:start w:w="120" w:type="dxa"/>
              <w:end w:w="120" w:type="dxa"/>
            </w:tcMar>
          </w:tcPr>
          <w:p>
            <w:pPr>
              <w:pStyle w:val="TableText"/>
            </w:pPr>
            <w:r>
              <w:t>Unique incident/recipient/stage/channel intent.</w:t>
            </w:r>
          </w:p>
        </w:tc>
      </w:tr>
      <w:tr>
        <w:trPr>
          <w:cantSplit/>
        </w:trPr>
        <w:tc>
          <w:tcPr>
            <w:tcW w:type="dxa" w:w="2490"/>
            <w:tcMar>
              <w:top w:w="80" w:type="dxa"/>
              <w:bottom w:w="80" w:type="dxa"/>
              <w:start w:w="120" w:type="dxa"/>
              <w:end w:w="120" w:type="dxa"/>
            </w:tcMar>
          </w:tcPr>
          <w:p>
            <w:pPr>
              <w:pStyle w:val="TableText"/>
            </w:pPr>
            <w:r>
              <w:t>delivery_attempts / attempt_id</w:t>
            </w:r>
          </w:p>
        </w:tc>
        <w:tc>
          <w:tcPr>
            <w:tcW w:type="dxa" w:w="3650"/>
            <w:tcMar>
              <w:top w:w="80" w:type="dxa"/>
              <w:bottom w:w="80" w:type="dxa"/>
              <w:start w:w="120" w:type="dxa"/>
              <w:end w:w="120" w:type="dxa"/>
            </w:tcMar>
          </w:tcPr>
          <w:p>
            <w:pPr>
              <w:pStyle w:val="TableText"/>
            </w:pPr>
            <w:r>
              <w:t>job, provider_result, error, submitted_at, receipt_at</w:t>
            </w:r>
          </w:p>
        </w:tc>
        <w:tc>
          <w:tcPr>
            <w:tcW w:type="dxa" w:w="3220"/>
            <w:tcMar>
              <w:top w:w="80" w:type="dxa"/>
              <w:bottom w:w="80" w:type="dxa"/>
              <w:start w:w="120" w:type="dxa"/>
              <w:end w:w="120" w:type="dxa"/>
            </w:tcMar>
          </w:tcPr>
          <w:p>
            <w:pPr>
              <w:pStyle w:val="TableText"/>
            </w:pPr>
            <w:r>
              <w:t>Transport and human acknowledgement remain distinct.</w:t>
            </w:r>
          </w:p>
        </w:tc>
      </w:tr>
      <w:tr>
        <w:trPr>
          <w:cantSplit/>
        </w:trPr>
        <w:tc>
          <w:tcPr>
            <w:tcW w:type="dxa" w:w="2490"/>
            <w:tcMar>
              <w:top w:w="80" w:type="dxa"/>
              <w:bottom w:w="80" w:type="dxa"/>
              <w:start w:w="120" w:type="dxa"/>
              <w:end w:w="120" w:type="dxa"/>
            </w:tcMar>
          </w:tcPr>
          <w:p>
            <w:pPr>
              <w:pStyle w:val="TableText"/>
            </w:pPr>
            <w:r>
              <w:t>outbox / id</w:t>
            </w:r>
          </w:p>
        </w:tc>
        <w:tc>
          <w:tcPr>
            <w:tcW w:type="dxa" w:w="3650"/>
            <w:tcMar>
              <w:top w:w="80" w:type="dxa"/>
              <w:bottom w:w="80" w:type="dxa"/>
              <w:start w:w="120" w:type="dxa"/>
              <w:end w:w="120" w:type="dxa"/>
            </w:tcMar>
          </w:tcPr>
          <w:p>
            <w:pPr>
              <w:pStyle w:val="TableText"/>
            </w:pPr>
            <w:r>
              <w:t>aggregate, payload, publish_state, attempts</w:t>
            </w:r>
          </w:p>
        </w:tc>
        <w:tc>
          <w:tcPr>
            <w:tcW w:type="dxa" w:w="3220"/>
            <w:tcMar>
              <w:top w:w="80" w:type="dxa"/>
              <w:bottom w:w="80" w:type="dxa"/>
              <w:start w:w="120" w:type="dxa"/>
              <w:end w:w="120" w:type="dxa"/>
            </w:tcMar>
          </w:tcPr>
          <w:p>
            <w:pPr>
              <w:pStyle w:val="TableText"/>
            </w:pPr>
            <w:r>
              <w:t>Transactionally created alongside the business change.</w:t>
            </w:r>
          </w:p>
        </w:tc>
      </w:tr>
      <w:tr>
        <w:trPr>
          <w:cantSplit/>
        </w:trPr>
        <w:tc>
          <w:tcPr>
            <w:tcW w:type="dxa" w:w="2490"/>
            <w:tcMar>
              <w:top w:w="80" w:type="dxa"/>
              <w:bottom w:w="80" w:type="dxa"/>
              <w:start w:w="120" w:type="dxa"/>
              <w:end w:w="120" w:type="dxa"/>
            </w:tcMar>
          </w:tcPr>
          <w:p>
            <w:pPr>
              <w:pStyle w:val="TableText"/>
            </w:pPr>
            <w:r>
              <w:t>push_subscriptions / id</w:t>
            </w:r>
          </w:p>
        </w:tc>
        <w:tc>
          <w:tcPr>
            <w:tcW w:type="dxa" w:w="3650"/>
            <w:tcMar>
              <w:top w:w="80" w:type="dxa"/>
              <w:bottom w:w="80" w:type="dxa"/>
              <w:start w:w="120" w:type="dxa"/>
              <w:end w:w="120" w:type="dxa"/>
            </w:tcMar>
          </w:tcPr>
          <w:p>
            <w:pPr>
              <w:pStyle w:val="TableText"/>
            </w:pPr>
            <w:r>
              <w:t>user, endpoint, encrypted credentials, status, tested_at</w:t>
            </w:r>
          </w:p>
        </w:tc>
        <w:tc>
          <w:tcPr>
            <w:tcW w:type="dxa" w:w="3220"/>
            <w:tcMar>
              <w:top w:w="80" w:type="dxa"/>
              <w:bottom w:w="80" w:type="dxa"/>
              <w:start w:w="120" w:type="dxa"/>
              <w:end w:w="120" w:type="dxa"/>
            </w:tcMar>
          </w:tcPr>
          <w:p>
            <w:pPr>
              <w:pStyle w:val="TableText"/>
            </w:pPr>
            <w:r>
              <w:t>Revoke invalid endpoint and removed member routing.</w:t>
            </w:r>
          </w:p>
        </w:tc>
      </w:tr>
      <w:tr>
        <w:trPr>
          <w:cantSplit/>
        </w:trPr>
        <w:tc>
          <w:tcPr>
            <w:tcW w:type="dxa" w:w="2490"/>
            <w:tcMar>
              <w:top w:w="80" w:type="dxa"/>
              <w:bottom w:w="80" w:type="dxa"/>
              <w:start w:w="120" w:type="dxa"/>
              <w:end w:w="120" w:type="dxa"/>
            </w:tcMar>
          </w:tcPr>
          <w:p>
            <w:pPr>
              <w:pStyle w:val="TableText"/>
            </w:pPr>
            <w:r>
              <w:t>audit + deletion_tombstones</w:t>
            </w:r>
          </w:p>
        </w:tc>
        <w:tc>
          <w:tcPr>
            <w:tcW w:type="dxa" w:w="3650"/>
            <w:tcMar>
              <w:top w:w="80" w:type="dxa"/>
              <w:bottom w:w="80" w:type="dxa"/>
              <w:start w:w="120" w:type="dxa"/>
              <w:end w:w="120" w:type="dxa"/>
            </w:tcMar>
          </w:tcPr>
          <w:p>
            <w:pPr>
              <w:pStyle w:val="TableText"/>
            </w:pPr>
            <w:r>
              <w:t>actor, action, target, expiry; deleted home IDs</w:t>
            </w:r>
          </w:p>
        </w:tc>
        <w:tc>
          <w:tcPr>
            <w:tcW w:type="dxa" w:w="3220"/>
            <w:tcMar>
              <w:top w:w="80" w:type="dxa"/>
              <w:bottom w:w="80" w:type="dxa"/>
              <w:start w:w="120" w:type="dxa"/>
              <w:end w:w="120" w:type="dxa"/>
            </w:tcMar>
          </w:tcPr>
          <w:p>
            <w:pPr>
              <w:pStyle w:val="TableText"/>
            </w:pPr>
            <w:r>
              <w:t>No secrets; tombstones prevent resurrection on restore.</w:t>
            </w:r>
          </w:p>
        </w:tc>
      </w:tr>
    </w:tbl>
    <w:p>
      <w:pPr>
        <w:pStyle w:val="TableSpacer"/>
      </w:pPr>
    </w:p>
    <w:p>
      <w:pPr>
        <w:pStyle w:val="SpecBody"/>
      </w:pPr>
      <w:r>
        <w:t>Indexes: events(home_id, occurred_at DESC, event_id); incidents(home_id, state, created_at DESC); jobs(state, next_at); memberships(user_id, home_id). All reads require home filtering; use cursor pagination, not unbounded history responses. Backend jobs acquire row leases with locking; committed unique keys are the final duplicate defense. A message broker alone cannot provide the transactional guarantees above.</w:t>
      </w:r>
    </w:p>
    <w:p>
      <w:pPr>
        <w:pStyle w:val="Heading2"/>
        <w:pageBreakBefore/>
      </w:pPr>
      <w:r>
        <w:rPr>
          <w:color w:val="000000"/>
        </w:rPr>
        <w:t>REST, command and error surface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3250"/>
        <w:gridCol w:w="2260"/>
        <w:gridCol w:w="3850"/>
      </w:tblGrid>
      <w:tr>
        <w:trPr>
          <w:cantSplit/>
          <w:tblHeader/>
        </w:trPr>
        <w:tc>
          <w:tcPr>
            <w:tcW w:type="dxa" w:w="3250"/>
            <w:tcMar>
              <w:top w:w="80" w:type="dxa"/>
              <w:bottom w:w="80" w:type="dxa"/>
              <w:start w:w="120" w:type="dxa"/>
              <w:end w:w="120" w:type="dxa"/>
            </w:tcMar>
            <w:shd w:fill="E8EEF5"/>
          </w:tcPr>
          <w:p>
            <w:pPr>
              <w:pStyle w:val="TableText"/>
            </w:pPr>
            <w:r>
              <w:rPr>
                <w:b/>
              </w:rPr>
              <w:t>Endpoint / command</w:t>
            </w:r>
          </w:p>
        </w:tc>
        <w:tc>
          <w:tcPr>
            <w:tcW w:type="dxa" w:w="2260"/>
            <w:tcMar>
              <w:top w:w="80" w:type="dxa"/>
              <w:bottom w:w="80" w:type="dxa"/>
              <w:start w:w="120" w:type="dxa"/>
              <w:end w:w="120" w:type="dxa"/>
            </w:tcMar>
            <w:shd w:fill="E8EEF5"/>
          </w:tcPr>
          <w:p>
            <w:pPr>
              <w:pStyle w:val="TableText"/>
            </w:pPr>
            <w:r>
              <w:rPr>
                <w:b/>
              </w:rPr>
              <w:t>Purpose</w:t>
            </w:r>
          </w:p>
        </w:tc>
        <w:tc>
          <w:tcPr>
            <w:tcW w:type="dxa" w:w="3850"/>
            <w:tcMar>
              <w:top w:w="80" w:type="dxa"/>
              <w:bottom w:w="80" w:type="dxa"/>
              <w:start w:w="120" w:type="dxa"/>
              <w:end w:w="120" w:type="dxa"/>
            </w:tcMar>
            <w:shd w:fill="E8EEF5"/>
          </w:tcPr>
          <w:p>
            <w:pPr>
              <w:pStyle w:val="TableText"/>
            </w:pPr>
            <w:r>
              <w:rPr>
                <w:b/>
              </w:rPr>
              <w:t>Access and behavior</w:t>
            </w:r>
          </w:p>
        </w:tc>
      </w:tr>
      <w:tr>
        <w:trPr>
          <w:cantSplit/>
        </w:trPr>
        <w:tc>
          <w:tcPr>
            <w:tcW w:type="dxa" w:w="3250"/>
            <w:tcMar>
              <w:top w:w="80" w:type="dxa"/>
              <w:bottom w:w="80" w:type="dxa"/>
              <w:start w:w="120" w:type="dxa"/>
              <w:end w:w="120" w:type="dxa"/>
            </w:tcMar>
          </w:tcPr>
          <w:p>
            <w:pPr>
              <w:pStyle w:val="TableText"/>
            </w:pPr>
            <w:r>
              <w:t>POST /v1/homes</w:t>
            </w:r>
          </w:p>
        </w:tc>
        <w:tc>
          <w:tcPr>
            <w:tcW w:type="dxa" w:w="2260"/>
            <w:tcMar>
              <w:top w:w="80" w:type="dxa"/>
              <w:bottom w:w="80" w:type="dxa"/>
              <w:start w:w="120" w:type="dxa"/>
              <w:end w:w="120" w:type="dxa"/>
            </w:tcMar>
          </w:tcPr>
          <w:p>
            <w:pPr>
              <w:pStyle w:val="TableText"/>
            </w:pPr>
            <w:r>
              <w:t>Create home</w:t>
            </w:r>
          </w:p>
        </w:tc>
        <w:tc>
          <w:tcPr>
            <w:tcW w:type="dxa" w:w="3850"/>
            <w:tcMar>
              <w:top w:w="80" w:type="dxa"/>
              <w:bottom w:w="80" w:type="dxa"/>
              <w:start w:w="120" w:type="dxa"/>
              <w:end w:w="120" w:type="dxa"/>
            </w:tcMar>
          </w:tcPr>
          <w:p>
            <w:pPr>
              <w:pStyle w:val="TableText"/>
            </w:pPr>
            <w:r>
              <w:t>Authenticated owner; validate timezone and defaults.</w:t>
            </w:r>
          </w:p>
        </w:tc>
      </w:tr>
      <w:tr>
        <w:trPr>
          <w:cantSplit/>
        </w:trPr>
        <w:tc>
          <w:tcPr>
            <w:tcW w:type="dxa" w:w="3250"/>
            <w:tcMar>
              <w:top w:w="80" w:type="dxa"/>
              <w:bottom w:w="80" w:type="dxa"/>
              <w:start w:w="120" w:type="dxa"/>
              <w:end w:w="120" w:type="dxa"/>
            </w:tcMar>
          </w:tcPr>
          <w:p>
            <w:pPr>
              <w:pStyle w:val="TableText"/>
            </w:pPr>
            <w:r>
              <w:t>POST /v1/homes/{id}/invites</w:t>
            </w:r>
          </w:p>
        </w:tc>
        <w:tc>
          <w:tcPr>
            <w:tcW w:type="dxa" w:w="2260"/>
            <w:tcMar>
              <w:top w:w="80" w:type="dxa"/>
              <w:bottom w:w="80" w:type="dxa"/>
              <w:start w:w="120" w:type="dxa"/>
              <w:end w:w="120" w:type="dxa"/>
            </w:tcMar>
          </w:tcPr>
          <w:p>
            <w:pPr>
              <w:pStyle w:val="TableText"/>
            </w:pPr>
            <w:r>
              <w:t>Invite caregiver/installer</w:t>
            </w:r>
          </w:p>
        </w:tc>
        <w:tc>
          <w:tcPr>
            <w:tcW w:type="dxa" w:w="3850"/>
            <w:tcMar>
              <w:top w:w="80" w:type="dxa"/>
              <w:bottom w:w="80" w:type="dxa"/>
              <w:start w:w="120" w:type="dxa"/>
              <w:end w:w="120" w:type="dxa"/>
            </w:tcMar>
          </w:tcPr>
          <w:p>
            <w:pPr>
              <w:pStyle w:val="TableText"/>
            </w:pPr>
            <w:r>
              <w:t>Owner only; single-use and expiring.</w:t>
            </w:r>
          </w:p>
        </w:tc>
      </w:tr>
      <w:tr>
        <w:trPr>
          <w:cantSplit/>
        </w:trPr>
        <w:tc>
          <w:tcPr>
            <w:tcW w:type="dxa" w:w="3250"/>
            <w:tcMar>
              <w:top w:w="80" w:type="dxa"/>
              <w:bottom w:w="80" w:type="dxa"/>
              <w:start w:w="120" w:type="dxa"/>
              <w:end w:w="120" w:type="dxa"/>
            </w:tcMar>
          </w:tcPr>
          <w:p>
            <w:pPr>
              <w:pStyle w:val="TableText"/>
            </w:pPr>
            <w:r>
              <w:t>POST /v1/homes/{id}/consent</w:t>
            </w:r>
          </w:p>
        </w:tc>
        <w:tc>
          <w:tcPr>
            <w:tcW w:type="dxa" w:w="2260"/>
            <w:tcMar>
              <w:top w:w="80" w:type="dxa"/>
              <w:bottom w:w="80" w:type="dxa"/>
              <w:start w:w="120" w:type="dxa"/>
              <w:end w:w="120" w:type="dxa"/>
            </w:tcMar>
          </w:tcPr>
          <w:p>
            <w:pPr>
              <w:pStyle w:val="TableText"/>
            </w:pPr>
            <w:r>
              <w:t>Record/withdraw consent</w:t>
            </w:r>
          </w:p>
        </w:tc>
        <w:tc>
          <w:tcPr>
            <w:tcW w:type="dxa" w:w="3850"/>
            <w:tcMar>
              <w:top w:w="80" w:type="dxa"/>
              <w:bottom w:w="80" w:type="dxa"/>
              <w:start w:w="120" w:type="dxa"/>
              <w:end w:w="120" w:type="dxa"/>
            </w:tcMar>
          </w:tcPr>
          <w:p>
            <w:pPr>
              <w:pStyle w:val="TableText"/>
            </w:pPr>
            <w:r>
              <w:t>Authorized resident-assisted workflow; record provenance.</w:t>
            </w:r>
          </w:p>
        </w:tc>
      </w:tr>
      <w:tr>
        <w:trPr>
          <w:cantSplit/>
        </w:trPr>
        <w:tc>
          <w:tcPr>
            <w:tcW w:type="dxa" w:w="3250"/>
            <w:tcMar>
              <w:top w:w="80" w:type="dxa"/>
              <w:bottom w:w="80" w:type="dxa"/>
              <w:start w:w="120" w:type="dxa"/>
              <w:end w:w="120" w:type="dxa"/>
            </w:tcMar>
          </w:tcPr>
          <w:p>
            <w:pPr>
              <w:pStyle w:val="TableText"/>
            </w:pPr>
            <w:r>
              <w:t>POST /v1/homes/{id}/claim-kit</w:t>
            </w:r>
          </w:p>
        </w:tc>
        <w:tc>
          <w:tcPr>
            <w:tcW w:type="dxa" w:w="2260"/>
            <w:tcMar>
              <w:top w:w="80" w:type="dxa"/>
              <w:bottom w:w="80" w:type="dxa"/>
              <w:start w:w="120" w:type="dxa"/>
              <w:end w:w="120" w:type="dxa"/>
            </w:tcMar>
          </w:tcPr>
          <w:p>
            <w:pPr>
              <w:pStyle w:val="TableText"/>
            </w:pPr>
            <w:r>
              <w:t>Bind kit</w:t>
            </w:r>
          </w:p>
        </w:tc>
        <w:tc>
          <w:tcPr>
            <w:tcW w:type="dxa" w:w="3850"/>
            <w:tcMar>
              <w:top w:w="80" w:type="dxa"/>
              <w:bottom w:w="80" w:type="dxa"/>
              <w:start w:w="120" w:type="dxa"/>
              <w:end w:w="120" w:type="dxa"/>
            </w:tcMar>
          </w:tcPr>
          <w:p>
            <w:pPr>
              <w:pStyle w:val="TableText"/>
            </w:pPr>
            <w:r>
              <w:t>One-use token + device proof + owner; no serial-only takeover.</w:t>
            </w:r>
          </w:p>
        </w:tc>
      </w:tr>
      <w:tr>
        <w:trPr>
          <w:cantSplit/>
        </w:trPr>
        <w:tc>
          <w:tcPr>
            <w:tcW w:type="dxa" w:w="3250"/>
            <w:tcMar>
              <w:top w:w="80" w:type="dxa"/>
              <w:bottom w:w="80" w:type="dxa"/>
              <w:start w:w="120" w:type="dxa"/>
              <w:end w:w="120" w:type="dxa"/>
            </w:tcMar>
          </w:tcPr>
          <w:p>
            <w:pPr>
              <w:pStyle w:val="TableText"/>
            </w:pPr>
            <w:r>
              <w:t>PUT /v1/homes/{id}/config</w:t>
            </w:r>
          </w:p>
        </w:tc>
        <w:tc>
          <w:tcPr>
            <w:tcW w:type="dxa" w:w="2260"/>
            <w:tcMar>
              <w:top w:w="80" w:type="dxa"/>
              <w:bottom w:w="80" w:type="dxa"/>
              <w:start w:w="120" w:type="dxa"/>
              <w:end w:w="120" w:type="dxa"/>
            </w:tcMar>
          </w:tcPr>
          <w:p>
            <w:pPr>
              <w:pStyle w:val="TableText"/>
            </w:pPr>
            <w:r>
              <w:t>Desired routine/device policy</w:t>
            </w:r>
          </w:p>
        </w:tc>
        <w:tc>
          <w:tcPr>
            <w:tcW w:type="dxa" w:w="3850"/>
            <w:tcMar>
              <w:top w:w="80" w:type="dxa"/>
              <w:bottom w:w="80" w:type="dxa"/>
              <w:start w:w="120" w:type="dxa"/>
              <w:end w:w="120" w:type="dxa"/>
            </w:tcMar>
          </w:tcPr>
          <w:p>
            <w:pPr>
              <w:pStyle w:val="TableText"/>
            </w:pPr>
            <w:r>
              <w:t>If-Match + idempotency key; 409 conflict; applied status separate.</w:t>
            </w:r>
          </w:p>
        </w:tc>
      </w:tr>
      <w:tr>
        <w:trPr>
          <w:cantSplit/>
        </w:trPr>
        <w:tc>
          <w:tcPr>
            <w:tcW w:type="dxa" w:w="3250"/>
            <w:tcMar>
              <w:top w:w="80" w:type="dxa"/>
              <w:bottom w:w="80" w:type="dxa"/>
              <w:start w:w="120" w:type="dxa"/>
              <w:end w:w="120" w:type="dxa"/>
            </w:tcMar>
          </w:tcPr>
          <w:p>
            <w:pPr>
              <w:pStyle w:val="TableText"/>
            </w:pPr>
            <w:r>
              <w:t>POST /v1/homes/{id}/mode</w:t>
            </w:r>
          </w:p>
        </w:tc>
        <w:tc>
          <w:tcPr>
            <w:tcW w:type="dxa" w:w="2260"/>
            <w:tcMar>
              <w:top w:w="80" w:type="dxa"/>
              <w:bottom w:w="80" w:type="dxa"/>
              <w:start w:w="120" w:type="dxa"/>
              <w:end w:w="120" w:type="dxa"/>
            </w:tcMar>
          </w:tcPr>
          <w:p>
            <w:pPr>
              <w:pStyle w:val="TableText"/>
            </w:pPr>
            <w:r>
              <w:t>Request away/pause/visitor</w:t>
            </w:r>
          </w:p>
        </w:tc>
        <w:tc>
          <w:tcPr>
            <w:tcW w:type="dxa" w:w="3850"/>
            <w:tcMar>
              <w:top w:w="80" w:type="dxa"/>
              <w:bottom w:w="80" w:type="dxa"/>
              <w:start w:w="120" w:type="dxa"/>
              <w:end w:w="120" w:type="dxa"/>
            </w:tcMar>
          </w:tcPr>
          <w:p>
            <w:r>
              <w:t>Explicit scope/expiry; hub applied acknowledgement. Mode changes cannot override applied consent withdrawal/internal privacy enforcement.</w:t>
            </w:r>
          </w:p>
        </w:tc>
      </w:tr>
      <w:tr>
        <w:trPr>
          <w:cantSplit/>
        </w:trPr>
        <w:tc>
          <w:tcPr>
            <w:tcW w:type="dxa" w:w="3250"/>
            <w:tcMar>
              <w:top w:w="80" w:type="dxa"/>
              <w:bottom w:w="80" w:type="dxa"/>
              <w:start w:w="120" w:type="dxa"/>
              <w:end w:w="120" w:type="dxa"/>
            </w:tcMar>
          </w:tcPr>
          <w:p>
            <w:pPr>
              <w:pStyle w:val="TableText"/>
            </w:pPr>
            <w:r>
              <w:t>GET /v1/homes/{id}/snapshot</w:t>
            </w:r>
          </w:p>
        </w:tc>
        <w:tc>
          <w:tcPr>
            <w:tcW w:type="dxa" w:w="2260"/>
            <w:tcMar>
              <w:top w:w="80" w:type="dxa"/>
              <w:bottom w:w="80" w:type="dxa"/>
              <w:start w:w="120" w:type="dxa"/>
              <w:end w:w="120" w:type="dxa"/>
            </w:tcMar>
          </w:tcPr>
          <w:p>
            <w:pPr>
              <w:pStyle w:val="TableText"/>
            </w:pPr>
            <w:r>
              <w:t>Evidence/coverage/incidents</w:t>
            </w:r>
          </w:p>
        </w:tc>
        <w:tc>
          <w:tcPr>
            <w:tcW w:type="dxa" w:w="3850"/>
            <w:tcMar>
              <w:top w:w="80" w:type="dxa"/>
              <w:bottom w:w="80" w:type="dxa"/>
              <w:start w:w="120" w:type="dxa"/>
              <w:end w:w="120" w:type="dxa"/>
            </w:tcMar>
          </w:tcPr>
          <w:p>
            <w:pPr>
              <w:pStyle w:val="TableText"/>
            </w:pPr>
            <w:r>
              <w:t>Current membership; includes as_of, hub_last_seen and revision.</w:t>
            </w:r>
          </w:p>
        </w:tc>
      </w:tr>
      <w:tr>
        <w:trPr>
          <w:cantSplit/>
        </w:trPr>
        <w:tc>
          <w:tcPr>
            <w:tcW w:type="dxa" w:w="3250"/>
            <w:tcMar>
              <w:top w:w="80" w:type="dxa"/>
              <w:bottom w:w="80" w:type="dxa"/>
              <w:start w:w="120" w:type="dxa"/>
              <w:end w:w="120" w:type="dxa"/>
            </w:tcMar>
          </w:tcPr>
          <w:p>
            <w:pPr>
              <w:pStyle w:val="TableText"/>
            </w:pPr>
            <w:r>
              <w:t>GET /v1/homes/{id}/events</w:t>
            </w:r>
          </w:p>
        </w:tc>
        <w:tc>
          <w:tcPr>
            <w:tcW w:type="dxa" w:w="2260"/>
            <w:tcMar>
              <w:top w:w="80" w:type="dxa"/>
              <w:bottom w:w="80" w:type="dxa"/>
              <w:start w:w="120" w:type="dxa"/>
              <w:end w:w="120" w:type="dxa"/>
            </w:tcMar>
          </w:tcPr>
          <w:p>
            <w:pPr>
              <w:pStyle w:val="TableText"/>
            </w:pPr>
            <w:r>
              <w:t>Cursor-paginated timeline</w:t>
            </w:r>
          </w:p>
        </w:tc>
        <w:tc>
          <w:tcPr>
            <w:tcW w:type="dxa" w:w="3850"/>
            <w:tcMar>
              <w:top w:w="80" w:type="dxa"/>
              <w:bottom w:w="80" w:type="dxa"/>
              <w:start w:w="120" w:type="dxa"/>
              <w:end w:w="120" w:type="dxa"/>
            </w:tcMar>
          </w:tcPr>
          <w:p>
            <w:pPr>
              <w:pStyle w:val="TableText"/>
            </w:pPr>
            <w:r>
              <w:t>Caregiver/owner; installer excluded by default.</w:t>
            </w:r>
          </w:p>
        </w:tc>
      </w:tr>
      <w:tr>
        <w:trPr>
          <w:cantSplit/>
        </w:trPr>
        <w:tc>
          <w:tcPr>
            <w:tcW w:type="dxa" w:w="3250"/>
            <w:tcMar>
              <w:top w:w="80" w:type="dxa"/>
              <w:bottom w:w="80" w:type="dxa"/>
              <w:start w:w="120" w:type="dxa"/>
              <w:end w:w="120" w:type="dxa"/>
            </w:tcMar>
          </w:tcPr>
          <w:p>
            <w:pPr>
              <w:pStyle w:val="TableText"/>
            </w:pPr>
            <w:r>
              <w:t>GET /v1/homes/{id}/stream</w:t>
            </w:r>
          </w:p>
        </w:tc>
        <w:tc>
          <w:tcPr>
            <w:tcW w:type="dxa" w:w="2260"/>
            <w:tcMar>
              <w:top w:w="80" w:type="dxa"/>
              <w:bottom w:w="80" w:type="dxa"/>
              <w:start w:w="120" w:type="dxa"/>
              <w:end w:w="120" w:type="dxa"/>
            </w:tcMar>
          </w:tcPr>
          <w:p>
            <w:pPr>
              <w:pStyle w:val="TableText"/>
            </w:pPr>
            <w:r>
              <w:t>SSE change hints</w:t>
            </w:r>
          </w:p>
        </w:tc>
        <w:tc>
          <w:tcPr>
            <w:tcW w:type="dxa" w:w="3850"/>
            <w:tcMar>
              <w:top w:w="80" w:type="dxa"/>
              <w:bottom w:w="80" w:type="dxa"/>
              <w:start w:w="120" w:type="dxa"/>
              <w:end w:w="120" w:type="dxa"/>
            </w:tcMar>
          </w:tcPr>
          <w:p>
            <w:pPr>
              <w:pStyle w:val="TableText"/>
            </w:pPr>
            <w:r>
              <w:t>Authorized and periodically rechecked; disconnect on revocation.</w:t>
            </w:r>
          </w:p>
        </w:tc>
      </w:tr>
      <w:tr>
        <w:trPr>
          <w:cantSplit/>
        </w:trPr>
        <w:tc>
          <w:tcPr>
            <w:tcW w:type="dxa" w:w="3250"/>
            <w:tcMar>
              <w:top w:w="80" w:type="dxa"/>
              <w:bottom w:w="80" w:type="dxa"/>
              <w:start w:w="120" w:type="dxa"/>
              <w:end w:w="120" w:type="dxa"/>
            </w:tcMar>
          </w:tcPr>
          <w:p>
            <w:pPr>
              <w:pStyle w:val="TableText"/>
            </w:pPr>
            <w:r>
              <w:t>POST /v1/incidents/{id}/actions</w:t>
            </w:r>
          </w:p>
        </w:tc>
        <w:tc>
          <w:tcPr>
            <w:tcW w:type="dxa" w:w="2260"/>
            <w:tcMar>
              <w:top w:w="80" w:type="dxa"/>
              <w:bottom w:w="80" w:type="dxa"/>
              <w:start w:w="120" w:type="dxa"/>
              <w:end w:w="120" w:type="dxa"/>
            </w:tcMar>
          </w:tcPr>
          <w:p>
            <w:pPr>
              <w:pStyle w:val="TableText"/>
            </w:pPr>
            <w:r>
              <w:t>Claim/contacted/unreachable</w:t>
            </w:r>
          </w:p>
        </w:tc>
        <w:tc>
          <w:tcPr>
            <w:tcW w:type="dxa" w:w="3850"/>
            <w:tcMar>
              <w:top w:w="80" w:type="dxa"/>
              <w:bottom w:w="80" w:type="dxa"/>
              <w:start w:w="120" w:type="dxa"/>
              <w:end w:w="120" w:type="dxa"/>
            </w:tcMar>
          </w:tcPr>
          <w:p>
            <w:pPr>
              <w:pStyle w:val="TableText"/>
            </w:pPr>
            <w:r>
              <w:t>Membership + version + idempotency key; audit transaction.</w:t>
            </w:r>
          </w:p>
        </w:tc>
      </w:tr>
      <w:tr>
        <w:trPr>
          <w:cantSplit/>
        </w:trPr>
        <w:tc>
          <w:tcPr>
            <w:tcW w:type="dxa" w:w="3250"/>
            <w:tcMar>
              <w:top w:w="80" w:type="dxa"/>
              <w:bottom w:w="80" w:type="dxa"/>
              <w:start w:w="120" w:type="dxa"/>
              <w:end w:w="120" w:type="dxa"/>
            </w:tcMar>
          </w:tcPr>
          <w:p>
            <w:pPr>
              <w:pStyle w:val="TableText"/>
            </w:pPr>
            <w:r>
              <w:t>POST /v1/push-subscriptions</w:t>
            </w:r>
          </w:p>
        </w:tc>
        <w:tc>
          <w:tcPr>
            <w:tcW w:type="dxa" w:w="2260"/>
            <w:tcMar>
              <w:top w:w="80" w:type="dxa"/>
              <w:bottom w:w="80" w:type="dxa"/>
              <w:start w:w="120" w:type="dxa"/>
              <w:end w:w="120" w:type="dxa"/>
            </w:tcMar>
          </w:tcPr>
          <w:p>
            <w:pPr>
              <w:pStyle w:val="TableText"/>
            </w:pPr>
            <w:r>
              <w:t>Register/test push</w:t>
            </w:r>
          </w:p>
        </w:tc>
        <w:tc>
          <w:tcPr>
            <w:tcW w:type="dxa" w:w="3850"/>
            <w:tcMar>
              <w:top w:w="80" w:type="dxa"/>
              <w:bottom w:w="80" w:type="dxa"/>
              <w:start w:w="120" w:type="dxa"/>
              <w:end w:w="120" w:type="dxa"/>
            </w:tcMar>
          </w:tcPr>
          <w:p>
            <w:pPr>
              <w:pStyle w:val="TableText"/>
            </w:pPr>
            <w:r>
              <w:t>Authenticated own user; permission test and confirmation.</w:t>
            </w:r>
          </w:p>
        </w:tc>
      </w:tr>
      <w:tr>
        <w:trPr>
          <w:cantSplit/>
        </w:trPr>
        <w:tc>
          <w:tcPr>
            <w:tcW w:type="dxa" w:w="3250"/>
            <w:tcMar>
              <w:top w:w="80" w:type="dxa"/>
              <w:bottom w:w="80" w:type="dxa"/>
              <w:start w:w="120" w:type="dxa"/>
              <w:end w:w="120" w:type="dxa"/>
            </w:tcMar>
          </w:tcPr>
          <w:p>
            <w:pPr>
              <w:pStyle w:val="TableText"/>
            </w:pPr>
            <w:r>
              <w:t>POST /v1/homes/{id}/exports</w:t>
            </w:r>
          </w:p>
        </w:tc>
        <w:tc>
          <w:tcPr>
            <w:tcW w:type="dxa" w:w="2260"/>
            <w:tcMar>
              <w:top w:w="80" w:type="dxa"/>
              <w:bottom w:w="80" w:type="dxa"/>
              <w:start w:w="120" w:type="dxa"/>
              <w:end w:w="120" w:type="dxa"/>
            </w:tcMar>
          </w:tcPr>
          <w:p>
            <w:pPr>
              <w:pStyle w:val="TableText"/>
            </w:pPr>
            <w:r>
              <w:t>Time-limited diagnostic/export</w:t>
            </w:r>
          </w:p>
        </w:tc>
        <w:tc>
          <w:tcPr>
            <w:tcW w:type="dxa" w:w="3850"/>
            <w:tcMar>
              <w:top w:w="80" w:type="dxa"/>
              <w:bottom w:w="80" w:type="dxa"/>
              <w:start w:w="120" w:type="dxa"/>
              <w:end w:w="120" w:type="dxa"/>
            </w:tcMar>
          </w:tcPr>
          <w:p>
            <w:pPr>
              <w:pStyle w:val="TableText"/>
            </w:pPr>
            <w:r>
              <w:t>Explicit authorization; redaction and expiry.</w:t>
            </w:r>
          </w:p>
        </w:tc>
      </w:tr>
      <w:tr>
        <w:trPr>
          <w:cantSplit/>
        </w:trPr>
        <w:tc>
          <w:tcPr>
            <w:tcW w:type="dxa" w:w="3250"/>
            <w:tcMar>
              <w:top w:w="80" w:type="dxa"/>
              <w:bottom w:w="80" w:type="dxa"/>
              <w:start w:w="120" w:type="dxa"/>
              <w:end w:w="120" w:type="dxa"/>
            </w:tcMar>
          </w:tcPr>
          <w:p>
            <w:pPr>
              <w:pStyle w:val="TableText"/>
            </w:pPr>
            <w:r>
              <w:t>DELETE /v1/homes/{id}</w:t>
            </w:r>
          </w:p>
        </w:tc>
        <w:tc>
          <w:tcPr>
            <w:tcW w:type="dxa" w:w="2260"/>
            <w:tcMar>
              <w:top w:w="80" w:type="dxa"/>
              <w:bottom w:w="80" w:type="dxa"/>
              <w:start w:w="120" w:type="dxa"/>
              <w:end w:w="120" w:type="dxa"/>
            </w:tcMar>
          </w:tcPr>
          <w:p>
            <w:pPr>
              <w:pStyle w:val="TableText"/>
            </w:pPr>
            <w:r>
              <w:t>Decommission/delete request</w:t>
            </w:r>
          </w:p>
        </w:tc>
        <w:tc>
          <w:tcPr>
            <w:tcW w:type="dxa" w:w="3850"/>
            <w:tcMar>
              <w:top w:w="80" w:type="dxa"/>
              <w:bottom w:w="80" w:type="dxa"/>
              <w:start w:w="120" w:type="dxa"/>
              <w:end w:w="120" w:type="dxa"/>
            </w:tcMar>
          </w:tcPr>
          <w:p>
            <w:pPr>
              <w:pStyle w:val="TableText"/>
            </w:pPr>
            <w:r>
              <w:t>Owner flow with resident rights handling; disable routing and revoke devices.</w:t>
            </w:r>
          </w:p>
        </w:tc>
      </w:tr>
      <w:tr>
        <w:trPr>
          <w:cantSplit/>
        </w:trPr>
        <w:tc>
          <w:tcPr>
            <w:tcW w:type="dxa" w:w="3250"/>
            <w:tcMar>
              <w:top w:w="80" w:type="dxa"/>
              <w:bottom w:w="80" w:type="dxa"/>
              <w:start w:w="120" w:type="dxa"/>
              <w:end w:w="120" w:type="dxa"/>
            </w:tcMar>
          </w:tcPr>
          <w:p>
            <w:pPr>
              <w:pStyle w:val="TableText"/>
            </w:pPr>
            <w:r>
              <w:t>Device CONFIG_APPLY / TIME_ANCHOR / UPDATE_OFFER</w:t>
            </w:r>
          </w:p>
        </w:tc>
        <w:tc>
          <w:tcPr>
            <w:tcW w:type="dxa" w:w="2260"/>
            <w:tcMar>
              <w:top w:w="80" w:type="dxa"/>
              <w:bottom w:w="80" w:type="dxa"/>
              <w:start w:w="120" w:type="dxa"/>
              <w:end w:w="120" w:type="dxa"/>
            </w:tcMar>
          </w:tcPr>
          <w:p>
            <w:pPr>
              <w:pStyle w:val="TableText"/>
            </w:pPr>
            <w:r>
              <w:t>Versioned transport commands</w:t>
            </w:r>
          </w:p>
        </w:tc>
        <w:tc>
          <w:tcPr>
            <w:tcW w:type="dxa" w:w="3850"/>
            <w:tcMar>
              <w:top w:w="80" w:type="dxa"/>
              <w:bottom w:w="80" w:type="dxa"/>
              <w:start w:w="120" w:type="dxa"/>
              <w:end w:w="120" w:type="dxa"/>
            </w:tcMar>
          </w:tcPr>
          <w:p>
            <w:pPr>
              <w:pStyle w:val="TableText"/>
            </w:pPr>
            <w:r>
              <w:t>Target ID, command ID, schema, issue/expiry and result acknowledgement.</w:t>
            </w:r>
          </w:p>
        </w:tc>
      </w:tr>
    </w:tbl>
    <w:p>
      <w:pPr>
        <w:pStyle w:val="TableSpacer"/>
      </w:pPr>
    </w:p>
    <w:p>
      <w:pPr>
        <w:pStyle w:val="SpecBody"/>
      </w:pPr>
      <w:r>
        <w:t>Standard errors: 400 malformed, 401 expired/invalid authentication, 403 forbidden (or 404 when hiding existence), 409 version/state conflict, 422 valid JSON but invalid configuration, 429 rate limited, 503 service unavailable. Return a stable error_code, safe message, request_id and retry_after when relevant; do not leak another home’s identifiers or secrets.</w:t>
      </w:r>
    </w:p>
    <w:p>
      <w:pPr>
        <w:pStyle w:val="Code"/>
        <w:keepLines/>
      </w:pPr>
      <w:r>
        <w:t>POST /v1/incidents/abc/actions</w:t>
        <w:br/>
        <w:t>Idempotency-Key: 8f...   If-Match: "7"</w:t>
        <w:br/>
        <w:t>{"action":"CLAIM","client_action_id":"8f..."}</w:t>
        <w:br/>
        <w:t>→ {"incident_id":"abc","version":8,"state":"CLAIMED",</w:t>
        <w:br/>
        <w:t xml:space="preserve">   "claim_until":"2026-09-03T04:00:00Z","actor_id":"u123"}</w:t>
      </w:r>
    </w:p>
    <w:p>
      <w:pPr>
        <w:pStyle w:val="Heading2"/>
        <w:pageBreakBefore/>
      </w:pPr>
      <w:r>
        <w:rPr>
          <w:color w:val="000000"/>
        </w:rPr>
        <w:t>Security boundaries and privacy lifecycle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70"/>
        <w:gridCol w:w="3820"/>
        <w:gridCol w:w="3170"/>
      </w:tblGrid>
      <w:tr>
        <w:trPr>
          <w:cantSplit/>
          <w:tblHeader/>
        </w:trPr>
        <w:tc>
          <w:tcPr>
            <w:tcW w:type="dxa" w:w="2370"/>
            <w:tcMar>
              <w:top w:w="80" w:type="dxa"/>
              <w:bottom w:w="80" w:type="dxa"/>
              <w:start w:w="120" w:type="dxa"/>
              <w:end w:w="120" w:type="dxa"/>
            </w:tcMar>
            <w:shd w:fill="E8EEF5"/>
          </w:tcPr>
          <w:p>
            <w:pPr>
              <w:pStyle w:val="TableText"/>
            </w:pPr>
            <w:r>
              <w:rPr>
                <w:b/>
              </w:rPr>
              <w:t>Threat / boundary</w:t>
            </w:r>
          </w:p>
        </w:tc>
        <w:tc>
          <w:tcPr>
            <w:tcW w:type="dxa" w:w="3820"/>
            <w:tcMar>
              <w:top w:w="80" w:type="dxa"/>
              <w:bottom w:w="80" w:type="dxa"/>
              <w:start w:w="120" w:type="dxa"/>
              <w:end w:w="120" w:type="dxa"/>
            </w:tcMar>
            <w:shd w:fill="E8EEF5"/>
          </w:tcPr>
          <w:p>
            <w:pPr>
              <w:pStyle w:val="TableText"/>
            </w:pPr>
            <w:r>
              <w:rPr>
                <w:b/>
              </w:rPr>
              <w:t>P0 control</w:t>
            </w:r>
          </w:p>
        </w:tc>
        <w:tc>
          <w:tcPr>
            <w:tcW w:type="dxa" w:w="3170"/>
            <w:tcMar>
              <w:top w:w="80" w:type="dxa"/>
              <w:bottom w:w="80" w:type="dxa"/>
              <w:start w:w="120" w:type="dxa"/>
              <w:end w:w="120" w:type="dxa"/>
            </w:tcMar>
            <w:shd w:fill="E8EEF5"/>
          </w:tcPr>
          <w:p>
            <w:pPr>
              <w:pStyle w:val="TableText"/>
            </w:pPr>
            <w:r>
              <w:rPr>
                <w:b/>
              </w:rPr>
              <w:t>Proof required</w:t>
            </w:r>
          </w:p>
        </w:tc>
      </w:tr>
      <w:tr>
        <w:trPr>
          <w:cantSplit/>
        </w:trPr>
        <w:tc>
          <w:tcPr>
            <w:tcW w:type="dxa" w:w="2370"/>
            <w:tcMar>
              <w:top w:w="80" w:type="dxa"/>
              <w:bottom w:w="80" w:type="dxa"/>
              <w:start w:w="120" w:type="dxa"/>
              <w:end w:w="120" w:type="dxa"/>
            </w:tcMar>
          </w:tcPr>
          <w:p>
            <w:pPr>
              <w:pStyle w:val="TableText"/>
            </w:pPr>
            <w:r>
              <w:t>Unauthorized local peer</w:t>
            </w:r>
          </w:p>
        </w:tc>
        <w:tc>
          <w:tcPr>
            <w:tcW w:type="dxa" w:w="3820"/>
            <w:tcMar>
              <w:top w:w="80" w:type="dxa"/>
              <w:bottom w:w="80" w:type="dxa"/>
              <w:start w:w="120" w:type="dxa"/>
              <w:end w:w="120" w:type="dxa"/>
            </w:tcMar>
          </w:tcPr>
          <w:p>
            <w:pPr>
              <w:pStyle w:val="TableText"/>
            </w:pPr>
            <w:r>
              <w:t>Per-peer encrypted unicast; authenticated session; physical provisioning.</w:t>
            </w:r>
          </w:p>
        </w:tc>
        <w:tc>
          <w:tcPr>
            <w:tcW w:type="dxa" w:w="3170"/>
            <w:tcMar>
              <w:top w:w="80" w:type="dxa"/>
              <w:bottom w:w="80" w:type="dxa"/>
              <w:start w:w="120" w:type="dxa"/>
              <w:end w:w="120" w:type="dxa"/>
            </w:tcMar>
          </w:tcPr>
          <w:p>
            <w:pPr>
              <w:pStyle w:val="TableText"/>
            </w:pPr>
            <w:r>
              <w:t>Spoof MAC/ID/session; reject without contaminating evidence.</w:t>
            </w:r>
          </w:p>
        </w:tc>
      </w:tr>
      <w:tr>
        <w:trPr>
          <w:cantSplit/>
        </w:trPr>
        <w:tc>
          <w:tcPr>
            <w:tcW w:type="dxa" w:w="2370"/>
            <w:tcMar>
              <w:top w:w="80" w:type="dxa"/>
              <w:bottom w:w="80" w:type="dxa"/>
              <w:start w:w="120" w:type="dxa"/>
              <w:end w:w="120" w:type="dxa"/>
            </w:tcMar>
          </w:tcPr>
          <w:p>
            <w:pPr>
              <w:pStyle w:val="TableText"/>
            </w:pPr>
            <w:r>
              <w:t>Cross-home API or broker access</w:t>
            </w:r>
          </w:p>
        </w:tc>
        <w:tc>
          <w:tcPr>
            <w:tcW w:type="dxa" w:w="3820"/>
            <w:tcMar>
              <w:top w:w="80" w:type="dxa"/>
              <w:bottom w:w="80" w:type="dxa"/>
              <w:start w:w="120" w:type="dxa"/>
              <w:end w:w="120" w:type="dxa"/>
            </w:tcMar>
          </w:tcPr>
          <w:p>
            <w:pPr>
              <w:pStyle w:val="TableText"/>
            </w:pPr>
            <w:r>
              <w:t>Membership check + topic ACL + non-owner RLS role.</w:t>
            </w:r>
          </w:p>
        </w:tc>
        <w:tc>
          <w:tcPr>
            <w:tcW w:type="dxa" w:w="3170"/>
            <w:tcMar>
              <w:top w:w="80" w:type="dxa"/>
              <w:bottom w:w="80" w:type="dxa"/>
              <w:start w:w="120" w:type="dxa"/>
              <w:end w:w="120" w:type="dxa"/>
            </w:tcMar>
          </w:tcPr>
          <w:p>
            <w:pPr>
              <w:pStyle w:val="TableText"/>
            </w:pPr>
            <w:r>
              <w:t>Negative test matrix across API, SSE, exports and MQTT topics [S7].</w:t>
            </w:r>
          </w:p>
        </w:tc>
      </w:tr>
      <w:tr>
        <w:trPr>
          <w:cantSplit/>
        </w:trPr>
        <w:tc>
          <w:tcPr>
            <w:tcW w:type="dxa" w:w="2370"/>
            <w:tcMar>
              <w:top w:w="80" w:type="dxa"/>
              <w:bottom w:w="80" w:type="dxa"/>
              <w:start w:w="120" w:type="dxa"/>
              <w:end w:w="120" w:type="dxa"/>
            </w:tcMar>
          </w:tcPr>
          <w:p>
            <w:pPr>
              <w:pStyle w:val="TableText"/>
            </w:pPr>
            <w:r>
              <w:t>Malicious/stale command</w:t>
            </w:r>
          </w:p>
        </w:tc>
        <w:tc>
          <w:tcPr>
            <w:tcW w:type="dxa" w:w="3820"/>
            <w:tcMar>
              <w:top w:w="80" w:type="dxa"/>
              <w:bottom w:w="80" w:type="dxa"/>
              <w:start w:w="120" w:type="dxa"/>
              <w:end w:w="120" w:type="dxa"/>
            </w:tcMar>
          </w:tcPr>
          <w:p>
            <w:pPr>
              <w:pStyle w:val="TableText"/>
            </w:pPr>
            <w:r>
              <w:t>Certificate/TLS validation; target/version/expiry/idempotency checks.</w:t>
            </w:r>
          </w:p>
        </w:tc>
        <w:tc>
          <w:tcPr>
            <w:tcW w:type="dxa" w:w="3170"/>
            <w:tcMar>
              <w:top w:w="80" w:type="dxa"/>
              <w:bottom w:w="80" w:type="dxa"/>
              <w:start w:w="120" w:type="dxa"/>
              <w:end w:w="120" w:type="dxa"/>
            </w:tcMar>
          </w:tcPr>
          <w:p>
            <w:pPr>
              <w:pStyle w:val="TableText"/>
            </w:pPr>
            <w:r>
              <w:t>Replay, oversized payload and expired command tests.</w:t>
            </w:r>
          </w:p>
        </w:tc>
      </w:tr>
      <w:tr>
        <w:trPr>
          <w:cantSplit/>
        </w:trPr>
        <w:tc>
          <w:tcPr>
            <w:tcW w:type="dxa" w:w="2370"/>
            <w:tcMar>
              <w:top w:w="80" w:type="dxa"/>
              <w:bottom w:w="80" w:type="dxa"/>
              <w:start w:w="120" w:type="dxa"/>
              <w:end w:w="120" w:type="dxa"/>
            </w:tcMar>
          </w:tcPr>
          <w:p>
            <w:pPr>
              <w:pStyle w:val="TableText"/>
            </w:pPr>
            <w:r>
              <w:t>Stolen or repurposed kit</w:t>
            </w:r>
          </w:p>
        </w:tc>
        <w:tc>
          <w:tcPr>
            <w:tcW w:type="dxa" w:w="3820"/>
            <w:tcMar>
              <w:top w:w="80" w:type="dxa"/>
              <w:bottom w:w="80" w:type="dxa"/>
              <w:start w:w="120" w:type="dxa"/>
              <w:end w:w="120" w:type="dxa"/>
            </w:tcMar>
          </w:tcPr>
          <w:p>
            <w:pPr>
              <w:pStyle w:val="TableText"/>
            </w:pPr>
            <w:r>
              <w:t>Credential revocation; physical re-provision; authority epoch fence.</w:t>
            </w:r>
          </w:p>
        </w:tc>
        <w:tc>
          <w:tcPr>
            <w:tcW w:type="dxa" w:w="3170"/>
            <w:tcMar>
              <w:top w:w="80" w:type="dxa"/>
              <w:bottom w:w="80" w:type="dxa"/>
              <w:start w:w="120" w:type="dxa"/>
              <w:end w:w="120" w:type="dxa"/>
            </w:tcMar>
          </w:tcPr>
          <w:p>
            <w:pPr>
              <w:pStyle w:val="TableText"/>
            </w:pPr>
            <w:r>
              <w:t>Old device cannot ingest into the new household.</w:t>
            </w:r>
          </w:p>
        </w:tc>
      </w:tr>
      <w:tr>
        <w:trPr>
          <w:cantSplit/>
        </w:trPr>
        <w:tc>
          <w:tcPr>
            <w:tcW w:type="dxa" w:w="2370"/>
            <w:tcMar>
              <w:top w:w="80" w:type="dxa"/>
              <w:bottom w:w="80" w:type="dxa"/>
              <w:start w:w="120" w:type="dxa"/>
              <w:end w:w="120" w:type="dxa"/>
            </w:tcMar>
          </w:tcPr>
          <w:p>
            <w:pPr>
              <w:pStyle w:val="TableText"/>
            </w:pPr>
            <w:r>
              <w:t>Firmware tampering</w:t>
            </w:r>
          </w:p>
        </w:tc>
        <w:tc>
          <w:tcPr>
            <w:tcW w:type="dxa" w:w="3820"/>
            <w:tcMar>
              <w:top w:w="80" w:type="dxa"/>
              <w:bottom w:w="80" w:type="dxa"/>
              <w:start w:w="120" w:type="dxa"/>
              <w:end w:w="120" w:type="dxa"/>
            </w:tcMar>
          </w:tcPr>
          <w:p>
            <w:pPr>
              <w:pStyle w:val="TableText"/>
            </w:pPr>
            <w:r>
              <w:t>Signed image validation; planned secure boot/flash encryption.</w:t>
            </w:r>
          </w:p>
        </w:tc>
        <w:tc>
          <w:tcPr>
            <w:tcW w:type="dxa" w:w="3170"/>
            <w:tcMar>
              <w:top w:w="80" w:type="dxa"/>
              <w:bottom w:w="80" w:type="dxa"/>
              <w:start w:w="120" w:type="dxa"/>
              <w:end w:w="120" w:type="dxa"/>
            </w:tcMar>
          </w:tcPr>
          <w:p>
            <w:pPr>
              <w:pStyle w:val="TableText"/>
            </w:pPr>
            <w:r>
              <w:t>Tampered image rejected; recovery drill before irreversible settings [S2, S6].</w:t>
            </w:r>
          </w:p>
        </w:tc>
      </w:tr>
      <w:tr>
        <w:trPr>
          <w:cantSplit/>
        </w:trPr>
        <w:tc>
          <w:tcPr>
            <w:tcW w:type="dxa" w:w="2370"/>
            <w:tcMar>
              <w:top w:w="80" w:type="dxa"/>
              <w:bottom w:w="80" w:type="dxa"/>
              <w:start w:w="120" w:type="dxa"/>
              <w:end w:w="120" w:type="dxa"/>
            </w:tcMar>
          </w:tcPr>
          <w:p>
            <w:pPr>
              <w:pStyle w:val="TableText"/>
            </w:pPr>
            <w:r>
              <w:t>Private activity on a lock screen</w:t>
            </w:r>
          </w:p>
        </w:tc>
        <w:tc>
          <w:tcPr>
            <w:tcW w:type="dxa" w:w="3820"/>
            <w:tcMar>
              <w:top w:w="80" w:type="dxa"/>
              <w:bottom w:w="80" w:type="dxa"/>
              <w:start w:w="120" w:type="dxa"/>
              <w:end w:w="120" w:type="dxa"/>
            </w:tcMar>
          </w:tcPr>
          <w:p>
            <w:pPr>
              <w:pStyle w:val="TableText"/>
            </w:pPr>
            <w:r>
              <w:t>Generic notification body; authenticated in-app detail.</w:t>
            </w:r>
          </w:p>
        </w:tc>
        <w:tc>
          <w:tcPr>
            <w:tcW w:type="dxa" w:w="3170"/>
            <w:tcMar>
              <w:top w:w="80" w:type="dxa"/>
              <w:bottom w:w="80" w:type="dxa"/>
              <w:start w:w="120" w:type="dxa"/>
              <w:end w:w="120" w:type="dxa"/>
            </w:tcMar>
          </w:tcPr>
          <w:p>
            <w:pPr>
              <w:pStyle w:val="TableText"/>
            </w:pPr>
            <w:r>
              <w:t>Default push payload contains no movement/health narrative.</w:t>
            </w:r>
          </w:p>
        </w:tc>
      </w:tr>
      <w:tr>
        <w:trPr>
          <w:cantSplit/>
        </w:trPr>
        <w:tc>
          <w:tcPr>
            <w:tcW w:type="dxa" w:w="2370"/>
            <w:tcMar>
              <w:top w:w="80" w:type="dxa"/>
              <w:bottom w:w="80" w:type="dxa"/>
              <w:start w:w="120" w:type="dxa"/>
              <w:end w:w="120" w:type="dxa"/>
            </w:tcMar>
          </w:tcPr>
          <w:p>
            <w:pPr>
              <w:pStyle w:val="TableText"/>
            </w:pPr>
            <w:r>
              <w:t>Support overreach</w:t>
            </w:r>
          </w:p>
        </w:tc>
        <w:tc>
          <w:tcPr>
            <w:tcW w:type="dxa" w:w="3820"/>
            <w:tcMar>
              <w:top w:w="80" w:type="dxa"/>
              <w:bottom w:w="80" w:type="dxa"/>
              <w:start w:w="120" w:type="dxa"/>
              <w:end w:w="120" w:type="dxa"/>
            </w:tcMar>
          </w:tcPr>
          <w:p>
            <w:pPr>
              <w:pStyle w:val="TableText"/>
            </w:pPr>
            <w:r>
              <w:t>Time-limited support access; minimal diagnostics; audit.</w:t>
            </w:r>
          </w:p>
        </w:tc>
        <w:tc>
          <w:tcPr>
            <w:tcW w:type="dxa" w:w="3170"/>
            <w:tcMar>
              <w:top w:w="80" w:type="dxa"/>
              <w:bottom w:w="80" w:type="dxa"/>
              <w:start w:w="120" w:type="dxa"/>
              <w:end w:w="120" w:type="dxa"/>
            </w:tcMar>
          </w:tcPr>
          <w:p>
            <w:pPr>
              <w:pStyle w:val="TableText"/>
            </w:pPr>
            <w:r>
              <w:t>Expired support role and export links are rejected.</w:t>
            </w:r>
          </w:p>
        </w:tc>
      </w:tr>
      <w:tr>
        <w:trPr>
          <w:cantSplit/>
        </w:trPr>
        <w:tc>
          <w:tcPr>
            <w:tcW w:type="dxa" w:w="2370"/>
            <w:tcMar>
              <w:top w:w="80" w:type="dxa"/>
              <w:bottom w:w="80" w:type="dxa"/>
              <w:start w:w="120" w:type="dxa"/>
              <w:end w:w="120" w:type="dxa"/>
            </w:tcMar>
          </w:tcPr>
          <w:p>
            <w:pPr>
              <w:pStyle w:val="TableText"/>
            </w:pPr>
            <w:r>
              <w:t>Data resurrection / retention creep</w:t>
            </w:r>
          </w:p>
        </w:tc>
        <w:tc>
          <w:tcPr>
            <w:tcW w:type="dxa" w:w="3820"/>
            <w:tcMar>
              <w:top w:w="80" w:type="dxa"/>
              <w:bottom w:w="80" w:type="dxa"/>
              <w:start w:w="120" w:type="dxa"/>
              <w:end w:w="120" w:type="dxa"/>
            </w:tcMar>
          </w:tcPr>
          <w:p>
            <w:pPr>
              <w:pStyle w:val="TableText"/>
            </w:pPr>
            <w:r>
              <w:t>Expiry jobs, deletion ledger and restore procedure.</w:t>
            </w:r>
          </w:p>
        </w:tc>
        <w:tc>
          <w:tcPr>
            <w:tcW w:type="dxa" w:w="3170"/>
            <w:tcMar>
              <w:top w:w="80" w:type="dxa"/>
              <w:bottom w:w="80" w:type="dxa"/>
              <w:start w:w="120" w:type="dxa"/>
              <w:end w:w="120" w:type="dxa"/>
            </w:tcMar>
          </w:tcPr>
          <w:p>
            <w:pPr>
              <w:pStyle w:val="TableText"/>
            </w:pPr>
            <w:r>
              <w:t>Restore backup and reapply tombstones before enabling ingestion.</w:t>
            </w:r>
          </w:p>
        </w:tc>
      </w:tr>
    </w:tbl>
    <w:p>
      <w:pPr>
        <w:pStyle w:val="TableSpacer"/>
      </w:pPr>
    </w:p>
    <w:p>
      <w:pPr>
        <w:pStyle w:val="SpecBody"/>
      </w:pPr>
      <w:r>
        <w:t>Retention defaults are product proposals: raw activity 30 days, window/incident history 90 days, minimal security audit 180 days, diagnostic link 24 hours. On deletion, revoke access/ingestion/routing immediately, purge active personal records within 7 days and expire encrypted backups within 30 days. Keep only a minimally identifying deletion tombstone for the backup horizon. Review applicable legal retention/rights requirements for the actual launch; do not treat this table as legal advice.</w:t>
      </w:r>
    </w:p>
    <w:p>
      <w:pPr>
        <w:pStyle w:val="SpecBody"/>
      </w:pPr>
      <w:r>
        <w:t>PWA delivery constraints: WebKit documents Web Push for Home Screen web apps on iOS/iPadOS, with permission requested from a direct user interaction [S4]. Test actual target devices, browser installation, lock-screen/background behavior and disabled permissions. Neither a provider success response nor an OS notification guarantees a caregiver saw it. This is a release gate, not an assumption hidden in implementation.</w:t>
      </w:r>
    </w:p>
    <w:p>
      <w:pPr>
        <w:pStyle w:val="SpecBody"/>
      </w:pPr>
      <w:r>
        <w:t>App authentication design: OIDC authorization-code flow with PKCE; short-lived API access token in memory, not localStorage. A backend-mediated refresh session uses Secure/HttpOnly cookies, CSRF protection and origin checks. SSE uses an authenticated fetch stream, never a token in the URL. Background push can display a generic request without fetching private detail; opening the app reauthenticates as needed. Provider-specific refresh/logout behavior is verified during the identity integration spike.</w:t>
      </w:r>
    </w:p>
    <w:p>
      <w:bookmarkStart w:id="8" w:name="F01"/>
      <w:pPr>
        <w:pStyle w:val="Heading1"/>
        <w:pageBreakBefore/>
      </w:pPr>
      <w:r>
        <w:rPr>
          <w:color w:val="000000"/>
        </w:rPr>
        <w:t>8. F01 — Household profile and caregiver roles</w:t>
      </w:r>
      <w:bookmarkEnd w:id="8"/>
    </w:p>
    <w:p>
      <w:r>
        <w:rPr>
          <w:b/>
        </w:rPr>
        <w:t xml:space="preserve">Meaning. </w:t>
      </w:r>
      <w:r>
        <w:t>A household is the access boundary for every device, event and caregiver action. A resident is the person being observed; a caregiver is a person allowed to view or act on that household. These are different roles even when the same family member performs setup.</w:t>
      </w:r>
    </w:p>
    <w:p>
      <w:r>
        <w:rPr>
          <w:b/>
        </w:rPr>
        <w:t xml:space="preserve">Worked example. </w:t>
      </w:r>
      <w:r>
        <w:t>For example, Rahul creates home H1 for two consenting residents and assigns two different caregiver accounts. An account belonging only to H2 must not read H1, even if it knows an H1 event identifier.</w:t>
      </w:r>
    </w:p>
    <w:p>
      <w:r>
        <w:rPr>
          <w:b/>
        </w:rPr>
        <w:t xml:space="preserve">Execution and ownership. </w:t>
      </w:r>
      <w:r>
        <w:t>A01 validates the form and builds a command. B01 checks identity and permissions, B02 creates the household and consent records, and S01 defines the exchanged fields. The server result becomes the authority; a successful form submission alone does not mean the household was created.</w:t>
      </w:r>
    </w:p>
    <w:p>
      <w:r>
        <w:rPr>
          <w:b/>
        </w:rPr>
        <w:t xml:space="preserve">Reference implementation boundary. </w:t>
      </w:r>
      <w:r>
        <w:t>Python services and JavaScript form models exist. Production login, database transactions and complete resident-profile/consent evidence are not established by those tests. The local HTTP demo uses a development identity mechanism and must not be exposed as production authentication.</w:t>
      </w:r>
    </w:p>
    <w:p>
      <w:r>
        <w:rPr>
          <w:b/>
        </w:rPr>
        <w:t xml:space="preserve">Acceptance experiment. </w:t>
      </w:r>
      <w:r>
        <w:t>Create a valid household, repeat the same creation request, try a missing-consent draft, assign the same primary and backup, and attempt cross-house access. Check both returned errors and stored membership records.</w:t>
      </w:r>
    </w:p>
    <w:p>
      <w:r>
        <w:rPr>
          <w:b/>
        </w:rPr>
        <w:t xml:space="preserve">Participants and traceability. </w:t>
      </w:r>
      <w:r>
        <w:t>B01, B02, A01, S01. Source paths and test references are in the traceability register. See diagrams/sequences/png and diagrams/sequences/uml for the corresponding F01 flow.</w:t>
      </w:r>
    </w:p>
    <w:p>
      <w:pPr>
        <w:pStyle w:val="Micro"/>
      </w:pPr>
      <w:r>
        <w:t>MODULES  B01, B02, A01, S01  •  File responsibilities: Appendix A</w:t>
      </w:r>
    </w:p>
    <w:p>
      <w:pPr>
        <w:pStyle w:val="SpecBody"/>
      </w:pPr>
      <w:r>
        <w:rPr>
          <w:b/>
        </w:rPr>
        <w:t xml:space="preserve">Meaning and scope  </w:t>
      </w:r>
      <w:r>
        <w:t>Defines whose household is being observed, who has consented and which family members may receive information. The resident and the paying caregiver are different roles; purchase does not establish resident consent.</w:t>
      </w:r>
    </w:p>
    <w:p>
      <w:pPr>
        <w:pStyle w:val="SpecBody"/>
      </w:pPr>
      <w:r>
        <w:rPr>
          <w:rFonts w:ascii="Calibri" w:hAnsi="Calibri"/>
          <w:b/>
          <w:color w:val="1F4D78"/>
          <w:sz w:val="22"/>
        </w:rPr>
        <w:t xml:space="preserve">P0 requirement  </w:t>
      </w:r>
      <w:r>
        <w:rPr>
          <w:rFonts w:ascii="Calibri" w:hAnsi="Calibri"/>
          <w:sz w:val="22"/>
        </w:rPr>
        <w:t>Create one home with an IANA timezone, display name, preferred language, one or two consenting resident profiles and a primary caregiver. A consenting backup is required before unattended pilot use. Bench simulation may use test accounts. Store telephone contact only when necessary and explicitly supplied. Resident profiles configure consent and contact context; they do not authorize motion-based identity claims.</w:t>
      </w:r>
    </w:p>
    <w:p>
      <w:pPr>
        <w:pStyle w:val="SpecBody"/>
      </w:pPr>
      <w:r>
        <w:rPr>
          <w:rFonts w:ascii="Calibri" w:hAnsi="Calibri"/>
          <w:b/>
          <w:color w:val="1F4D78"/>
          <w:sz w:val="22"/>
        </w:rPr>
        <w:t xml:space="preserve">Corresponding hardware  </w:t>
      </w:r>
      <w:r>
        <w:rPr>
          <w:rFonts w:ascii="Calibri" w:hAnsi="Calibri"/>
          <w:sz w:val="22"/>
        </w:rPr>
        <w:t>No extra sensor hardware. The hub serial/QR is bound to exactly one active home; the phone is the caregiver interface. All passive PIR/reed observations are attributed to the household or named location, never to an individual. A user-initiated button event may identify the mapped button/device only when that mapping is explicit.</w:t>
      </w:r>
    </w:p>
    <w:p>
      <w:pPr>
        <w:pStyle w:val="SpecBody"/>
      </w:pPr>
      <w:r>
        <w:rPr>
          <w:b/>
        </w:rPr>
        <w:t xml:space="preserve">Detailed software design  </w:t>
      </w:r>
      <w:r>
        <w:t>B02 service.py validates settings in one transaction; B01 membership.py enforces OWNER, CAREGIVER and INSTALLER roles. Installation access expires after 24 hours by default and excludes historical activity. A01 Onboarding.tsx guides account, home and role setup. Invitations are single-use, expire after 48 hours, and require recipient acceptance. A home cannot be reassigned by merely knowing its serial number.</w:t>
      </w:r>
    </w:p>
    <w:p>
      <w:pPr>
        <w:pStyle w:val="SpecBody"/>
      </w:pPr>
      <w:r>
        <w:rPr>
          <w:b/>
        </w:rPr>
        <w:t xml:space="preserve">Communication flow  </w:t>
      </w:r>
      <w:r>
        <w:t>App → HTTPS POST /v1/homes; invitation → recipient acceptance; backend → versioned home snapshot. Hub receives only the local configuration it needs, not caregiver passwords or contact details.</w:t>
      </w:r>
    </w:p>
    <w:p>
      <w:pPr>
        <w:pStyle w:val="SpecBody"/>
      </w:pPr>
      <w:r>
        <w:rPr>
          <w:b/>
        </w:rPr>
        <w:t xml:space="preserve">Failure and edge handling  </w:t>
      </w:r>
      <w:r>
        <w:t>Reject an unsupported timezone, duplicate active hub binding or removal of the last owner. If a caregiver leaves, stop new routing immediately and warn when no valid response route remains. Do not fall back to a random household member.</w:t>
      </w:r>
    </w:p>
    <w:p>
      <w:pPr>
        <w:pStyle w:val="SpecBody"/>
      </w:pPr>
      <w:r>
        <w:rPr>
          <w:rFonts w:ascii="Calibri" w:hAnsi="Calibri"/>
          <w:b/>
          <w:color w:val="1F4D78"/>
          <w:sz w:val="22"/>
        </w:rPr>
        <w:t xml:space="preserve">Exit criteria / tests  </w:t>
      </w:r>
      <w:r>
        <w:rPr>
          <w:rFonts w:ascii="Calibri" w:hAnsi="Calibri"/>
          <w:sz w:val="22"/>
        </w:rPr>
        <w:t>F01-T1: create a home with two consenting residents and accept primary and backup invitations; only active memberships can read it. F01-T2: another home’s token gets 403/404 for every home resource. F01-T3: removing the primary marks routing incomplete without stopping local observation. F01-T4: motion from any node is rendered as household/location activity and never assigned to a named resident.</w:t>
      </w:r>
    </w:p>
    <w:p>
      <w:pPr>
        <w:pStyle w:val="SpecBody"/>
      </w:pPr>
      <w:r>
        <w:rPr>
          <w:b/>
        </w:rPr>
        <w:t xml:space="preserve">Further enhancement  </w:t>
      </w:r>
      <w:r>
        <w:t>Multiple resident profiles, delegated professional care teams and shared payer accounts; none may imply PIR-based identification.</w:t>
      </w:r>
    </w:p>
    <w:p>
      <w:bookmarkStart w:id="9" w:name="F02"/>
      <w:pPr>
        <w:pStyle w:val="Heading1"/>
        <w:pageBreakBefore/>
      </w:pPr>
      <w:r>
        <w:rPr>
          <w:color w:val="000000"/>
        </w:rPr>
        <w:t>8. F02 — Resident consent and privacy controls</w:t>
      </w:r>
      <w:bookmarkEnd w:id="9"/>
    </w:p>
    <w:p>
      <w:r>
        <w:t>Meaning. Consent explains what is collected, why, who receives it and how to stop it. Consent withdrawal must affect collection and processing, not merely hide a dashboard card. In the current P0 there is no routine Privacy ON/OFF control: an applied withdrawal drives an internal privacy-enforcement state, and observation can resume only after deliberate valid re-consent. AI consent is separate from permission to observe motion.</w:t>
      </w:r>
    </w:p>
    <w:p>
      <w:r>
        <w:t>Worked example. A resident withdraws observation consent through the explicit consent workflow. Once the hub reports the withdrawal applied, the caregiver sees observation paused and later PIR events are not treated as ordinary monitored activity. Re-enabling observation requires a deliberate re-consent/version change; a normal mode change cannot override the internal privacy-enforcement state.</w:t>
      </w:r>
    </w:p>
    <w:p>
      <w:r>
        <w:rPr>
          <w:b/>
        </w:rPr>
        <w:t xml:space="preserve">Execution and ownership. </w:t>
      </w:r>
      <w:r>
        <w:t>B02 records the authoritative consent/mode change. H07 must apply its version at the hub and propagate an applicable collection policy to nodes. H06 provides local control. B08 records an audit event. Future H10/H11 additionally stop AI recording and playback on AI-consent withdrawal.</w:t>
      </w:r>
    </w:p>
    <w:p>
      <w:r>
        <w:t>Reference implementation boundary. Backend consent/state mutation and hub passive-event gating are present and host-tested, including the absence of a normal privacy-toggle UI. Production deletion/retention enforcement, physical sensor collection-stop evidence and complete consent provenance still require deployment/HIL validation.</w:t>
      </w:r>
    </w:p>
    <w:p>
      <w:r>
        <w:t>Acceptance experiment. During an active routine, submit an authenticated consent withdrawal and send passive events before and after the hub reports the new version applied. Confirm pending-versus-applied state, no false absence incident after enforcement, no normal Privacy ON/OFF control, and no resumption without deliberate valid re-consent.</w:t>
      </w:r>
    </w:p>
    <w:p>
      <w:r>
        <w:rPr>
          <w:b/>
        </w:rPr>
        <w:t xml:space="preserve">Participants and traceability. </w:t>
      </w:r>
      <w:r>
        <w:t>B02, H06, H07, A01, B08. Source paths and test references are in the traceability register. See diagrams/sequences/png and diagrams/sequences/uml for the corresponding F02 flow.</w:t>
      </w:r>
    </w:p>
    <w:p>
      <w:pPr>
        <w:pStyle w:val="Micro"/>
      </w:pPr>
      <w:r>
        <w:t>MODULES  B02, H06, H07, A01, B08  •  File responsibilities: Appendix A</w:t>
      </w:r>
    </w:p>
    <w:p>
      <w:pPr>
        <w:pStyle w:val="SpecBody"/>
      </w:pPr>
      <w:r>
        <w:rPr>
          <w:b/>
        </w:rPr>
        <w:t xml:space="preserve">Meaning and scope  </w:t>
      </w:r>
      <w:r>
        <w:t>The resident can understand and stop observation without needing the buyer’s phone. Consent is an operational control, not only a checkbox in legal text.</w:t>
      </w:r>
    </w:p>
    <w:p>
      <w:pPr>
        <w:pStyle w:val="SpecBody"/>
      </w:pPr>
      <w:r>
        <w:t>P0 requirement  Explain collected signals, recipients, limitations, retention and withdrawal in the resident’s selected language. Record consent version, method, time and installer/witness where used. Do not expose a generic Privacy ON/OFF setting. Withdrawal creates an auditable desired state; once applied by the hub it enters internal privacy enforcement and suppresses configured passive collection. Re-observation requires a new valid consent version.</w:t>
      </w:r>
    </w:p>
    <w:p>
      <w:pPr>
        <w:pStyle w:val="SpecBody"/>
      </w:pPr>
      <w:r>
        <w:t>Corresponding hardware  No privacy-toggle hardware is required in P0. The hub retains the two resident action buttons (I’m OK and Call family), plus OLED/LED and optional fixed prerecorded feedback. If observation is paused because consent withdrawal was applied, local feedback may show that state without offering an ON/OFF override.</w:t>
      </w:r>
    </w:p>
    <w:p>
      <w:pPr>
        <w:pStyle w:val="SpecBody"/>
      </w:pPr>
      <w:r>
        <w:t>Detailed software design  H06 handles resident actions/feedback; H07/config state carries applied consent/privacy enforcement; the passive-event admission path discards/suppresses configured passive observation while privacy_enforced is true, while required service-health traffic continues. B02 maintains consent provenance and B08 audits state changes. No normal app or GPIO toggle can silently restore consent.</w:t>
      </w:r>
    </w:p>
    <w:p>
      <w:pPr>
        <w:pStyle w:val="SpecBody"/>
      </w:pPr>
      <w:r>
        <w:t>Communication flow  Consent workflow → authenticated backend/config change → hub applied-version acknowledgement → internal privacy-enforcement gate → caregiver/app status. During WAN loss a remote withdrawal is shown pending until the hub applies it; the UI must not claim passive collection has stopped before that acknowledgement.</w:t>
      </w:r>
    </w:p>
    <w:p>
      <w:pPr>
        <w:pStyle w:val="SpecBody"/>
      </w:pPr>
      <w:r>
        <w:t>Failure and edge handling  In-flight or node-buffered activity may exist around the withdrawal boundary; define and audit how pre-apply data is handled and do not reconstruct activity for a period intentionally unobserved after enforcement. A stale/failed re-consent must not resume observation. Old external notifications may not be recallable.</w:t>
      </w:r>
    </w:p>
    <w:p>
      <w:pPr>
        <w:pStyle w:val="SpecBody"/>
      </w:pPr>
      <w:r>
        <w:t>Exit criteria / tests  F02-T1: submit withdrawal and verify pending versus applied state. F02-T2: after apply, passive activity is suppressed while health/service traffic remains visible. F02-T3: no normal Privacy ON/OFF setting is present and a mode change cannot override applied withdrawal. F02-T4: re-observation requires explicit valid re-consent.</w:t>
      </w:r>
    </w:p>
    <w:p>
      <w:pPr>
        <w:pStyle w:val="SpecBody"/>
      </w:pPr>
      <w:r>
        <w:rPr>
          <w:b/>
        </w:rPr>
        <w:t xml:space="preserve">Further enhancement  </w:t>
      </w:r>
      <w:r>
        <w:t>Accessible multilingual consent playback and delegated-consent workflows only after appropriate ethical/legal review; covert monitoring remains excluded.</w:t>
      </w:r>
    </w:p>
    <w:p>
      <w:bookmarkStart w:id="10" w:name="F03"/>
      <w:pPr>
        <w:pStyle w:val="Heading1"/>
        <w:pageBreakBefore/>
      </w:pPr>
      <w:r>
        <w:rPr>
          <w:color w:val="000000"/>
        </w:rPr>
        <w:t>8. F03 — Kit provisioning and installation verification</w:t>
      </w:r>
      <w:bookmarkEnd w:id="10"/>
    </w:p>
    <w:p>
      <w:r>
        <w:rPr>
          <w:b/>
        </w:rPr>
        <w:t xml:space="preserve">Meaning. </w:t>
      </w:r>
      <w:r>
        <w:t>Provisioning binds the physical kit to the correct home and names the place each node observes. Installation verification proves that a connected device also detects the intended movement. A heartbeat alone cannot prove correct placement.</w:t>
      </w:r>
    </w:p>
    <w:p>
      <w:r>
        <w:rPr>
          <w:b/>
        </w:rPr>
        <w:t xml:space="preserve">Worked example. </w:t>
      </w:r>
      <w:r>
        <w:t>NODE-KT is paired to H1 but its PIR faces a hot window. Radio tests may pass while the sensor produces misleading evidence. The installation checklist must therefore include both communications and a real walk test.</w:t>
      </w:r>
    </w:p>
    <w:p>
      <w:r>
        <w:rPr>
          <w:b/>
        </w:rPr>
        <w:t xml:space="preserve">Execution and ownership. </w:t>
      </w:r>
      <w:r>
        <w:t>N04 and H07 validate configuration, B06 records device ownership and desired versions, S03 supplies credential/update policy seams, and T02 records physical checks. A01 presents any missing checks and prevents interpreting an unfinished installation as ready.</w:t>
      </w:r>
    </w:p>
    <w:p>
      <w:r>
        <w:rPr>
          <w:b/>
        </w:rPr>
        <w:t xml:space="preserve">Reference implementation boundary. </w:t>
      </w:r>
      <w:r>
        <w:t>Configuration validators and checklist scaffolds exist. A secure claim service, ESP-NOW pairing, factory keys, serial provisioning and verified physical evidence do not yet exist as an integrated system.</w:t>
      </w:r>
    </w:p>
    <w:p>
      <w:r>
        <w:rPr>
          <w:b/>
        </w:rPr>
        <w:t xml:space="preserve">Acceptance experiment. </w:t>
      </w:r>
      <w:r>
        <w:t>Reject duplicate node IDs and wrong-board configuration. Walk each intended path, disconnect one sensor, test every resident button and perform a real notification drill before enabling unattended alerts.</w:t>
      </w:r>
    </w:p>
    <w:p>
      <w:r>
        <w:rPr>
          <w:b/>
        </w:rPr>
        <w:t xml:space="preserve">Participants and traceability. </w:t>
      </w:r>
      <w:r>
        <w:t>N04, H07, B06, A01, S03, T02. Source paths and test references are in the traceability register. See diagrams/sequences/png and diagrams/sequences/uml for the corresponding F03 flow.</w:t>
      </w:r>
    </w:p>
    <w:p>
      <w:pPr>
        <w:pStyle w:val="Micro"/>
      </w:pPr>
      <w:r>
        <w:t>MODULES  N04, H07, B06, A01, S03, T02  •  File responsibilities: Appendix A</w:t>
      </w:r>
    </w:p>
    <w:p>
      <w:pPr>
        <w:pStyle w:val="SpecBody"/>
      </w:pPr>
      <w:r>
        <w:rPr>
          <w:b/>
        </w:rPr>
        <w:t xml:space="preserve">Meaning and scope  </w:t>
      </w:r>
      <w:r>
        <w:t>A kit is useful only if its identities, placement, radio path and caregiver notifications work in the actual home. P0 uses assisted installation, not a promise of fully self-service pairing.</w:t>
      </w:r>
    </w:p>
    <w:p>
      <w:pPr>
        <w:pStyle w:val="SpecBody"/>
      </w:pPr>
      <w:r>
        <w:rPr>
          <w:rFonts w:ascii="Calibri" w:hAnsi="Calibri"/>
          <w:b/>
          <w:color w:val="1F4D78"/>
          <w:sz w:val="22"/>
        </w:rPr>
        <w:t xml:space="preserve">P0 requirement  </w:t>
      </w:r>
      <w:r>
        <w:rPr>
          <w:rFonts w:ascii="Calibri" w:hAnsi="Calibri"/>
          <w:sz w:val="22"/>
        </w:rPr>
        <w:t>Pre-bond one hub and four labeled nodes using the USB service jig. Register unique credentials, firmware, board profile, capability profile and installed location. Capture a successful test for every enabled PIR/reed input, both hub buttons, privacy control and a real caregiver notification before monitoring becomes eligible. Provide a repeatable Test alert drill after installation; test events are clearly marked, never count as real incidents or response-SLA evidence, and cannot invoke future professional emergency routing.</w:t>
      </w:r>
    </w:p>
    <w:p>
      <w:pPr>
        <w:pStyle w:val="SpecBody"/>
      </w:pPr>
      <w:r>
        <w:rPr>
          <w:b/>
        </w:rPr>
        <w:t xml:space="preserve">Corresponding hardware  </w:t>
      </w:r>
      <w:r>
        <w:t>USB service access, enclosure labels and accessible service button/pads are required. Installer laptop provisions home Wi-Fi locally over USB during a physical, time-limited service session. Final GPIO numbers remain blocked on exact board schematics.</w:t>
      </w:r>
    </w:p>
    <w:p>
      <w:pPr>
        <w:pStyle w:val="SpecBody"/>
      </w:pPr>
      <w:r>
        <w:rPr>
          <w:rFonts w:ascii="Calibri" w:hAnsi="Calibri"/>
          <w:b/>
          <w:color w:val="1F4D78"/>
          <w:sz w:val="22"/>
        </w:rPr>
        <w:t xml:space="preserve">Detailed software design  </w:t>
      </w:r>
      <w:r>
        <w:rPr>
          <w:rFonts w:ascii="Calibri" w:hAnsi="Calibri"/>
          <w:sz w:val="22"/>
        </w:rPr>
        <w:t>T02 provision.py generates per-kit secrets and writes authorized device records without logging secrets. S03 credentials.cpp stores device credentials; H07 provision.cpp accepts provisioning only during a 120-second physical service window. B06 routes.py binds the authenticated home to a one-use claim token and device proof. A01 InstallTest.tsx can run PLACEMENT, DELIVERY and FULL_WORKFLOW drills. B04/B05 persist each drill with is_test=true and states CREATED, SENT, PROVIDER_ACCEPTED, HUMAN_ACKED, FAILED or EXPIRED. B08 stores drill evidence separately from production incident metrics.</w:t>
      </w:r>
    </w:p>
    <w:p>
      <w:pPr>
        <w:pStyle w:val="SpecBody"/>
      </w:pPr>
      <w:r>
        <w:rPr>
          <w:rFonts w:ascii="Calibri" w:hAnsi="Calibri"/>
          <w:b/>
          <w:color w:val="1F4D78"/>
          <w:sz w:val="22"/>
        </w:rPr>
        <w:t xml:space="preserve">Communication flow  </w:t>
      </w:r>
      <w:r>
        <w:rPr>
          <w:rFonts w:ascii="Calibri" w:hAnsi="Calibri"/>
          <w:sz w:val="22"/>
        </w:rPr>
        <w:t>USB jig → node/hub credentials; encrypted ESP-NOW → placement events; hub MQTT → backend; app HTTPS → installation results. A caregiver drill follows POST test intent → push provider → authenticated acknowledgement → visible pass/fail. The setup QR is a one-use claim aid, not an everlasting bearer credential.</w:t>
      </w:r>
    </w:p>
    <w:p>
      <w:pPr>
        <w:pStyle w:val="SpecBody"/>
      </w:pPr>
      <w:r>
        <w:rPr>
          <w:rFonts w:ascii="Calibri" w:hAnsi="Calibri"/>
          <w:b/>
          <w:color w:val="1F4D78"/>
          <w:sz w:val="22"/>
        </w:rPr>
        <w:t xml:space="preserve">Failure and edge handling  </w:t>
      </w:r>
      <w:r>
        <w:rPr>
          <w:rFonts w:ascii="Calibri" w:hAnsi="Calibri"/>
          <w:sz w:val="22"/>
        </w:rPr>
        <w:t>A failed room/input test blocks that source from routine eligibility. Mismatched credentials do not trigger open pairing. Device replacement requires owner authorization and physical service access, revokes the old binding and starts a new coverage interval. A changed location requires a repeat placement test. A failed drill remains failed; it cannot be converted into a production acknowledgement or silently retried as a real alert.</w:t>
      </w:r>
    </w:p>
    <w:p>
      <w:pPr>
        <w:pStyle w:val="SpecBody"/>
      </w:pPr>
      <w:r>
        <w:rPr>
          <w:rFonts w:ascii="Calibri" w:hAnsi="Calibri"/>
          <w:b/>
          <w:color w:val="1F4D78"/>
          <w:sz w:val="22"/>
        </w:rPr>
        <w:t xml:space="preserve">Exit criteria / tests  </w:t>
      </w:r>
      <w:r>
        <w:rPr>
          <w:rFonts w:ascii="Calibri" w:hAnsi="Calibri"/>
          <w:sz w:val="22"/>
        </w:rPr>
        <w:t>F03-T1: a second unclaimed hub cannot join by spoofing a MAC/serial. F03-T2: any enabled PIR/reed input or push test omitted leaves installation incomplete. F03-T3: replacement preserves historical identity and does not inherit healthy coverage before its first test. F03-T4: a repeatable Test alert reaches the selected real phone, is visibly labeled TEST, records human acknowledgement and never enters production escalation or summary counts.</w:t>
      </w:r>
    </w:p>
    <w:p>
      <w:pPr>
        <w:pStyle w:val="SpecBody"/>
      </w:pPr>
      <w:r>
        <w:rPr>
          <w:b/>
        </w:rPr>
        <w:t xml:space="preserve">Further enhancement  </w:t>
      </w:r>
      <w:r>
        <w:t>Secure BLE/SoftAP self-service setup and guided placement recommendations after the installer workflow is repeatable.</w:t>
      </w:r>
    </w:p>
    <w:p>
      <w:bookmarkStart w:id="11" w:name="F04"/>
      <w:pPr>
        <w:pStyle w:val="Heading1"/>
        <w:pageBreakBefore/>
      </w:pPr>
      <w:r>
        <w:rPr>
          <w:color w:val="000000"/>
        </w:rPr>
        <w:t>8. F04 — Configurable morning routine</w:t>
      </w:r>
      <w:bookmarkEnd w:id="11"/>
    </w:p>
    <w:p>
      <w:r>
        <w:t>Meaning. A morning routine is a configured interval and rule for interpreting household evidence. P0 also carries versioned per-household activity policy for quiet hours, door-left-open timeout, daytime inactivity, an optional morning sequence, night bathroom/common-room visit monitoring and post-door-close inactivity. These are household settings, not person-specific learned behavior, because PIR/reed inputs do not identify which resident moved.</w:t>
      </w:r>
    </w:p>
    <w:p>
      <w:r>
        <w:rPr>
          <w:b/>
        </w:rPr>
        <w:t xml:space="preserve">Worked example. </w:t>
      </w:r>
      <w:r>
        <w:t>For illustration, watch from 05:30 to 10:00 and finish the grace period at 10:10. These are editable trial values. A configuration saved on the phone at 09:00 is still pending until the hub reports the applied version.</w:t>
      </w:r>
    </w:p>
    <w:p>
      <w:r>
        <w:t>Execution and ownership. A03 builds desired household configuration, B06 validates/versions it, H07 applies a complete snapshot, H03 supplies trusted time and H05/S02 evaluate the frozen policy. The same activity_rules snapshot carries quiet-hours, door-open timeout, daytime inactivity, morning-sequence locations/window, night-window visit thresholds/merge interval and post-door inactivity. Transport heartbeat/retry constants remain engineering-owned and are not exposed as normal household settings.</w:t>
      </w:r>
    </w:p>
    <w:p>
      <w:r>
        <w:t>Reference implementation boundary. The PWA Device Schedules editor, backend config API and C++ HomeConfig now carry the expanded versioned activity_rules end-to-end. v3.3.1 pauses 2-second background polling while the editor is open so form controls remain stable; save refreshes from the backend response. Functional tests prove that changed settings alter rule behavior. Production local-date scheduling, durable atomic device-side persistence and applied-version recovery still require target integration.</w:t>
      </w:r>
    </w:p>
    <w:p>
      <w:r>
        <w:t>Acceptance experiment. Apply an increasing version, reject an older one, change quiet-hours/door-open/daytime inactivity/morning-sequence/night/post-door settings, reload Device Schedules, and verify desired versus applied version plus changed rule behavior. Verify configured morning locations and sequence window, night threshold equality versus exceedance, visit merging, and post-door motion cancellation. Do not display a setting as active merely because the API accepted it.</w:t>
      </w:r>
    </w:p>
    <w:p>
      <w:r>
        <w:rPr>
          <w:b/>
        </w:rPr>
        <w:t xml:space="preserve">Participants and traceability. </w:t>
      </w:r>
      <w:r>
        <w:t>A03, B06, H07, H03, H05, S02. Source paths and test references are in the traceability register. See diagrams/sequences/png and diagrams/sequences/uml for the corresponding F04 flow.</w:t>
      </w:r>
    </w:p>
    <w:p>
      <w:pPr>
        <w:pStyle w:val="Micro"/>
      </w:pPr>
      <w:r>
        <w:t>MODULES  A03, B06, H07, H03, H05, S02  •  File responsibilities: Appendix A</w:t>
      </w:r>
    </w:p>
    <w:p>
      <w:pPr>
        <w:pStyle w:val="SpecBody"/>
      </w:pPr>
      <w:r>
        <w:rPr>
          <w:b/>
        </w:rPr>
        <w:t xml:space="preserve">Meaning and scope  </w:t>
      </w:r>
      <w:r>
        <w:t>A household agrees on a broad morning observation window rather than being forced into a precise sequence of rooms or tasks.</w:t>
      </w:r>
    </w:p>
    <w:p>
      <w:pPr>
        <w:pStyle w:val="SpecBody"/>
      </w:pPr>
      <w:r>
        <w:t>P0 requirement  Support one daily morning schedule plus versioned per-household activity rules: quiet-hours, door-left-open timeout, daytime inactivity, optional morning sequence, night bathroom/common-room visit thresholds/merge interval and post-door-close inactivity. Morning sequence starts at the configured bedroom location and completes only after both configured bathroom and kitchen activity occur subsequently within the configured sequence window. Defaults are editable starting values, not learned facts; person-specific thresholds require reliable identity evidence and are deferred.</w:t>
      </w:r>
    </w:p>
    <w:p>
      <w:pPr>
        <w:pStyle w:val="SpecBody"/>
      </w:pPr>
      <w:r>
        <w:rPr>
          <w:rFonts w:ascii="Calibri" w:hAnsi="Calibri"/>
          <w:b/>
          <w:color w:val="1F4D78"/>
          <w:sz w:val="22"/>
        </w:rPr>
        <w:t xml:space="preserve">Corresponding hardware  </w:t>
      </w:r>
      <w:r>
        <w:rPr>
          <w:rFonts w:ascii="Calibri" w:hAnsi="Calibri"/>
          <w:sz w:val="22"/>
        </w:rPr>
        <w:t>Uses selected PIR inputs across the four C3 nodes and an optional hub-local PIR/prompt. A hub-local PIR, if used, must have its own logical source ID and placement test. Neither a reed switch nor a camera is required to decide morning activity. A backed clock source is optional; without one, reboot can temporarily invalidate time.</w:t>
      </w:r>
    </w:p>
    <w:p>
      <w:pPr>
        <w:pStyle w:val="SpecBody"/>
      </w:pPr>
      <w:r>
        <w:t>Detailed software design  A03 Device Schedules builds desired configuration with version checks. B06 validates/versions all activity_rules; H07 applies a complete HomeConfig snapshot; H03 supplies time; S02 RulesCore evaluates frozen policy. RulesCore emits MORNING_ROUTINE_COMPLETED, UNUSUAL_NIGHT_BATHROOM_ACTIVITY, UNUSUAL_NIGHT_COMMON_ACTIVITY and POST_DOOR_INACTIVITY in addition to the existing door/inactivity signals. Mid-window changes use explicit desired/effective/applied versions. Protocol heartbeat/retry/offline constants remain outside ordinary caregiver Settings.</w:t>
      </w:r>
    </w:p>
    <w:p>
      <w:pPr>
        <w:pStyle w:val="SpecBody"/>
      </w:pPr>
      <w:r>
        <w:rPr>
          <w:b/>
        </w:rPr>
        <w:t xml:space="preserve">Communication flow  </w:t>
      </w:r>
      <w:r>
        <w:t>App HTTPS → desired config → MQTT command → hub durable apply acknowledgement → app applied version. Nodes only receive relevant sampling/heartbeat settings; they do not store household calendars.</w:t>
      </w:r>
    </w:p>
    <w:p>
      <w:pPr>
        <w:pStyle w:val="SpecBody"/>
      </w:pPr>
      <w:r>
        <w:rPr>
          <w:b/>
        </w:rPr>
        <w:t xml:space="preserve">Failure and edge handling  </w:t>
      </w:r>
      <w:r>
        <w:t>A stale app edit returns 409 rather than overwriting a newer change. Unapplied settings never display as active. A window starting before installation/valid time is marked incomplete, not retrospectively observed. If precomputed boundaries expire offline, suspend absence evaluation and report configuration/time coverage unavailable.</w:t>
      </w:r>
    </w:p>
    <w:p>
      <w:pPr>
        <w:pStyle w:val="SpecBody"/>
      </w:pPr>
      <w:r>
        <w:t>Exit criteria / tests  F04-T1: schedule/rule boundaries are deterministic. F04-T2: stale config is rejected and desired/applied versions remain explicit. F04-T3: morning sequence requires configured bedroom start and then both configured bathroom/kitchen events within the applied window. F04-T4: quiet-hours, door-left-open, daytime, night and post-door settings save/reload per household. F04-T5: night count equal to threshold does not alert; threshold+1 does. F04-T6: repeated PIR inside the merge interval counts as one visit. F04-T7: transport heartbeat/retry settings are not exposed as ordinary preferences.</w:t>
      </w:r>
    </w:p>
    <w:p>
      <w:pPr>
        <w:pStyle w:val="SpecBody"/>
      </w:pPr>
      <w:r>
        <w:rPr>
          <w:b/>
        </w:rPr>
        <w:t xml:space="preserve">Further enhancement  </w:t>
      </w:r>
      <w:r>
        <w:t>More routines, holidays and suggested schedule adjustments with resident approval; automatic schedule learning is outside P0.</w:t>
      </w:r>
    </w:p>
    <w:p>
      <w:bookmarkStart w:id="12" w:name="F05"/>
      <w:pPr>
        <w:pStyle w:val="Heading1"/>
        <w:pageBreakBefore/>
      </w:pPr>
      <w:r>
        <w:rPr>
          <w:color w:val="000000"/>
        </w:rPr>
        <w:t>8. F05 — Morning activity evidence</w:t>
      </w:r>
      <w:bookmarkEnd w:id="12"/>
    </w:p>
    <w:p>
      <w:r>
        <w:rPr>
          <w:b/>
        </w:rPr>
        <w:t xml:space="preserve">Meaning. </w:t>
      </w:r>
      <w:r>
        <w:t>Activity evidence is a qualified motion or permitted door event within the configured window. It shows that movement was observed somewhere eligible. It does not identify mother or father and does not establish that either person is well.</w:t>
      </w:r>
    </w:p>
    <w:p>
      <w:r>
        <w:rPr>
          <w:b/>
        </w:rPr>
        <w:t xml:space="preserve">Worked example. </w:t>
      </w:r>
      <w:r>
        <w:t>Mother enters the pooja area while father stays in Room 2. The household has activity evidence, but the system cannot conclude that father moved. Sitting still for fifteen minutes can produce no additional PIR edges.</w:t>
      </w:r>
    </w:p>
    <w:p>
      <w:r>
        <w:rPr>
          <w:b/>
        </w:rPr>
        <w:t xml:space="preserve">Execution and ownership. </w:t>
      </w:r>
      <w:r>
        <w:rPr/>
        <w:t>N01 qualifies the electrical input. N05/N02 retain and send an event. H01 admits it, H02 records it and H05 calls S02. Ordinary qualifying activity remains evidence. When morning_sequence_enabled is applied, RulesCore tracks configured bedroom start followed by configured bathroom and kitchen evidence within the sequence window; successful completion emits MORNING_ROUTINE_COMPLETED without identifying a person.</w:t>
      </w:r>
    </w:p>
    <w:p>
      <w:r>
        <w:rPr>
          <w:b/>
        </w:rPr>
        <w:t xml:space="preserve">Reference implementation boundary. </w:t>
      </w:r>
      <w:r>
        <w:rPr/>
        <w:t>Two-zone, kitchen-session and pooja-duration hypotheses remain outside the generic activity rule. The implemented morning sequence is explicit configuration, not learned behavior: bathroom before the bedroom start does not complete it, bathroom/kitchen order after start may vary, and configured locations/window can change per household. Bounded duplicate-evidence/history coverage remains separate open work.</w:t>
      </w:r>
    </w:p>
    <w:p>
      <w:r>
        <w:rPr>
          <w:b/>
        </w:rPr>
        <w:t xml:space="preserve">Acceptance experiment. </w:t>
      </w:r>
      <w:r>
        <w:rPr/>
        <w:t>Replay allowed/disallowed locations, out-of-window/test/duplicate events, plus morning sequence order/location/window cases. Verify bathroom-before-bedroom does not complete; bedroom then bathroom+kitchen (either order) within the window does; configured location changes are honored; completion appears as a positive MORNING_ROUTINE_COMPLETED event while raw activity history remains visible.</w:t>
      </w:r>
    </w:p>
    <w:p>
      <w:r>
        <w:rPr>
          <w:b/>
        </w:rPr>
        <w:t xml:space="preserve">Participants and traceability. </w:t>
      </w:r>
      <w:r>
        <w:t>N01, H01, H02, H05, S02, B07, A02. Source paths and test references are in the traceability register. See diagrams/sequences/png and diagrams/sequences/uml for the corresponding F05 flow.</w:t>
      </w:r>
    </w:p>
    <w:p>
      <w:pPr>
        <w:pStyle w:val="Micro"/>
      </w:pPr>
      <w:r>
        <w:t>MODULES  N01, H01, H02, H05, S02, B07, A02  •  File responsibilities: Appendix A</w:t>
      </w:r>
    </w:p>
    <w:p>
      <w:pPr>
        <w:pStyle w:val="SpecBody"/>
      </w:pPr>
      <w:r>
        <w:rPr>
          <w:b/>
        </w:rPr>
        <w:t xml:space="preserve">Meaning and scope  </w:t>
      </w:r>
      <w:r>
        <w:t>Reports that a configured sensor detected movement at a location and time. It does not prove who moved, that breakfast was eaten or that the resident is medically well.</w:t>
      </w:r>
    </w:p>
    <w:p>
      <w:pPr>
        <w:pStyle w:val="SpecBody"/>
      </w:pPr>
      <w:r>
        <w:rPr>
          <w:rFonts w:ascii="Calibri" w:hAnsi="Calibri"/>
          <w:b/>
          <w:color w:val="1F4D78"/>
          <w:sz w:val="22"/>
        </w:rPr>
        <w:t xml:space="preserve">P0 requirement  </w:t>
      </w:r>
      <w:r>
        <w:rPr>
          <w:rFonts w:ascii="Calibri" w:hAnsi="Calibri"/>
          <w:sz w:val="22"/>
        </w:rPr>
        <w:t>Accept qualifying movement from any configured and currently eligible P0 motion source within the window. Record the first and most recent observation, contributing source/location and time quality. Keep physical activity evidence separate from self-check-in and coverage. Suppress person-specific interpretation during all modes, including visitor mode.</w:t>
      </w:r>
    </w:p>
    <w:p>
      <w:pPr>
        <w:pStyle w:val="SpecBody"/>
      </w:pPr>
      <w:r>
        <w:rPr>
          <w:rFonts w:ascii="Calibri" w:hAnsi="Calibri"/>
          <w:b/>
          <w:color w:val="1F4D78"/>
          <w:sz w:val="22"/>
        </w:rPr>
        <w:t xml:space="preserve">Corresponding hardware  </w:t>
      </w:r>
      <w:r>
        <w:rPr>
          <w:rFonts w:ascii="Calibri" w:hAnsi="Calibri"/>
          <w:sz w:val="22"/>
        </w:rPr>
        <w:t>Up to four correctly oriented, low-power PIR modules with 3.3-V-compatible output may be connected to the four C3 nodes. P0 requires at least two tested independent zones. A node may also host the main-door reed switch when wire length, enclosure and placement tests pass. Avoid direct sun, heat sources and private-room viewpoints; validate PIR warm-up, hold behavior and actual room coverage before enclosure freeze.</w:t>
      </w:r>
    </w:p>
    <w:p>
      <w:pPr>
        <w:pStyle w:val="SpecBody"/>
      </w:pPr>
      <w:r>
        <w:rPr>
          <w:b/>
        </w:rPr>
        <w:t xml:space="preserve">Detailed software design  </w:t>
      </w:r>
      <w:r>
        <w:t>N01 pir.cpp debounces/qualifies sensor transitions using its board profile and reports activation, not an assumed occupancy count. H01 validates identity; H02 durably journals it. H05 calls the pure S02 reducer with event time and mode intervals. B07 projector.py builds evidence cards, while A02 Evidence.tsx renders “Movement observed in hallway, 07:18” and a separate freshness badge. No scalar wellness score is stored.</w:t>
      </w:r>
    </w:p>
    <w:p>
      <w:pPr>
        <w:pStyle w:val="SpecBody"/>
      </w:pPr>
      <w:r>
        <w:rPr>
          <w:b/>
        </w:rPr>
        <w:t xml:space="preserve">Communication flow  </w:t>
      </w:r>
      <w:r>
        <w:t>PIR GPIO → node event → encrypted ESP-NOW/application ACK → hub journal/rule reducer → MQTT → dashboard projection/SSE. Duplicate radio packets update neither evidence count nor alert count.</w:t>
      </w:r>
    </w:p>
    <w:p>
      <w:pPr>
        <w:pStyle w:val="SpecBody"/>
      </w:pPr>
      <w:r>
        <w:rPr>
          <w:b/>
        </w:rPr>
        <w:t xml:space="preserve">Failure and edge handling  </w:t>
      </w:r>
      <w:r>
        <w:t>An event of uncertain age may appear in history with “time uncertain” but cannot establish an in-window observation. Late trustworthy evidence amends history and incident context without silently deleting an already sent alert. Activity during a health fault remains visible but does not clear that fault.</w:t>
      </w:r>
    </w:p>
    <w:p>
      <w:pPr>
        <w:pStyle w:val="SpecBody"/>
      </w:pPr>
      <w:r>
        <w:rPr>
          <w:rFonts w:ascii="Calibri" w:hAnsi="Calibri"/>
          <w:b/>
          <w:color w:val="1F4D78"/>
          <w:sz w:val="22"/>
        </w:rPr>
        <w:t xml:space="preserve">Exit criteria / tests  </w:t>
      </w:r>
      <w:r>
        <w:rPr>
          <w:rFonts w:ascii="Calibri" w:hAnsi="Calibri"/>
          <w:sz w:val="22"/>
        </w:rPr>
        <w:t>F05-T1: one qualifying event from any eligible configured PIR records observed activity with source provenance. F05-T2: 100 duplicate packets produce one evidence record. F05-T3: visitor or multi-resident motion is labeled household activity; no “resident OK” or person identity message appears. F05-T4: disabling or losing one configured source changes coverage and cannot be hidden by activity from a different source.</w:t>
      </w:r>
    </w:p>
    <w:p>
      <w:pPr>
        <w:pStyle w:val="SpecBody"/>
      </w:pPr>
      <w:r>
        <w:rPr>
          <w:b/>
        </w:rPr>
        <w:t xml:space="preserve">Further enhancement  </w:t>
      </w:r>
      <w:r>
        <w:t>Optional local statistical routines and additional activity sources, tested against the transparent rule baseline; no identity claim without a validated identity method.</w:t>
      </w:r>
    </w:p>
    <w:p>
      <w:bookmarkStart w:id="13" w:name="F06"/>
      <w:pPr>
        <w:pStyle w:val="Heading1"/>
        <w:pageBreakBefore/>
      </w:pPr>
      <w:r>
        <w:rPr>
          <w:color w:val="000000"/>
        </w:rPr>
        <w:t>8. F06 — Explicit “I’m OK” check-in</w:t>
      </w:r>
      <w:bookmarkEnd w:id="13"/>
    </w:p>
    <w:p>
      <w:r>
        <w:rPr>
          <w:b/>
        </w:rPr>
        <w:t xml:space="preserve">Meaning. </w:t>
      </w:r>
      <w:r>
        <w:t>An explicit I am OK action is a resident statement recorded separately from passive motion. It should be possible without a phone and should give immediate, understandable local feedback.</w:t>
      </w:r>
    </w:p>
    <w:p>
      <w:r>
        <w:rPr>
          <w:b/>
        </w:rPr>
        <w:t xml:space="preserve">Worked example. </w:t>
      </w:r>
      <w:r>
        <w:t>A parent wakes late and presses OK. The display may say that the check-in was saved locally; if the internet is down it must not say the family has already received it.</w:t>
      </w:r>
    </w:p>
    <w:p>
      <w:r>
        <w:rPr>
          <w:b/>
        </w:rPr>
        <w:t xml:space="preserve">Execution and ownership. </w:t>
      </w:r>
      <w:r>
        <w:t>The future GPIO adapter debounces the button and asks H06 to build an OK event. That event passes through the journal before local saved feedback. H05/S02 interpret it for the window, and H08/B07/A02 later show the distinct self-check-in record.</w:t>
      </w:r>
    </w:p>
    <w:p>
      <w:r>
        <w:t>Reference implementation boundary. Connected host simulation now carries I am OK through event → hub/backend projection and validates it as a distinct positive self-check-in with elapsed age. Call Family remains a separate unresolved incident if I am OK is pressed later. Physical button debounce and the &lt;500 ms local-feedback target still require hardware measurement.</w:t>
      </w:r>
    </w:p>
    <w:p>
      <w:r>
        <w:rPr>
          <w:b/>
        </w:rPr>
        <w:t xml:space="preserve">Acceptance experiment. </w:t>
      </w:r>
      <w:r>
        <w:t>Test press, bounce, held button, WAN outage and reboot between save and send. Measure the 500 ms local confirmation target on hardware. Verify that a caregiver acknowledgement cannot masquerade as resident OK.</w:t>
      </w:r>
    </w:p>
    <w:p>
      <w:r>
        <w:rPr>
          <w:b/>
        </w:rPr>
        <w:t xml:space="preserve">Participants and traceability. </w:t>
      </w:r>
      <w:r>
        <w:t>H06, H02, H05, S02, B07, A02. Source paths and test references are in the traceability register. See diagrams/sequences/png and diagrams/sequences/uml for the corresponding F06 flow.</w:t>
      </w:r>
    </w:p>
    <w:p>
      <w:pPr>
        <w:pStyle w:val="Micro"/>
      </w:pPr>
      <w:r>
        <w:t>MODULES  H06, H02, H05, S02, B07, A02  •  File responsibilities: Appendix A</w:t>
      </w:r>
    </w:p>
    <w:p>
      <w:pPr>
        <w:pStyle w:val="SpecBody"/>
      </w:pPr>
      <w:r>
        <w:rPr>
          <w:b/>
        </w:rPr>
        <w:t xml:space="preserve">Meaning and scope  </w:t>
      </w:r>
      <w:r>
        <w:t>The resident intentionally reports a check-in. This is stronger evidence of interaction than PIR movement, but remains a self-report rather than a health assessment.</w:t>
      </w:r>
    </w:p>
    <w:p>
      <w:pPr>
        <w:pStyle w:val="SpecBody"/>
      </w:pPr>
      <w:r>
        <w:rPr>
          <w:b/>
        </w:rPr>
        <w:t xml:space="preserve">P0 requirement  </w:t>
      </w:r>
      <w:r>
        <w:t>Provide a distinct, large, labeled I’m OK button. Confirm a valid press locally within 500 ms and record a separate self-check-in timestamp. A morning check-in satisfies the configured check-in workflow even if motion sensing is degraded; the health warning remains.</w:t>
      </w:r>
    </w:p>
    <w:p>
      <w:pPr>
        <w:pStyle w:val="SpecBody"/>
      </w:pPr>
      <w:r>
        <w:rPr>
          <w:b/>
        </w:rPr>
        <w:t xml:space="preserve">Corresponding hardware  </w:t>
      </w:r>
      <w:r>
        <w:t>Dedicated normally-open momentary button with suitable input conditioning. Use the existing button for this function on the bench; add a separate Call family button for any resident pilot. OLED/LED and optional fixed audio provide redundant feedback.</w:t>
      </w:r>
    </w:p>
    <w:p>
      <w:pPr>
        <w:pStyle w:val="SpecBody"/>
      </w:pPr>
      <w:r>
        <w:rPr>
          <w:b/>
        </w:rPr>
        <w:t xml:space="preserve">Detailed software design  </w:t>
      </w:r>
      <w:r>
        <w:t>H06 buttons.cpp samples at a proposed 10 ms cadence and accepts a stable 50 ms press, with one event until release. Values must be tuned by usability tests. H02 journals CHECKIN_SELF before confirming “saved”; H05 updates self_checkin_at independently of activity_observed_at. If storage fails, use explicit failure feedback, never success. Repeated taps within 10 seconds may share one routine check-in but remain diagnostic input counts.</w:t>
      </w:r>
    </w:p>
    <w:p>
      <w:pPr>
        <w:pStyle w:val="SpecBody"/>
      </w:pPr>
      <w:r>
        <w:t>Communication flow  Local input → journal → routine reducer → cloud outbox → app. Offline feedback says “Check-in saved; internet unavailable”, not “Family notified”. During internal privacy enforcement after applied consent withdrawal, an intentional check-in may be sent only under the explicitly consented one-off-action policy; it never re-enables passive observation.</w:t>
      </w:r>
    </w:p>
    <w:p>
      <w:pPr>
        <w:pStyle w:val="SpecBody"/>
      </w:pPr>
      <w:r>
        <w:rPr>
          <w:b/>
        </w:rPr>
        <w:t xml:space="preserve">Failure and edge handling  </w:t>
      </w:r>
      <w:r>
        <w:t>A button held during boot is ignored until release and displayed as stuck if persistent. Pressing I’m OK does not clear an outstanding Call family request; the caregiver workflow resolves that separately. Manual check-in with uncertain wall time is stored with receipt time and uncertainty.</w:t>
      </w:r>
    </w:p>
    <w:p>
      <w:pPr>
        <w:pStyle w:val="SpecBody"/>
      </w:pPr>
      <w:r>
        <w:rPr>
          <w:b/>
        </w:rPr>
        <w:t xml:space="preserve">Exit criteria / tests  </w:t>
      </w:r>
      <w:r>
        <w:t>F06-T1: button bounce and 100 rapid electrical edges yield one press event. F06-T2: offline press survives reboot and syncs once. F06-T3: self-check-in during sensor loss is shown alongside “coverage incomplete”.</w:t>
      </w:r>
    </w:p>
    <w:p>
      <w:pPr>
        <w:pStyle w:val="SpecBody"/>
      </w:pPr>
      <w:r>
        <w:rPr>
          <w:b/>
        </w:rPr>
        <w:t xml:space="preserve">Further enhancement  </w:t>
      </w:r>
      <w:r>
        <w:t>Accessible remote button or authenticated app check-in with distinct provenance; voice check-in requires a separately validated audio design.</w:t>
      </w:r>
    </w:p>
    <w:p>
      <w:bookmarkStart w:id="14" w:name="F07"/>
      <w:pPr>
        <w:pStyle w:val="Heading1"/>
        <w:pageBreakBefore/>
      </w:pPr>
      <w:r>
        <w:rPr>
          <w:color w:val="000000"/>
        </w:rPr>
        <w:t>8. F07 — “Call family” request</w:t>
      </w:r>
      <w:bookmarkEnd w:id="14"/>
    </w:p>
    <w:p>
      <w:r>
        <w:rPr>
          <w:b/>
        </w:rPr>
        <w:t xml:space="preserve">Meaning. </w:t>
      </w:r>
      <w:r>
        <w:t>Call family means the resident is requesting human contact. It is separate from missing routine evidence, carries higher routing importance and must not wait for the next morning deadline.</w:t>
      </w:r>
    </w:p>
    <w:p>
      <w:r>
        <w:rPr>
          <w:b/>
        </w:rPr>
        <w:t xml:space="preserve">Worked example. </w:t>
      </w:r>
      <w:r>
        <w:t>At 15:00, father presses Call family while the internet is unavailable. The local response should explain that the request is saved and remote contact is unavailable, rather than implying someone is on the way.</w:t>
      </w:r>
    </w:p>
    <w:p>
      <w:r>
        <w:rPr>
          <w:b/>
        </w:rPr>
        <w:t xml:space="preserve">Execution and ownership. </w:t>
      </w:r>
      <w:r>
        <w:t>H06 creates a CallFamily business event. H02/H08 retain and replay it. Backend composition invokes B03, creates a stable incident through B04 and schedules B05 jobs. A04 shows the request and allows an authorised caregiver to act.</w:t>
      </w:r>
    </w:p>
    <w:p>
      <w:r>
        <w:t>Reference implementation boundary. The connected simulator/backend now validates Call Family incident creation, primary/backup jobs, WAN replay and chronology with later I am OK/activity. Real provider delivery and physical button behavior remain pending; this is not automatic emergency dispatch.</w:t>
      </w:r>
    </w:p>
    <w:p>
      <w:r>
        <w:rPr>
          <w:b/>
        </w:rPr>
        <w:t xml:space="preserve">Acceptance experiment. </w:t>
      </w:r>
      <w:r>
        <w:t>Send the same request twice and verify one incident and one job per recipient/stage. Exercise WAN loss, reboot, provider rejection and a caregiver acknowledgement that cancels pending backup routing.</w:t>
      </w:r>
    </w:p>
    <w:p>
      <w:r>
        <w:rPr>
          <w:b/>
        </w:rPr>
        <w:t xml:space="preserve">Participants and traceability. </w:t>
      </w:r>
      <w:r>
        <w:t>H06, H02, H05, B04, B05, A04. Source paths and test references are in the traceability register. See diagrams/sequences/png and diagrams/sequences/uml for the corresponding F07 flow.</w:t>
      </w:r>
    </w:p>
    <w:p>
      <w:pPr>
        <w:pStyle w:val="Micro"/>
      </w:pPr>
      <w:r>
        <w:t>MODULES  H06, H02, H05, B04, B05, A04  •  File responsibilities: Appendix A</w:t>
      </w:r>
    </w:p>
    <w:p>
      <w:pPr>
        <w:pStyle w:val="SpecBody"/>
      </w:pPr>
      <w:r>
        <w:rPr>
          <w:b/>
        </w:rPr>
        <w:t xml:space="preserve">Meaning and scope  </w:t>
      </w:r>
      <w:r>
        <w:t>Lets the resident ask a known family member to contact them. It sends a request; the prototype does not place a telephone call or dispatch emergency services.</w:t>
      </w:r>
    </w:p>
    <w:p>
      <w:pPr>
        <w:pStyle w:val="SpecBody"/>
      </w:pPr>
      <w:r>
        <w:rPr>
          <w:b/>
        </w:rPr>
        <w:t xml:space="preserve">P0 requirement  </w:t>
      </w:r>
      <w:r>
        <w:t>Use a separate labeled button. Start a high-priority incident independent of morning windows, away mode and motion. Provide immediate local feedback distinguishing saved, remote service accepted and caregiver acknowledged. Never label a button press as an emergency response guarantee.</w:t>
      </w:r>
    </w:p>
    <w:p>
      <w:pPr>
        <w:pStyle w:val="SpecBody"/>
      </w:pPr>
      <w:r>
        <w:rPr>
          <w:b/>
        </w:rPr>
        <w:t xml:space="preserve">Corresponding hardware  </w:t>
      </w:r>
      <w:r>
        <w:t>Second large momentary button, physically and visually differentiated from I’m OK. Provide an accessible printed alternative contact instruction. Speaker prompts are optional; visual feedback is mandatory and shall not rely on color alone.</w:t>
      </w:r>
    </w:p>
    <w:p>
      <w:pPr>
        <w:pStyle w:val="SpecBody"/>
      </w:pPr>
      <w:r>
        <w:rPr>
          <w:b/>
        </w:rPr>
        <w:t xml:space="preserve">Detailed software design  </w:t>
      </w:r>
      <w:r>
        <w:t>H06 produces CONTACT_REQUEST; H02 commits the event plus local incident/outbox before the cloud path. H05 uses an incident ID derived from this unique event, not the routine ID. B04 service.py opens the workflow and B05 routing.py attempts the primary route. Additional presses within 30 seconds append to the same open request; an unresolved request is never cleared by later PIR motion or I’m OK.</w:t>
      </w:r>
    </w:p>
    <w:p>
      <w:pPr>
        <w:pStyle w:val="SpecBody"/>
      </w:pPr>
      <w:r>
        <w:t>Communication flow  Button → local journal → MQTT incident → database commit ACK → Web Push → caregiver HTTPS acknowledgement → hub status update. Remote provider acceptance and human acknowledgement are different events. During internal privacy enforcement, an explicit Call Family request may still be shared under the separately explained one-off-action policy; passive activity remains suppressed.</w:t>
      </w:r>
    </w:p>
    <w:p>
      <w:pPr>
        <w:pStyle w:val="SpecBody"/>
      </w:pPr>
      <w:r>
        <w:rPr>
          <w:b/>
        </w:rPr>
        <w:t xml:space="preserve">Failure and edge handling  </w:t>
      </w:r>
      <w:r>
        <w:t>Offline: announce that remote contact is unavailable and retain the request. Reconnect: show original age prominently; requests older than 15 minutes produce a delayed-request notification, not a misleading fresh request. They remain unresolved until a human acts. Unsent storage failure produces distinct local failure feedback.</w:t>
      </w:r>
    </w:p>
    <w:p>
      <w:pPr>
        <w:pStyle w:val="SpecBody"/>
      </w:pPr>
      <w:r>
        <w:rPr>
          <w:b/>
        </w:rPr>
        <w:t xml:space="preserve">Exit criteria / tests  </w:t>
      </w:r>
      <w:r>
        <w:t>F07-T1: a request outside the morning window routes normally. F07-T2: press during internet loss; no “family notified” indication occurs. F07-T3: subsequent motion, check-in or summary does not resolve the request. F07-T4: replay creates only one incident.</w:t>
      </w:r>
    </w:p>
    <w:p>
      <w:pPr>
        <w:pStyle w:val="SpecBody"/>
      </w:pPr>
      <w:r>
        <w:rPr>
          <w:b/>
        </w:rPr>
        <w:t xml:space="preserve">Further enhancement  </w:t>
      </w:r>
      <w:r>
        <w:t>Optional metered SMS/voice or consented professional response integration, with explicit service hours and costs; not bundled into P0.</w:t>
      </w:r>
    </w:p>
    <w:p>
      <w:bookmarkStart w:id="15" w:name="F08"/>
      <w:pPr>
        <w:pStyle w:val="Heading1"/>
        <w:pageBreakBefore/>
      </w:pPr>
      <w:r>
        <w:rPr>
          <w:color w:val="000000"/>
        </w:rPr>
        <w:t>8. F08 — Missing morning activity workflow</w:t>
      </w:r>
      <w:bookmarkEnd w:id="15"/>
    </w:p>
    <w:p>
      <w:r>
        <w:rPr>
          <w:b/>
        </w:rPr>
        <w:t xml:space="preserve">Meaning. </w:t>
      </w:r>
      <w:r>
        <w:t>Missing activity is meaningful only when the system had a usable opportunity to observe it. An unknown sensor, an untrusted clock or an intentional pause must not become a resident-risk assertion.</w:t>
      </w:r>
    </w:p>
    <w:p>
      <w:r>
        <w:rPr>
          <w:b/>
        </w:rPr>
        <w:t xml:space="preserve">Worked example. </w:t>
      </w:r>
      <w:r>
        <w:t>At 10:10 there is no qualifying event. If required nodes are healthy and time is trusted, create one missing-morning intent. If NODE-KT is offline, show coverage unavailable instead. Neither outcome proves a medical emergency.</w:t>
      </w:r>
    </w:p>
    <w:p>
      <w:r>
        <w:rPr>
          <w:b/>
        </w:rPr>
        <w:t xml:space="preserve">Execution and ownership. </w:t>
      </w:r>
      <w:r>
        <w:t>H03 supplies trusted timing; H04 supplies coverage; H05 calls S02 at the grace deadline. The reducer checks enabled/due, time, mode, coverage, evidence and duplicate creation in that order. A stable window key is passed to the backend incident path.</w:t>
      </w:r>
    </w:p>
    <w:p>
      <w:r>
        <w:t>Reference implementation boundary. The connected simulator exercises missing-morning decisions from the C++ hardware-independent RulesCore through backend incident/routing, and later activity is appended without hiding the earlier concern. v3.3.2 additionally separates morning sequence pending/not completed yet from the true MISSING_MORNING_ACTIVITY care concern. The main care banner is driven only by backend/rule-engine care.alert; an incomplete sequence before the absence rule actually fires must not present as a red missing-morning incident. Full local prompt/grace orchestration and full-window historical coverage remain open production gaps.</w:t>
      </w:r>
    </w:p>
    <w:p>
      <w:r>
        <w:t>Acceptance experiment. Run covered quiet, evidence present, node missing, clock invalid, consent-withdrawal enforcement, away, visitor and repeated-deadline cases. Confirm morning sequence pending alone does not drive the main care banner. After a true MISSING_MORNING_ACTIVITY concern, inject later Room/Kitchen/Pooja/door activity and confirm the concern remains visible while later activity is appended chronologically.</w:t>
      </w:r>
    </w:p>
    <w:p>
      <w:r>
        <w:rPr>
          <w:b/>
        </w:rPr>
        <w:t xml:space="preserve">Participants and traceability. </w:t>
      </w:r>
      <w:r>
        <w:t>H03, H04, H05, S02, B04, B05. Source paths and test references are in the traceability register. See diagrams/sequences/png and diagrams/sequences/uml for the corresponding F08 flow.</w:t>
      </w:r>
    </w:p>
    <w:p>
      <w:pPr>
        <w:pStyle w:val="Micro"/>
      </w:pPr>
      <w:r>
        <w:t>MODULES  H03, H04, H05, S02, B04, B05  •  File responsibilities: Appendix A</w:t>
      </w:r>
    </w:p>
    <w:p>
      <w:pPr>
        <w:pStyle w:val="SpecBody"/>
      </w:pPr>
      <w:r>
        <w:rPr>
          <w:b/>
        </w:rPr>
        <w:t xml:space="preserve">Meaning and scope  </w:t>
      </w:r>
      <w:r>
        <w:t>Asks a family member to check in when the agreed window passes without qualifying evidence and the observation path was sufficiently available. It is an explanation-based prompt, not a prediction of harm.</w:t>
      </w:r>
    </w:p>
    <w:p>
      <w:pPr>
        <w:pStyle w:val="SpecBody"/>
      </w:pPr>
      <w:r>
        <w:rPr>
          <w:b/>
        </w:rPr>
        <w:t xml:space="preserve">P0 requirement  </w:t>
      </w:r>
      <w:r>
        <w:t>At the deadline, distinguish missing evidence under eligible coverage from unknown observation. If active, time-trusted and eligible with no movement or self-check-in, optionally prompt locally, then allow the configured grace period. At grace expiry create at most one routine incident for the window.</w:t>
      </w:r>
    </w:p>
    <w:p>
      <w:pPr>
        <w:pStyle w:val="SpecBody"/>
      </w:pPr>
      <w:r>
        <w:rPr>
          <w:b/>
        </w:rPr>
        <w:t xml:space="preserve">Corresponding hardware  </w:t>
      </w:r>
      <w:r>
        <w:t>Uses tested PIR nodes and hub feedback. The hub must remain powered; no cloud algorithm can recover missing sensor observations from a powered-off hub.</w:t>
      </w:r>
    </w:p>
    <w:p>
      <w:pPr>
        <w:pStyle w:val="SpecBody"/>
      </w:pPr>
      <w:r>
        <w:rPr>
          <w:b/>
        </w:rPr>
        <w:t xml:space="preserve">Detailed software design  </w:t>
      </w:r>
      <w:r>
        <w:t>S02 rules.cpp is a pure reducer of window, evidence, mode and coverage intervals. H05 routine_service.cpp persists each transition and timer intent. At grace expiry, atomically append incident and outbox action under the stable window ID. Proposed conservative eligibility: every selected sensor has full valid lease coverage through window plus grace, no mode gap, no data-loss flag and trusted time. If not, emit observation-incomplete status instead of the inactivity incident.</w:t>
      </w:r>
    </w:p>
    <w:p>
      <w:pPr>
        <w:pStyle w:val="SpecBody"/>
      </w:pPr>
      <w:r>
        <w:rPr>
          <w:b/>
        </w:rPr>
        <w:t xml:space="preserve">Communication flow  </w:t>
      </w:r>
      <w:r>
        <w:t>Local timer → rule transition → optional audio/display → grace timer → journaled incident → backend routing. Backend never independently re-runs this absence rule; it may issue a separate HUB_UNREACHABLE service incident.</w:t>
      </w:r>
    </w:p>
    <w:p>
      <w:pPr>
        <w:pStyle w:val="SpecBody"/>
      </w:pPr>
      <w:r>
        <w:rPr>
          <w:b/>
        </w:rPr>
        <w:t xml:space="preserve">Failure and edge handling  </w:t>
      </w:r>
      <w:r>
        <w:t>A late in-window event updates the evidence and adds a visible correction to a sent incident. A new health gap during grace changes the outcome to unknown and stops the inactivity interpretation. A caregiver may still choose to call based on unknown coverage. Resume mid-window cannot retroactively satisfy coverage.</w:t>
      </w:r>
    </w:p>
    <w:p>
      <w:pPr>
        <w:pStyle w:val="SpecBody"/>
      </w:pPr>
      <w:r>
        <w:rPr>
          <w:b/>
        </w:rPr>
        <w:t xml:space="preserve">Exit criteria / tests  </w:t>
      </w:r>
      <w:r>
        <w:t>F08-T1: healthy empty window plus grace creates one incident. F08-T2: remove either selected node mid-window; no inactivity claim is generated. F08-T3: reboot at deadline and replay produce the same outcome and ID as uninterrupted execution.</w:t>
      </w:r>
    </w:p>
    <w:p>
      <w:pPr>
        <w:pStyle w:val="SpecBody"/>
      </w:pPr>
      <w:r>
        <w:rPr>
          <w:b/>
        </w:rPr>
        <w:t xml:space="preserve">Further enhancement  </w:t>
      </w:r>
      <w:r>
        <w:t>Resident-approved adaptive windows or graded coverage policies only after false/missed-alert evidence; do not relax coverage silently to make metrics look better.</w:t>
      </w:r>
    </w:p>
    <w:p>
      <w:bookmarkStart w:id="16" w:name="F09"/>
      <w:pPr>
        <w:pStyle w:val="Heading1"/>
        <w:pageBreakBefore/>
      </w:pPr>
      <w:r>
        <w:rPr>
          <w:color w:val="000000"/>
        </w:rPr>
        <w:t>8. F09 — Main-door event history and quiet-hour notice</w:t>
      </w:r>
      <w:bookmarkEnd w:id="16"/>
    </w:p>
    <w:p>
      <w:r>
        <w:rPr>
          <w:b/>
        </w:rPr>
        <w:t xml:space="preserve">Meaning. </w:t>
      </w:r>
      <w:r>
        <w:t>A reed contact reports that a door opened or closed. One contact or one PIR cannot determine who crossed the door or in which direction. A quiet-hour notice is an optional explanatory advisory, not an intrusion conclusion.</w:t>
      </w:r>
    </w:p>
    <w:p>
      <w:r>
        <w:rPr>
          <w:b/>
        </w:rPr>
        <w:t xml:space="preserve">Worked example. </w:t>
      </w:r>
      <w:r>
        <w:t>The main door opens at 22:00. A caregiver may see a door event if permitted, but the product must not say that a parent left home or that a stranger entered.</w:t>
      </w:r>
    </w:p>
    <w:p>
      <w:r>
        <w:rPr>
          <w:b/>
        </w:rPr>
        <w:t xml:space="preserve">Execution and ownership. </w:t>
      </w:r>
      <w:r>
        <w:t>N01 or the hub input adapter qualifies the edge. The event follows the shared retained transport. B07 exposes history. B05 can create a keyed advisory when an explicit quiet-hour policy matches; A02 labels the observed event.</w:t>
      </w:r>
    </w:p>
    <w:p>
      <w:r>
        <w:t>Reference implementation boundary. Quiet-hours classification, door-left-open timeout, chronology and post-door-close inactivity now run through the C++ RulesCore in the connected simulator. Household Device Schedules versions these policies. A configured door close arms post-door monitoring; qualifying indoor motion cancels the pending concern, while no motion at the applied threshold emits POST_DOOR_INACTIVITY. Physical reed wiring/mounting, real-time clock/HIL behavior and production notification delivery remain pending.</w:t>
      </w:r>
    </w:p>
    <w:p>
      <w:r>
        <w:rPr>
          <w:b/>
        </w:rPr>
        <w:t xml:space="preserve">Acceptance experiment. </w:t>
      </w:r>
      <w:r>
        <w:t>Test bounce, initial open state, repeat delivery, quiet policy off, policy boundary and test-tagged data. Inspect the notice label for direction or identity claims.</w:t>
      </w:r>
    </w:p>
    <w:p>
      <w:r>
        <w:rPr>
          <w:b/>
        </w:rPr>
        <w:t xml:space="preserve">Participants and traceability. </w:t>
      </w:r>
      <w:r>
        <w:t>N01, H05, S02, B07, B05, A02. Source paths and test references are in the traceability register. See diagrams/sequences/png and diagrams/sequences/uml for the corresponding F09 flow.</w:t>
      </w:r>
    </w:p>
    <w:p>
      <w:pPr>
        <w:pStyle w:val="Micro"/>
      </w:pPr>
      <w:r>
        <w:t>MODULES  N01, H05, S02, B07, B05, A02  •  File responsibilities: Appendix A</w:t>
      </w:r>
    </w:p>
    <w:p>
      <w:pPr>
        <w:pStyle w:val="SpecBody"/>
      </w:pPr>
      <w:r>
        <w:rPr>
          <w:b/>
        </w:rPr>
        <w:t xml:space="preserve">Meaning and scope  </w:t>
      </w:r>
      <w:r>
        <w:t>Shows that the monitored door contact changed state. It cannot determine who used the door, direction of travel, or whether the resident is now away.</w:t>
      </w:r>
    </w:p>
    <w:p>
      <w:pPr>
        <w:pStyle w:val="SpecBody"/>
      </w:pPr>
      <w:r>
        <w:t>P0 requirement  Record explicit open/close edges and current known state. Quiet-hour notices are configurable per household. If a door remains open beyond the configured timeout, create a concern that remains in history after closure. If post-door inactivity is enabled, a door close arms a timer and qualifying indoor motion cancels it; reaching the applied timeout with no qualifying motion creates POST_DOOR_INACTIVITY. Never auto-enable away mode or infer who used the door.</w:t>
      </w:r>
    </w:p>
    <w:p>
      <w:pPr>
        <w:pStyle w:val="SpecBody"/>
      </w:pPr>
      <w:r>
        <w:rPr>
          <w:b/>
        </w:rPr>
        <w:t xml:space="preserve">Corresponding hardware  </w:t>
      </w:r>
      <w:r>
        <w:t>Reed contact and magnet on the main door, with a stable mounting gap, strain relief and 3.3-V-safe input bias. Bare two-wire reed contacts cannot inherently distinguish an open door from a broken wire; disclose this limitation.</w:t>
      </w:r>
    </w:p>
    <w:p>
      <w:pPr>
        <w:pStyle w:val="SpecBody"/>
      </w:pPr>
      <w:r>
        <w:t>Detailed software design  N01 qualifies/debounces door state; S02 RulesCore applies quiet-hours, door-left-open and post-door-inactivity policy from versioned activity_rules. B07 retains exact transitions and A02 shows explicit Main door opened/closed and concern reasons. Timer-generated concern events carry their detection time for deterministic chronology. The PWA main care banner follows backend care.alert, so rule concerns are not masked by mere routine-pending text.</w:t>
      </w:r>
    </w:p>
    <w:p>
      <w:pPr>
        <w:pStyle w:val="SpecBody"/>
      </w:pPr>
      <w:r>
        <w:rPr>
          <w:b/>
        </w:rPr>
        <w:t xml:space="preserve">Communication flow  </w:t>
      </w:r>
      <w:r>
        <w:t>Door transition → encrypted node event → hub application ACK → history/optional incident → cloud. Heartbeats carry the current sampled contact state, allowing reconciliation after lost edges without inventing exact transition times.</w:t>
      </w:r>
    </w:p>
    <w:p>
      <w:pPr>
        <w:pStyle w:val="SpecBody"/>
      </w:pPr>
      <w:r>
        <w:rPr>
          <w:b/>
        </w:rPr>
        <w:t xml:space="preserve">Failure and edge handling  </w:t>
      </w:r>
      <w:r>
        <w:t>After a node outage, report “state observed open at reconnect; transition time unknown”. Startup state is not a new door-opening alarm. A quiet-hour boundary with untrusted time cannot trigger a time-specific notice; retain the raw event with uncertainty. A stuck reading triggers an installation re-test suggestion, not proof of sensor failure.</w:t>
      </w:r>
    </w:p>
    <w:p>
      <w:pPr>
        <w:pStyle w:val="SpecBody"/>
      </w:pPr>
      <w:r>
        <w:t>Exit criteria / tests  F09-T1: open/close transitions remain explicit and chronological. F09-T2: daytime opening is expected while configured quiet-time opening is unexpected without relying on color alone. F09-T3: door-left-open threshold−1 s does not warn and threshold does. F09-T4: later close records duration/current state while concern history remains. F09-T5: post-door threshold−1 s stays normal, threshold emits concern, and qualifying indoor motion cancels it. F09-T6: invalid PIR→door simulated input is rejected.</w:t>
      </w:r>
    </w:p>
    <w:p>
      <w:pPr>
        <w:pStyle w:val="SpecBody"/>
      </w:pPr>
      <w:r>
        <w:t>Further enhancement  Supervised contact wiring, multiple doors and security-grade claims require a separate design/validation. Door-left-open software policy itself is now part of the current P0 host implementation.</w:t>
      </w:r>
    </w:p>
    <w:p>
      <w:bookmarkStart w:id="17" w:name="F10"/>
      <w:pPr>
        <w:pStyle w:val="Heading1"/>
        <w:pageBreakBefore/>
      </w:pPr>
      <w:r>
        <w:rPr>
          <w:color w:val="000000"/>
        </w:rPr>
        <w:t>8. F10 — Away, pause and visitor modes</w:t>
      </w:r>
      <w:bookmarkEnd w:id="17"/>
    </w:p>
    <w:p>
      <w:r>
        <w:t>Meaning. Modes explain why routine interpretation changes. AWAY means absence is expected; PAUSED temporarily suspends routine handling; VISITOR warns that observed movement may belong to someone else. Consent withdrawal/internal privacy enforcement is separate from these user-selectable modes and is governed by F02.</w:t>
      </w:r>
    </w:p>
    <w:p>
      <w:r>
        <w:rPr>
          <w:b/>
        </w:rPr>
        <w:t xml:space="preserve">Worked example. </w:t>
      </w:r>
      <w:r>
        <w:t>Both parents go out and set AWAY. The deadline should not generate a missing-morning incident. A visitor moving in the kitchen must not be presented as proof of either parent moving.</w:t>
      </w:r>
    </w:p>
    <w:p>
      <w:r>
        <w:rPr>
          <w:b/>
        </w:rPr>
        <w:t xml:space="preserve">Execution and ownership. </w:t>
      </w:r>
      <w:r>
        <w:t>A03 requests a change, B02 authorises it, H07 applies a version and H05/S02 use the effective mode. The target must retain actor, reason and effective time so support can reconstruct which mode governed a decision.</w:t>
      </w:r>
    </w:p>
    <w:p>
      <w:r>
        <w:rPr>
          <w:b/>
        </w:rPr>
        <w:t xml:space="preserve">Reference implementation boundary. </w:t>
      </w:r>
      <w:r>
        <w:t>The reducer suppresses absence unless mode is Home. Visitor can collect evidence but still suppresses deadline creation. Device propagation, audit detail and recovery of effective mode need integrated validation.</w:t>
      </w:r>
    </w:p>
    <w:p>
      <w:r>
        <w:rPr>
          <w:b/>
        </w:rPr>
        <w:t xml:space="preserve">Acceptance experiment. </w:t>
      </w:r>
      <w:r>
        <w:t>Change each mode before, during and after a window; repeat an old command and reboot. Confirm that collection policy, absence eligibility and displayed mode agree.</w:t>
      </w:r>
    </w:p>
    <w:p>
      <w:r>
        <w:rPr>
          <w:b/>
        </w:rPr>
        <w:t xml:space="preserve">Participants and traceability. </w:t>
      </w:r>
      <w:r>
        <w:t>A03, B02, H07, H06, H05, S02. Source paths and test references are in the traceability register. See diagrams/sequences/png and diagrams/sequences/uml for the corresponding F10 flow.</w:t>
      </w:r>
    </w:p>
    <w:p>
      <w:pPr>
        <w:pStyle w:val="Micro"/>
      </w:pPr>
      <w:r>
        <w:t>MODULES  A03, B02, H07, H06, H05, S02  •  File responsibilities: Appendix A</w:t>
      </w:r>
    </w:p>
    <w:p>
      <w:pPr>
        <w:pStyle w:val="SpecBody"/>
      </w:pPr>
      <w:r>
        <w:t>Meaning and scope  Makes known routine exceptions explicit so a trip or guest does not look like a missing routine. ACTIVE/AWAY/PAUSED/VISITOR are user-selectable modes; consent withdrawal/internal privacy enforcement is a separate F02 state and is not exposed as a normal mode toggle.</w:t>
      </w:r>
    </w:p>
    <w:p>
      <w:pPr>
        <w:pStyle w:val="SpecBody"/>
      </w:pPr>
      <w:r>
        <w:t>P0 requirement  Support ACTIVE/HOME, AWAY, PAUSED and VISITOR with reason, actor and effective time. AWAY/PAUSED suppress routine absence; VISITOR preserves household-level evidence while suppressing resident-specific interpretation. No user-facing PRIVACY mode or physical privacy switch is provided; applied consent withdrawal has higher precedence under F02.</w:t>
      </w:r>
    </w:p>
    <w:p>
      <w:pPr>
        <w:pStyle w:val="SpecBody"/>
      </w:pPr>
      <w:r>
        <w:t>Corresponding hardware  No privacy-switch hardware. The hub provides the two resident action buttons plus clear display/LED feedback; there is no occupancy-identification hardware.</w:t>
      </w:r>
    </w:p>
    <w:p>
      <w:pPr>
        <w:pStyle w:val="SpecBody"/>
      </w:pPr>
      <w:r>
        <w:t>Detailed software design  A03 mode/settings UI sends versioned ACTIVE/AWAY/PAUSED/VISITOR requests to B02/H07. H05/S02 store/use effective mode intervals for auditable decisions. The separate consent/privacy-enforcement state is applied from F02 configuration/consent state and cannot be cleared by an ordinary mode command.</w:t>
      </w:r>
    </w:p>
    <w:p>
      <w:pPr>
        <w:pStyle w:val="SpecBody"/>
      </w:pPr>
      <w:r>
        <w:t>Communication flow  App → HTTPS request → backend desired state → hub command → applied state event → app. A remote mode request during disconnection remains pending, not applied. Applied consent withdrawal/internal privacy enforcement is separate and cannot be overridden by these mode requests.</w:t>
      </w:r>
    </w:p>
    <w:p>
      <w:pPr>
        <w:pStyle w:val="SpecBody"/>
      </w:pPr>
      <w:r>
        <w:t>Failure and edge handling  A reboot restores the last durable mode/config state. Unknown expiry time retains the conservative non-active state. Removing visitor mode part-way through a window cannot restore earlier coverage. Manual Call family remains available under its consented one-off policy. Re-consent must be explicit; mode changes never restore consent.</w:t>
      </w:r>
    </w:p>
    <w:p>
      <w:pPr>
        <w:pStyle w:val="SpecBody"/>
      </w:pPr>
      <w:r>
        <w:t>Exit criteria / tests  F10-T1: motion during visitor mode is not attributed to a resident. F10-T2: offline remote pause remains pending until applied. F10-T3: no normal Privacy ON/OFF mode exists; applied consent withdrawal cannot be overridden by a mode command. F10-T4: modes survive reboot without a false absence alert.</w:t>
      </w:r>
    </w:p>
    <w:p>
      <w:pPr>
        <w:pStyle w:val="SpecBody"/>
      </w:pPr>
      <w:r>
        <w:rPr>
          <w:b/>
        </w:rPr>
        <w:t xml:space="preserve">Further enhancement  </w:t>
      </w:r>
      <w:r>
        <w:t>Holiday calendars, trusted local controls and bounded automatic return detection only if ambiguity is addressed; no PIR-only person tracking.</w:t>
      </w:r>
    </w:p>
    <w:p>
      <w:bookmarkStart w:id="18" w:name="F11"/>
      <w:pPr>
        <w:pStyle w:val="Heading1"/>
        <w:pageBreakBefore/>
      </w:pPr>
      <w:r>
        <w:rPr>
          <w:color w:val="000000"/>
        </w:rPr>
        <w:t>8. F11 — Caregiver home screen and evidence timeline</w:t>
      </w:r>
      <w:bookmarkEnd w:id="18"/>
    </w:p>
    <w:p>
      <w:r>
        <w:rPr>
          <w:b/>
        </w:rPr>
        <w:t xml:space="preserve">Meaning. </w:t>
      </w:r>
      <w:r>
        <w:t>The dashboard is an explanation of observations and service condition. Last movement, resident OK, sensor availability, hub connectivity and an open family request are separate facts.</w:t>
      </w:r>
    </w:p>
    <w:p>
      <w:r>
        <w:rPr>
          <w:b/>
        </w:rPr>
        <w:t xml:space="preserve">Worked example. </w:t>
      </w:r>
      <w:r>
        <w:t>A screen may legitimately show activity at 08:10 and hub offline since 08:30. Hiding either fact would mislead the caregiver. Never turn an old cached card into a green live-status indicator.</w:t>
      </w:r>
    </w:p>
    <w:p>
      <w:r>
        <w:rPr>
          <w:b/>
        </w:rPr>
        <w:t xml:space="preserve">Execution and ownership. </w:t>
      </w:r>
      <w:r>
        <w:t>B07 builds an authorised snapshot/timeline with B08 freshness information. A02 formats it; A05 handles fetch/cache state. The client should render pending and stale results explicitly and must not become an incident authority.</w:t>
      </w:r>
    </w:p>
    <w:p>
      <w:r>
        <w:t>Reference implementation boundary. The same authorised family/caregiver PWA is exercised through connected simulation, HTTP/PWA bridges and frontend-JavaScript validation. It shows exact activity, I am OK age, unresolved incidents, rule-specific concern text, device health/location and Device Schedules separately. v3.3.1 stabilizes schedule editing by pausing background polling; v3.3.2 prevents validation-only state from leaking into live presentation and makes the main care banner depend only on backend/rule-engine care.alert. A 16-check Playwright gate (desktop/mobile) is now mandatory in the final-release target, but a post-v3.3.2 browser PASS is not claimed in this environment because Playwright is not installed.</w:t>
      </w:r>
    </w:p>
    <w:p>
      <w:r>
        <w:rPr>
          <w:b/>
        </w:rPr>
        <w:t xml:space="preserve">Acceptance experiment. </w:t>
      </w:r>
      <w:r>
        <w:t>Load fresh, stale, never-seen and disconnected snapshots; change phone time; try H2 credentials for H1; verify that labels remain understandable on a small mobile screen.</w:t>
      </w:r>
    </w:p>
    <w:p>
      <w:r>
        <w:rPr>
          <w:b/>
        </w:rPr>
        <w:t xml:space="preserve">Participants and traceability. </w:t>
      </w:r>
      <w:r>
        <w:t>B07, B08, A02, A05. Source paths and test references are in the traceability register. See diagrams/sequences/png and diagrams/sequences/uml for the corresponding F11 flow.</w:t>
      </w:r>
    </w:p>
    <w:p>
      <w:pPr>
        <w:pStyle w:val="Micro"/>
      </w:pPr>
      <w:r>
        <w:t>MODULES  B07, B08, A02, A05  •  File responsibilities: Appendix A</w:t>
      </w:r>
    </w:p>
    <w:p>
      <w:pPr>
        <w:pStyle w:val="SpecBody"/>
      </w:pPr>
      <w:r>
        <w:rPr>
          <w:b/>
        </w:rPr>
        <w:t xml:space="preserve">Meaning and scope  </w:t>
      </w:r>
      <w:r>
        <w:t>Gives the family an honest, quickly understood snapshot: what was observed, what was self-reported, whether the system is current and which requests still need action.</w:t>
      </w:r>
    </w:p>
    <w:p>
      <w:pPr>
        <w:pStyle w:val="SpecBody"/>
      </w:pPr>
      <w:r>
        <w:t>P0 requirement  Show last activity, last self-check-in, observation/system coverage and open incidents as separate facts; include home-local time/data age and recent important events in newest-first chronology. Use the same authorised dashboard for family or caregiver users, with role-based action controls. Keep at least the latest relevant activity visible after a missing-morning concern, and never hide the unresolved concern. Use text/icons as well as color; never show a global “safe” badge.</w:t>
      </w:r>
    </w:p>
    <w:p>
      <w:pPr>
        <w:pStyle w:val="SpecBody"/>
      </w:pPr>
      <w:r>
        <w:rPr>
          <w:b/>
        </w:rPr>
        <w:t xml:space="preserve">Corresponding hardware  </w:t>
      </w:r>
      <w:r>
        <w:t>Android/iOS phone browser; installed PWA recommended for push. A larger caregiver display is optional and does not change the underlying permissions.</w:t>
      </w:r>
    </w:p>
    <w:p>
      <w:pPr>
        <w:pStyle w:val="SpecBody"/>
      </w:pPr>
      <w:r>
        <w:rPr>
          <w:b/>
        </w:rPr>
        <w:t xml:space="preserve">Detailed software design  </w:t>
      </w:r>
      <w:r>
        <w:t>B07 projector.py maintains a per-home snapshot from validated events and workflow changes. routes.py serves paginated history and a versioned snapshot; stream.py provides SSE invalidation while the app is open. A02 Home.tsx renders evidence provenance and action priority. A05 cache.ts stores only a minimal short-lived snapshot, not a permanent activity archive. Snapshot and stream revisions prevent an older response overwriting a newer one.</w:t>
      </w:r>
    </w:p>
    <w:p>
      <w:pPr>
        <w:pStyle w:val="SpecBody"/>
      </w:pPr>
      <w:r>
        <w:rPr>
          <w:b/>
        </w:rPr>
        <w:t xml:space="preserve">Communication flow  </w:t>
      </w:r>
      <w:r>
        <w:t>App HTTPS GET /v1/homes/{id}/snapshot + paginated timeline; SSE supplies change hints followed by a fetch. Push opens an incident by ID and the app fetches authorized detail; private activity text is not required on the lock screen.</w:t>
      </w:r>
    </w:p>
    <w:p>
      <w:pPr>
        <w:pStyle w:val="SpecBody"/>
      </w:pPr>
      <w:r>
        <w:rPr>
          <w:b/>
        </w:rPr>
        <w:t xml:space="preserve">Failure and edge handling  </w:t>
      </w:r>
      <w:r>
        <w:t>SSE loss falls back to 30-second foreground polling with backoff. Browser offline state immediately marks the view stale. Backend hub-lease age and phone-fetch age are shown independently; a fresh app fetch of a stale hub does not look current. Missing permissions route to a visible setup warning.</w:t>
      </w:r>
    </w:p>
    <w:p>
      <w:pPr>
        <w:pStyle w:val="SpecBody"/>
      </w:pPr>
      <w:r>
        <w:t>Exit criteria / tests  F11-T1: observed activity plus later sensor outage renders both facts. F11-T2: I am OK is distinct/positive and shows age. F11-T3: Call Family → I am OK remains chronological and Call Family unresolved until human action. F11-T4: missing morning → later motion/door events retains concern plus latest activities. F11-T5: node/hub status shows location and active/degraded/offline state with text, not color alone. F11-T6: cached/stale views never display as live.</w:t>
      </w:r>
    </w:p>
    <w:p>
      <w:pPr>
        <w:pStyle w:val="SpecBody"/>
      </w:pPr>
      <w:r>
        <w:rPr>
          <w:b/>
        </w:rPr>
        <w:t xml:space="preserve">Further enhancement  </w:t>
      </w:r>
      <w:r>
        <w:t>Accessible native apps, multi-home professional dashboards and longer trend views after privacy and usability validation.</w:t>
      </w:r>
    </w:p>
    <w:p>
      <w:bookmarkStart w:id="19" w:name="F12"/>
      <w:pPr>
        <w:pStyle w:val="Heading1"/>
        <w:pageBreakBefore/>
      </w:pPr>
      <w:r>
        <w:rPr>
          <w:color w:val="000000"/>
        </w:rPr>
        <w:t>8. F12 — Caregiver acknowledgement and resolution</w:t>
      </w:r>
      <w:bookmarkEnd w:id="19"/>
    </w:p>
    <w:p>
      <w:r>
        <w:rPr>
          <w:b/>
        </w:rPr>
        <w:t xml:space="preserve">Meaning. </w:t>
      </w:r>
      <w:r>
        <w:t>Claim means one caregiver is taking responsibility for following up. Acknowledge means a human has seen and accepted the request. Resolve means the follow-up is deliberately closed. None is the same as provider delivery.</w:t>
      </w:r>
    </w:p>
    <w:p>
      <w:r>
        <w:rPr>
          <w:b/>
        </w:rPr>
        <w:t xml:space="preserve">Worked example. </w:t>
      </w:r>
      <w:r>
        <w:t>Rahul claims an incident for five minutes. A second caregiver tries to claim during that lease and sees a conflict. After the lease expires, the backup may take over. A resident OK remains a separate recorded action.</w:t>
      </w:r>
    </w:p>
    <w:p>
      <w:r>
        <w:rPr>
          <w:b/>
        </w:rPr>
        <w:t xml:space="preserve">Execution and ownership. </w:t>
      </w:r>
      <w:r>
        <w:t>A04 sends a command through A05. B01 authorises household access. B04 checks incident ownership and updates state/audit. B05 must be told about a human acknowledgement so pending escalation is stopped; B07 then exposes the new state.</w:t>
      </w:r>
    </w:p>
    <w:p>
      <w:r>
        <w:rPr>
          <w:b/>
        </w:rPr>
        <w:t xml:space="preserve">Reference implementation boundary. </w:t>
      </w:r>
      <w:r>
        <w:t>Claim/acknowledge/resolve methods exist. The present permission check uses read access for mutation and needs a stricter production action policy. Unable-to-reach/handoff and atomic database concurrency are not complete.</w:t>
      </w:r>
    </w:p>
    <w:p>
      <w:r>
        <w:rPr>
          <w:b/>
        </w:rPr>
        <w:t xml:space="preserve">Acceptance experiment. </w:t>
      </w:r>
      <w:r>
        <w:t>Race two claims, expire a lease, try cross-house access, repeat acknowledgement and resolve a closed incident. Verify authorised action permissions and notification cancellation in a transaction-level test.</w:t>
      </w:r>
    </w:p>
    <w:p>
      <w:r>
        <w:rPr>
          <w:b/>
        </w:rPr>
        <w:t xml:space="preserve">Participants and traceability. </w:t>
      </w:r>
      <w:r>
        <w:t>B04, B07, B05, A04, H08. Source paths and test references are in the traceability register. See diagrams/sequences/png and diagrams/sequences/uml for the corresponding F12 flow.</w:t>
      </w:r>
    </w:p>
    <w:p>
      <w:pPr>
        <w:pStyle w:val="Micro"/>
      </w:pPr>
      <w:r>
        <w:t>MODULES  B04, B07, B05, A04, H08  •  File responsibilities: Appendix A</w:t>
      </w:r>
    </w:p>
    <w:p>
      <w:pPr>
        <w:pStyle w:val="SpecBody"/>
      </w:pPr>
      <w:r>
        <w:rPr>
          <w:b/>
        </w:rPr>
        <w:t xml:space="preserve">Meaning and scope  </w:t>
      </w:r>
      <w:r>
        <w:t>Distinguishes “I have seen this”, “I will call” and “I have contacted them”. Delivery to a phone is not the same as a person accepting responsibility.</w:t>
      </w:r>
    </w:p>
    <w:p>
      <w:pPr>
        <w:pStyle w:val="SpecBody"/>
      </w:pPr>
      <w:r>
        <w:rPr>
          <w:rFonts w:ascii="Calibri" w:hAnsi="Calibri"/>
          <w:b/>
          <w:color w:val="1F4D78"/>
          <w:sz w:val="22"/>
        </w:rPr>
        <w:t xml:space="preserve">P0 requirement  </w:t>
      </w:r>
      <w:r>
        <w:rPr>
          <w:rFonts w:ascii="Calibri" w:hAnsi="Calibri"/>
          <w:sz w:val="22"/>
        </w:rPr>
        <w:t>Provide “I will call”, “Contacted”, “Unable to reach” and “Ask backup caregiver” actions with actor/time. Acknowledgement creates a temporary response ownership lease; it does not resolve the incident. Contacted requires an explicit outcome. Unable to reach advances to backup when available. Ask backup caregiver explicitly releases the primary claim and requests the consenting backup immediately; it does not mark the resident contacted.</w:t>
      </w:r>
    </w:p>
    <w:p>
      <w:pPr>
        <w:pStyle w:val="SpecBody"/>
      </w:pPr>
      <w:r>
        <w:rPr>
          <w:b/>
        </w:rPr>
        <w:t xml:space="preserve">Corresponding hardware  </w:t>
      </w:r>
      <w:r>
        <w:t>Caregiver phone; the hub may display caregiver acknowledgement, but shall not announce contact succeeded unless a corresponding human outcome exists.</w:t>
      </w:r>
    </w:p>
    <w:p>
      <w:pPr>
        <w:pStyle w:val="SpecBody"/>
      </w:pPr>
      <w:r>
        <w:rPr>
          <w:rFonts w:ascii="Calibri" w:hAnsi="Calibri"/>
          <w:b/>
          <w:color w:val="1F4D78"/>
          <w:sz w:val="22"/>
        </w:rPr>
        <w:t xml:space="preserve">Detailed software design  </w:t>
      </w:r>
      <w:r>
        <w:rPr>
          <w:rFonts w:ascii="Calibri" w:hAnsi="Calibri"/>
          <w:sz w:val="22"/>
        </w:rPr>
        <w:t>B04 state.py defines OPEN, CLAIMED, RESOLVED and CLOSED_UNRESOLVED plus audited action HANDOFF_TO_BACKUP. service.py uses optimistic version checks and a transaction to claim or hand off one incident; default claim lease is 10 minutes. A04 Actions.tsx sends an idempotency key. Handoff ends the current lease, records the actor/reason and creates the backup route in the same transaction/outbox boundary. A second caregiver may explicitly take over with audit, not silently overwrite. Expired claims return to routing eligibility without erasing prior actions.</w:t>
      </w:r>
    </w:p>
    <w:p>
      <w:pPr>
        <w:pStyle w:val="SpecBody"/>
      </w:pPr>
      <w:r>
        <w:rPr>
          <w:b/>
        </w:rPr>
        <w:t xml:space="preserve">Communication flow  </w:t>
      </w:r>
      <w:r>
        <w:t>Push/deep link → authenticated incident fetch → POST /v1/incidents/{id}/actions → committed audit/action → notification worker cancellation or next stage → hub/app state update. Phone dialer launch is merely a convenience and is not evidence a call connected.</w:t>
      </w:r>
    </w:p>
    <w:p>
      <w:pPr>
        <w:pStyle w:val="SpecBody"/>
      </w:pPr>
      <w:r>
        <w:rPr>
          <w:b/>
        </w:rPr>
        <w:t xml:space="preserve">Failure and edge handling  </w:t>
      </w:r>
      <w:r>
        <w:t>An offline app cannot truthfully submit an acknowledgement; show “not sent” and offer the normal phone contact. Competing actions get a refreshed state on 409. Already submitted duplicate actions return the same result. No activity event can resolve a manual contact request.</w:t>
      </w:r>
    </w:p>
    <w:p>
      <w:pPr>
        <w:pStyle w:val="SpecBody"/>
      </w:pPr>
      <w:r>
        <w:rPr>
          <w:rFonts w:ascii="Calibri" w:hAnsi="Calibri"/>
          <w:b/>
          <w:color w:val="1F4D78"/>
          <w:sz w:val="22"/>
        </w:rPr>
        <w:t xml:space="preserve">Exit criteria / tests  </w:t>
      </w:r>
      <w:r>
        <w:rPr>
          <w:rFonts w:ascii="Calibri" w:hAnsi="Calibri"/>
          <w:sz w:val="22"/>
        </w:rPr>
        <w:t>F12-T1: two simultaneous claims produce one owner and an explicit conflict. F12-T2: “I will call” stops the no-ack timer but starts a resolution lease. F12-T3: lease expiry or Unable to reach re-enters routing. F12-T4: duplicate POST creates one audit action. F12-T5: Ask backup caregiver atomically releases the primary claim, creates one backup job and leaves the incident unresolved.</w:t>
      </w:r>
    </w:p>
    <w:p>
      <w:pPr>
        <w:pStyle w:val="SpecBody"/>
      </w:pPr>
      <w:r>
        <w:rPr>
          <w:b/>
        </w:rPr>
        <w:t xml:space="preserve">Further enhancement  </w:t>
      </w:r>
      <w:r>
        <w:t>Team handover, structured care notes and external provider integration; avoid storing unnecessary medical narratives.</w:t>
      </w:r>
    </w:p>
    <w:p>
      <w:bookmarkStart w:id="20" w:name="F13"/>
      <w:pPr>
        <w:pStyle w:val="Heading1"/>
        <w:pageBreakBefore/>
      </w:pPr>
      <w:r>
        <w:rPr>
          <w:color w:val="000000"/>
        </w:rPr>
        <w:t>8. F13 — Backup caregiver routing and delivery visibility</w:t>
      </w:r>
      <w:bookmarkEnd w:id="20"/>
    </w:p>
    <w:p>
      <w:r>
        <w:rPr>
          <w:b/>
        </w:rPr>
        <w:t xml:space="preserve">Meaning. </w:t>
      </w:r>
      <w:r>
        <w:t>Routing is the plan for contacting primary and backup caregivers and reporting what actually happened. A push or SMS provider accepting a request is not evidence that a human read it.</w:t>
      </w:r>
    </w:p>
    <w:p>
      <w:r>
        <w:rPr>
          <w:b/>
        </w:rPr>
        <w:t xml:space="preserve">Worked example. </w:t>
      </w:r>
      <w:r>
        <w:t>The primary receives a job at 10:10. With no human acknowledgement, a backup job becomes due at 10:15 using the reference five-minute delay. If the primary acknowledges at 10:13, an unsent backup job should be cancelled.</w:t>
      </w:r>
    </w:p>
    <w:p>
      <w:r>
        <w:rPr>
          <w:b/>
        </w:rPr>
        <w:t xml:space="preserve">Execution and ownership. </w:t>
      </w:r>
      <w:r>
        <w:t>B05 creates one job per incident, recipient and stage. A worker obtains due jobs, calls a provider and records the outcome. B04 human actions update routing. A04/A05 display provider accepted, failed and human acknowledged separately.</w:t>
      </w:r>
    </w:p>
    <w:p>
      <w:r>
        <w:rPr>
          <w:b/>
        </w:rPr>
        <w:t xml:space="preserve">Reference implementation boundary. </w:t>
      </w:r>
      <w:r>
        <w:t>Scheduling and delivery-state helpers exist in memory. Real providers, durable worker claims, retry after FAILED, receipt callbacks, rate limits and route-exhaustion handling need implementation.</w:t>
      </w:r>
    </w:p>
    <w:p>
      <w:r>
        <w:rPr>
          <w:b/>
        </w:rPr>
        <w:t xml:space="preserve">Acceptance experiment. </w:t>
      </w:r>
      <w:r>
        <w:t>Use a fake provider that accepts, rejects and times out. Crash a worker after sending but before saving the result. Verify idempotency and clear uncertain-delivery status instead of claiming guaranteed exactly-once notification.</w:t>
      </w:r>
    </w:p>
    <w:p>
      <w:r>
        <w:rPr>
          <w:b/>
        </w:rPr>
        <w:t xml:space="preserve">Participants and traceability. </w:t>
      </w:r>
      <w:r>
        <w:t>B05, B04, B08, A04, A05. Source paths and test references are in the traceability register. See diagrams/sequences/png and diagrams/sequences/uml for the corresponding F13 flow.</w:t>
      </w:r>
    </w:p>
    <w:p>
      <w:pPr>
        <w:pStyle w:val="Micro"/>
      </w:pPr>
      <w:r>
        <w:t>MODULES  B05, B04, B08, A04, A05  •  File responsibilities: Appendix A</w:t>
      </w:r>
    </w:p>
    <w:p>
      <w:pPr>
        <w:pStyle w:val="SpecBody"/>
      </w:pPr>
      <w:r>
        <w:rPr>
          <w:b/>
        </w:rPr>
        <w:t xml:space="preserve">Meaning and scope  </w:t>
      </w:r>
      <w:r>
        <w:t>Provides a bounded second route when the first caregiver has not acted. It improves workflow coverage but cannot guarantee that anyone is reachable or will respond.</w:t>
      </w:r>
    </w:p>
    <w:p>
      <w:pPr>
        <w:pStyle w:val="SpecBody"/>
      </w:pPr>
      <w:r>
        <w:rPr>
          <w:rFonts w:ascii="Calibri" w:hAnsi="Calibri"/>
          <w:b/>
          <w:color w:val="1F4D78"/>
          <w:sz w:val="22"/>
        </w:rPr>
        <w:t xml:space="preserve">P0 requirement  </w:t>
      </w:r>
      <w:r>
        <w:rPr>
          <w:rFonts w:ascii="Calibri" w:hAnsi="Calibri"/>
          <w:sz w:val="22"/>
        </w:rPr>
        <w:t>Route a new request to the primary. If no human acknowledgement after a configurable default 5 minutes, route to the consenting backup. An authenticated manual handoff routes to backup immediately. Manual contact requests route immediately regardless of routine quiet hours. Record provider acceptance, terminal delivery errors, app receipt when available and human acknowledgement as different facts.</w:t>
      </w:r>
    </w:p>
    <w:p>
      <w:pPr>
        <w:pStyle w:val="SpecBody"/>
      </w:pPr>
      <w:r>
        <w:rPr>
          <w:b/>
        </w:rPr>
        <w:t xml:space="preserve">Corresponding hardware  </w:t>
      </w:r>
      <w:r>
        <w:t>Working internet at the hub and caregiver phone with supported installed PWA, permission and valid subscription. There is no cellular modem in P0. Router backup power is separate from hub backup power.</w:t>
      </w:r>
    </w:p>
    <w:p>
      <w:pPr>
        <w:pStyle w:val="SpecBody"/>
      </w:pPr>
      <w:r>
        <w:rPr>
          <w:rFonts w:ascii="Calibri" w:hAnsi="Calibri"/>
          <w:b/>
          <w:color w:val="1F4D78"/>
          <w:sz w:val="22"/>
        </w:rPr>
        <w:t xml:space="preserve">Detailed software design  </w:t>
      </w:r>
      <w:r>
        <w:rPr>
          <w:rFonts w:ascii="Calibri" w:hAnsi="Calibri"/>
          <w:sz w:val="22"/>
        </w:rPr>
        <w:t>B05 worker.py claims durable notification jobs with a short database lease. routing.py creates stage 1/2 jobs under a unique incident/recipient/stage/channel key. Use exponential retry with jitter for transient errors, proposed 10 s, 30 s, 2 min, 5 min; permanent invalid subscriptions are disabled. Backup timing runs from incident acceptance and is not blocked by primary-provider failure. HANDOFF_TO_BACKUP creates stage 2 immediately and cancels only obsolete stage-1 retries. After both routes, keep the incident visibly unresolved and report route exhaustion.</w:t>
      </w:r>
    </w:p>
    <w:p>
      <w:pPr>
        <w:pStyle w:val="SpecBody"/>
      </w:pPr>
      <w:r>
        <w:rPr>
          <w:b/>
        </w:rPr>
        <w:t xml:space="preserve">Communication flow  </w:t>
      </w:r>
      <w:r>
        <w:t>Backend Web Push adapter → platform push service → phone service worker. Provider acceptance is the highest general transport claim unless an app receipt is actually obtained; even an app receipt is not a human acknowledgement. HTTPS human actions control escalation.</w:t>
      </w:r>
    </w:p>
    <w:p>
      <w:pPr>
        <w:pStyle w:val="SpecBody"/>
      </w:pPr>
      <w:r>
        <w:rPr>
          <w:b/>
        </w:rPr>
        <w:t xml:space="preserve">Failure and edge handling  </w:t>
      </w:r>
      <w:r>
        <w:t>A blocked/expired subscription marks route unhealthy; it never silently falls back to SMS or an unconsented person. Two bounded stages avoid infinite alarm loops. Provider outage produces operational alerts and a clear delivery-failed state. Loss of backend power means routing is unavailable until recovery.</w:t>
      </w:r>
    </w:p>
    <w:p>
      <w:pPr>
        <w:pStyle w:val="SpecBody"/>
      </w:pPr>
      <w:r>
        <w:rPr>
          <w:rFonts w:ascii="Calibri" w:hAnsi="Calibri"/>
          <w:b/>
          <w:color w:val="1F4D78"/>
          <w:sz w:val="22"/>
        </w:rPr>
        <w:t xml:space="preserve">Exit criteria / tests  </w:t>
      </w:r>
      <w:r>
        <w:rPr>
          <w:rFonts w:ascii="Calibri" w:hAnsi="Calibri"/>
          <w:sz w:val="22"/>
        </w:rPr>
        <w:t>F13-T1: primary ignores a request; backup job is created by 5 minutes plus scheduler tolerance. F13-T2: primary acknowledges; pending no-ack backup is cancelled transactionally. F13-T3: permanent push failure is visible and backup still runs. F13-T4: duplicate workers create one stage-job intent; ambiguous provider outcomes retain explicit duplicate-delivery risk. F13-T5: manual handoff creates the backup route without waiting for the timer.</w:t>
      </w:r>
    </w:p>
    <w:p>
      <w:pPr>
        <w:pStyle w:val="SpecBody"/>
      </w:pPr>
      <w:r>
        <w:rPr>
          <w:b/>
        </w:rPr>
        <w:t xml:space="preserve">Further enhancement  </w:t>
      </w:r>
      <w:r>
        <w:t>Metered SMS/voice adapters, regional providers and professional response contracts; budget message charges and support before enabling.</w:t>
      </w:r>
    </w:p>
    <w:p>
      <w:bookmarkStart w:id="21" w:name="F14"/>
      <w:pPr>
        <w:pStyle w:val="Heading1"/>
        <w:pageBreakBefore/>
      </w:pPr>
      <w:r>
        <w:rPr>
          <w:color w:val="000000"/>
        </w:rPr>
        <w:t>8. F14 — Opt-in daily morning summary</w:t>
      </w:r>
      <w:bookmarkEnd w:id="21"/>
    </w:p>
    <w:p>
      <w:r>
        <w:rPr>
          <w:b/>
        </w:rPr>
        <w:t xml:space="preserve">Meaning. </w:t>
      </w:r>
      <w:r>
        <w:t>A daily summary is an optional recap after the window, not another urgent alert. It should include the evidence and its limits, the active mode and unresolved requests.</w:t>
      </w:r>
    </w:p>
    <w:p>
      <w:r>
        <w:rPr>
          <w:b/>
        </w:rPr>
        <w:t xml:space="preserve">Worked example. </w:t>
      </w:r>
      <w:r>
        <w:t>A caregiver opts in to one morning summary. A day with an offline kitchen node should say observation incomplete. An older event from yesterday must not cause today to be reported as active.</w:t>
      </w:r>
    </w:p>
    <w:p>
      <w:r>
        <w:rPr>
          <w:b/>
        </w:rPr>
        <w:t xml:space="preserve">Execution and ownership. </w:t>
      </w:r>
      <w:r>
        <w:t>B07 supplies date/window-scoped facts and B05 creates a keyed summary for the intended household/date/policy. A03 stores opt-in and A02 renders it. The production scheduler must check current consent and delivery preference.</w:t>
      </w:r>
    </w:p>
    <w:p>
      <w:r>
        <w:rPr>
          <w:b/>
        </w:rPr>
        <w:t xml:space="preserve">Reference implementation boundary. </w:t>
      </w:r>
      <w:r>
        <w:t>The current helper scans all retained home events instead of filtering the requested local date/window. It also relies on caller-supplied flags and does not itself enforce consent. It is a host scaffold, not a ready scheduled report.</w:t>
      </w:r>
    </w:p>
    <w:p>
      <w:r>
        <w:rPr>
          <w:b/>
        </w:rPr>
        <w:t xml:space="preserve">Acceptance experiment. </w:t>
      </w:r>
      <w:r>
        <w:t>Test no opt-in, no consent, events only from yesterday, partial coverage, repeated scheduling and policy change on the same date. Decide whether a policy revision should update or resend before implementing production routing.</w:t>
      </w:r>
    </w:p>
    <w:p>
      <w:r>
        <w:rPr>
          <w:b/>
        </w:rPr>
        <w:t xml:space="preserve">Participants and traceability. </w:t>
      </w:r>
      <w:r>
        <w:t>B05, B07, A03, A02. Source paths and test references are in the traceability register. See diagrams/sequences/png and diagrams/sequences/uml for the corresponding F14 flow.</w:t>
      </w:r>
    </w:p>
    <w:p>
      <w:pPr>
        <w:pStyle w:val="Micro"/>
      </w:pPr>
      <w:r>
        <w:t>MODULES  B05, B07, A03, A02  •  File responsibilities: Appendix A</w:t>
      </w:r>
    </w:p>
    <w:p>
      <w:pPr>
        <w:pStyle w:val="SpecBody"/>
      </w:pPr>
      <w:r>
        <w:rPr>
          <w:b/>
        </w:rPr>
        <w:t xml:space="preserve">Meaning and scope  </w:t>
      </w:r>
      <w:r>
        <w:t>Sends one low-noise recap of the completed morning window, separate from action-required incidents. Families should not need multiple reassuring messages every morning.</w:t>
      </w:r>
    </w:p>
    <w:p>
      <w:pPr>
        <w:pStyle w:val="SpecBody"/>
      </w:pPr>
      <w:r>
        <w:rPr>
          <w:b/>
        </w:rPr>
        <w:t xml:space="preserve">P0 requirement  </w:t>
      </w:r>
      <w:r>
        <w:t>Default summaries off; allow one per home-local day at a chosen time after grace. Include activity observation, explicit check-in, coverage limitation and unresolved requests without inferring wellbeing. If no trustworthy completed window is available, say so or show a delayed recap, never invent a normal day.</w:t>
      </w:r>
    </w:p>
    <w:p>
      <w:pPr>
        <w:pStyle w:val="SpecBody"/>
      </w:pPr>
      <w:r>
        <w:rPr>
          <w:b/>
        </w:rPr>
        <w:t xml:space="preserve">Corresponding hardware  </w:t>
      </w:r>
      <w:r>
        <w:t>No extra hardware. Requires backend connectivity for remote delivery; local observation works without the summary service.</w:t>
      </w:r>
    </w:p>
    <w:p>
      <w:pPr>
        <w:pStyle w:val="SpecBody"/>
      </w:pPr>
      <w:r>
        <w:rPr>
          <w:b/>
        </w:rPr>
        <w:t xml:space="preserve">Detailed software design  </w:t>
      </w:r>
      <w:r>
        <w:t>B05 summary.py builds a summary from B07’s finalized window projection, not raw notification text. A unique (home_id, local_date, summary_policy_version) intent prevents duplicates; changing policy must not permit a second same-day send. The delivery ledger enforces a separate one-summary-per-day cap. Summary content references window revision and generated_at; late evidence updates the timeline instead of sending another summary.</w:t>
      </w:r>
    </w:p>
    <w:p>
      <w:pPr>
        <w:pStyle w:val="SpecBody"/>
      </w:pPr>
      <w:r>
        <w:rPr>
          <w:b/>
        </w:rPr>
        <w:t xml:space="preserve">Communication flow  </w:t>
      </w:r>
      <w:r>
        <w:t>Hub completed-window event → backend read model → daily scheduler → Web Push summary link → app fetch. If the hub is unreachable at scheduled time, the summary states observation incomplete using known stale-data timestamps.</w:t>
      </w:r>
    </w:p>
    <w:p>
      <w:pPr>
        <w:pStyle w:val="SpecBody"/>
      </w:pPr>
      <w:r>
        <w:rPr>
          <w:b/>
        </w:rPr>
        <w:t xml:space="preserve">Failure and edge handling  </w:t>
      </w:r>
      <w:r>
        <w:t>An active incident is not closed by a normal-looking summary. Delayed sync does not reissue yesterday’s routine summary as today’s reassurance. Missing push permission appears as a delivery error and does not turn on another channel. Disabling summaries cancels unsent jobs.</w:t>
      </w:r>
    </w:p>
    <w:p>
      <w:pPr>
        <w:pStyle w:val="SpecBody"/>
      </w:pPr>
      <w:r>
        <w:rPr>
          <w:b/>
        </w:rPr>
        <w:t xml:space="preserve">Exit criteria / tests  </w:t>
      </w:r>
      <w:r>
        <w:t>F14-T1: default configuration sends no summary. F14-T2: scheduler restarts and duplicate windows still produce at most one summary intent/day. F14-T3: activity plus a coverage gap produces an explicit incomplete-coverage recap. F14-T4: no summary resolves an incident.</w:t>
      </w:r>
    </w:p>
    <w:p>
      <w:pPr>
        <w:pStyle w:val="SpecBody"/>
      </w:pPr>
      <w:r>
        <w:rPr>
          <w:b/>
        </w:rPr>
        <w:t xml:space="preserve">Further enhancement  </w:t>
      </w:r>
      <w:r>
        <w:t>Weekly reports, configurable language templates and family digest channels; retain low notification volume and explicit evidence provenance.</w:t>
      </w:r>
    </w:p>
    <w:p>
      <w:bookmarkStart w:id="22" w:name="E01"/>
      <w:pPr>
        <w:pStyle w:val="Heading1"/>
        <w:pageBreakBefore/>
      </w:pPr>
      <w:r>
        <w:rPr>
          <w:color w:val="000000"/>
        </w:rPr>
        <w:t>9. E01 — Node health, battery and observation coverage</w:t>
      </w:r>
      <w:bookmarkEnd w:id="22"/>
    </w:p>
    <w:p>
      <w:r>
        <w:rPr>
          <w:b/>
        </w:rPr>
        <w:t xml:space="preserve">Meaning. </w:t>
      </w:r>
      <w:r>
        <w:t>Health telemetry tells whether the device and observation path can be trusted. It must not be mixed with resident activity. A responsive MCU can still have a disconnected or poorly aimed sensor.</w:t>
      </w:r>
    </w:p>
    <w:p>
      <w:r>
        <w:rPr>
          <w:b/>
        </w:rPr>
        <w:t xml:space="preserve">Worked example. </w:t>
      </w:r>
      <w:r>
        <w:t>NODE-B1 sends heartbeats but its PIR wire is disconnected. The future fault/status model must be able to show sensor unavailable while radio connectivity remains good.</w:t>
      </w:r>
    </w:p>
    <w:p>
      <w:r>
        <w:rPr>
          <w:b/>
        </w:rPr>
        <w:t xml:space="preserve">Execution and ownership. </w:t>
      </w:r>
      <w:r>
        <w:t>N03 classifies calibrated voltage; N02 sends contact information; H04 tracks required sources and leases; B08/A02 report independent freshness and faults. A production record must include the broader version/reset/config fields from the SRD.</w:t>
      </w:r>
    </w:p>
    <w:p>
      <w:r>
        <w:t>Reference implementation boundary. The typed protocol and connected simulator use a 60-second heartbeat and 190-second offline/coverage-unknown threshold. Device health/location, simulated fault codes and troubleshooting/reboot actions are visible separately from activity. Real battery calibration, RSSI distributions, thermal telemetry and historical coverage intervals remain HIL/production work.</w:t>
      </w:r>
    </w:p>
    <w:p>
      <w:r>
        <w:rPr>
          <w:b/>
        </w:rPr>
        <w:t xml:space="preserve">Acceptance experiment. </w:t>
      </w:r>
      <w:r>
        <w:t>Test never-seen, fresh, expired, explicit sensor fault and uncalibrated voltage. Measure battery impact and packet loss before freezing heartbeat intervals.</w:t>
      </w:r>
    </w:p>
    <w:p>
      <w:r>
        <w:rPr>
          <w:b/>
        </w:rPr>
        <w:t xml:space="preserve">Participants and traceability. </w:t>
      </w:r>
      <w:r>
        <w:t>N03, N02, H04, B08, A02. Source paths and test references are in the traceability register. See diagrams/sequences/png and diagrams/sequences/uml for the corresponding E01 flow.</w:t>
      </w:r>
    </w:p>
    <w:p>
      <w:pPr>
        <w:pStyle w:val="Micro"/>
      </w:pPr>
      <w:r>
        <w:t>MODULES  N03, N02, H04, B08, A02  •  File responsibilities: Appendix A</w:t>
      </w:r>
    </w:p>
    <w:p>
      <w:pPr>
        <w:pStyle w:val="SpecBody"/>
      </w:pPr>
      <w:r>
        <w:rPr>
          <w:b/>
        </w:rPr>
        <w:t xml:space="preserve">Meaning and scope  </w:t>
      </w:r>
      <w:r>
        <w:t>Reports whether the sensing path is recently reachable and whether there were gaps. A heartbeat confirms a running device/radio path, not that a PIR lens or reed mounting is correct.</w:t>
      </w:r>
    </w:p>
    <w:p>
      <w:pPr>
        <w:pStyle w:val="SpecBody"/>
      </w:pPr>
      <w:r>
        <w:t>P0 requirement  Track per-node heartbeat age, firmware, reset reason, battery voltage, hub-observed RSSI, sensor availability, applied config, location and diagnostic/error code. Separately track hub availability/internet path. Start with 60-second heartbeat and 190-second offline threshold. Show active/degraded/offline health separately from resident activity; troubleshooting/reboot controls must not falsely “repair” battery loss, over-temperature or broken links.</w:t>
      </w:r>
    </w:p>
    <w:p>
      <w:pPr>
        <w:pStyle w:val="SpecBody"/>
      </w:pPr>
      <w:r>
        <w:rPr>
          <w:b/>
        </w:rPr>
        <w:t xml:space="preserve">Corresponding hardware  </w:t>
      </w:r>
      <w:r>
        <w:t>Battery ADC divider with suitable range, calibration and low leakage; optional load switch on the divider. Charge-status pins only if the selected charger exposes verified signals. A periodic physical walk/door test remains necessary.</w:t>
      </w:r>
    </w:p>
    <w:p>
      <w:pPr>
        <w:pStyle w:val="SpecBody"/>
      </w:pPr>
      <w:r>
        <w:rPr>
          <w:b/>
        </w:rPr>
        <w:t xml:space="preserve">Detailed software design  </w:t>
      </w:r>
      <w:r>
        <w:t>N03 battery.cpp reports millivolts and sample/load context, not an uncalibrated percentage. H04 health.cpp maintains per-node leases and persists health transitions. coverage.cpp builds conservative intervals from installation, leases, known gaps and data-loss flags. Lease expiry invalidates coverage retrospectively from last confirmed contact for absence evaluation. A radio event refreshes reachability but does not automatically clear a known sensor fault.</w:t>
      </w:r>
    </w:p>
    <w:p>
      <w:pPr>
        <w:pStyle w:val="SpecBody"/>
      </w:pPr>
      <w:r>
        <w:rPr>
          <w:b/>
        </w:rPr>
        <w:t xml:space="preserve">Communication flow  </w:t>
      </w:r>
      <w:r>
        <w:t>Node heartbeat/status → hub health table → coalesced cloud status changes; hub heartbeat separately supports cloud reachability. Low-battery notification is deduplicated with hysteresis and a recovery threshold tied to measured cell behavior.</w:t>
      </w:r>
    </w:p>
    <w:p>
      <w:pPr>
        <w:pStyle w:val="SpecBody"/>
      </w:pPr>
      <w:r>
        <w:rPr>
          <w:b/>
        </w:rPr>
        <w:t xml:space="preserve">Failure and edge handling  </w:t>
      </w:r>
      <w:r>
        <w:t>Unknown battery chemistry/model produces “voltage only; threshold unvalidated”. Voltage sag, cold conditions and regulator cutoff can shorten runtime. Repeated boot loops generate one ongoing service incident. A node removed halfway through the morning creates incomplete coverage even if a late packet restores current health.</w:t>
      </w:r>
    </w:p>
    <w:p>
      <w:pPr>
        <w:pStyle w:val="SpecBody"/>
      </w:pPr>
      <w:r>
        <w:rPr>
          <w:rFonts w:ascii="Calibri" w:hAnsi="Calibri"/>
          <w:b/>
          <w:color w:val="1F4D78"/>
          <w:sz w:val="22"/>
        </w:rPr>
        <w:t xml:space="preserve">Exit criteria / tests  </w:t>
      </w:r>
      <w:r>
        <w:rPr>
          <w:rFonts w:ascii="Calibri" w:hAnsi="Calibri"/>
          <w:sz w:val="22"/>
        </w:rPr>
        <w:t>E01-T1: remove a node battery; lease expires by 190 seconds plus 2-second evaluation tolerance. E01-T2: restore power; current status recovers while the historical gap remains. E01-T3: calibrated readings are within the chosen hardware tolerance, proposed ±100 mV. E01-T4: loss of hub/cloud connectivity renders Home status unavailable without rewriting activity as missing. E01-T5: the dashboard names the affected device/source and last-seen time.</w:t>
      </w:r>
    </w:p>
    <w:p>
      <w:pPr>
        <w:pStyle w:val="SpecBody"/>
      </w:pPr>
      <w:r>
        <w:rPr>
          <w:b/>
        </w:rPr>
        <w:t xml:space="preserve">Further enhancement  </w:t>
      </w:r>
      <w:r>
        <w:t>Fuel gauge, supervised sensor wiring, drift detection and measured lifetime forecasting; no battery-life claim based only on chip sleep current.</w:t>
      </w:r>
    </w:p>
    <w:p>
      <w:bookmarkStart w:id="23" w:name="E02"/>
      <w:pPr>
        <w:pStyle w:val="Heading1"/>
        <w:pageBreakBefore/>
      </w:pPr>
      <w:r>
        <w:rPr>
          <w:color w:val="000000"/>
        </w:rPr>
        <w:t>9. E02 — Reliable event transport and duplicate handling</w:t>
      </w:r>
      <w:bookmarkEnd w:id="23"/>
    </w:p>
    <w:p>
      <w:r>
        <w:rPr>
          <w:b/>
        </w:rPr>
        <w:t xml:space="preserve">Meaning. </w:t>
      </w:r>
      <w:r>
        <w:t>Reliable transport means retries do not create new business events and a sender does not delete evidence merely because a radio packet was received. Application acknowledgement and transport success are different layers.</w:t>
      </w:r>
    </w:p>
    <w:p>
      <w:r>
        <w:rPr>
          <w:b/>
        </w:rPr>
        <w:t xml:space="preserve">Worked example. </w:t>
      </w:r>
      <w:r>
        <w:t>The hub stores an event but its ACK is lost. The node retries the same source/session/sequence. The hub recognises the event and returns the appropriate acknowledgement without creating a second backend incident.</w:t>
      </w:r>
    </w:p>
    <w:p>
      <w:r>
        <w:rPr>
          <w:b/>
        </w:rPr>
        <w:t xml:space="preserve">Execution and ownership. </w:t>
      </w:r>
      <w:r>
        <w:t>N05 retains before N02 transmission. H01 queues the event; H02 commits before a DURABLE acknowledgement. H08 retains it for the backend application commit. S01 carries identity and version throughout the path.</w:t>
      </w:r>
    </w:p>
    <w:p>
      <w:r>
        <w:t>Reference implementation boundary. v1.5.4 defines typed NodeMessage/NodeAck semantics, canonical JSON schemas/examples, stable node/session/sequence identity, durable/volatile/policy/rejected ACK classes, bounded retry and duplicate suppression. The connected simulator exercises replay/idempotency. Real encrypted ESP-NOW framing, authenticated session/key management, flash durability and the known duplicate-reducer-effect gap remain open.</w:t>
      </w:r>
    </w:p>
    <w:p>
      <w:r>
        <w:rPr>
          <w:b/>
        </w:rPr>
        <w:t xml:space="preserve">Acceptance experiment. </w:t>
      </w:r>
      <w:r>
        <w:t>Inject lost packet, lost ACK, duplicate packet, reordered packet, peer mismatch and receiver-full conditions. Examine both event counts and side effects such as evidence IDs and notification jobs.</w:t>
      </w:r>
    </w:p>
    <w:p>
      <w:r>
        <w:rPr>
          <w:b/>
        </w:rPr>
        <w:t xml:space="preserve">Participants and traceability. </w:t>
      </w:r>
      <w:r>
        <w:t>N02, N05, H01, H02, H08, B03, S01. Source paths and test references are in the traceability register. See diagrams/sequences/png and diagrams/sequences/uml for the corresponding E02 flow.</w:t>
      </w:r>
    </w:p>
    <w:p>
      <w:pPr>
        <w:pStyle w:val="Micro"/>
      </w:pPr>
      <w:r>
        <w:t>MODULES  N02, N05, H01, H02, H08, B03, S01  •  File responsibilities: Appendix A</w:t>
      </w:r>
    </w:p>
    <w:p>
      <w:pPr>
        <w:pStyle w:val="SpecBody"/>
      </w:pPr>
      <w:r>
        <w:rPr>
          <w:b/>
        </w:rPr>
        <w:t xml:space="preserve">Meaning and scope  </w:t>
      </w:r>
      <w:r>
        <w:t>Makes retries safe and distinguishes radio receipt from durable application receipt. The design accepts at-least-once delivery and implements idempotent processing; it does not claim exactly-once networking.</w:t>
      </w:r>
    </w:p>
    <w:p>
      <w:pPr>
        <w:pStyle w:val="SpecBody"/>
      </w:pPr>
      <w:r>
        <w:rPr>
          <w:b/>
        </w:rPr>
        <w:t xml:space="preserve">P0 requirement  </w:t>
      </w:r>
      <w:r>
        <w:t>Use unique source/session/sequence IDs, encrypted unicast, bounded retry and explicit application ACK classes. Persist business events before sending a durable ACK. Deduplicate radio events, cloud events, incidents and commands independently. Heartbeat ACK may be volatile and shall be labeled as such.</w:t>
      </w:r>
    </w:p>
    <w:p>
      <w:pPr>
        <w:pStyle w:val="SpecBody"/>
      </w:pPr>
      <w:r>
        <w:rPr>
          <w:rFonts w:ascii="Calibri" w:hAnsi="Calibri"/>
          <w:b/>
          <w:color w:val="1F4D78"/>
          <w:sz w:val="22"/>
        </w:rPr>
        <w:t xml:space="preserve">Corresponding hardware  </w:t>
      </w:r>
      <w:r>
        <w:rPr>
          <w:rFonts w:ascii="Calibri" w:hAnsi="Calibri"/>
          <w:sz w:val="22"/>
        </w:rPr>
        <w:t>Four ESP32-C3 nodes and the ESP32 DevKit V1 hub share the active 2.4-GHz channel. No additional gateway radio is required for the four-node P0. The exact ESP32-WROOM-32/DevKit radio and supply behavior must be measured with the purchased board. Chip-supported peers are not an unlimited household expansion path [S1].</w:t>
      </w:r>
    </w:p>
    <w:p>
      <w:pPr>
        <w:pStyle w:val="SpecBody"/>
      </w:pPr>
      <w:r>
        <w:t>Detailed software design  The transport adapter serializes the canonical NodeMessage defined by S01/protocol.hpp and node.schema.json; rules never parse GPIO/RF frames directly. Canonical fields include node_id, session_id, sequence_number, sensor_type, event_type, location, monotonic/occurrence time, uncertainty, battery and RSSI. Retry is 200/600/1800/10000 ms then capped at 10 s with bounded jitter. Hub duplicate identity is (node_id, session_id, sequence_number); RSSI should be supplied/overwritten by hub receive metadata on ESP-NOW.</w:t>
      </w:r>
    </w:p>
    <w:p>
      <w:pPr>
        <w:pStyle w:val="SpecBody"/>
      </w:pPr>
      <w:r>
        <w:t>Communication flow  Radio receive/adapter → canonical NodeMessage validation → hub journal → NodeAck: DURABLE retires a committed business event, RECEIVED_VOLATILE does not, DISCARDED_POLICY may retire a deliberately rejected passive event, and REJECTED retains it for bounded recovery. Backend event_id derives from the same stable identity so WAN replay remains idempotent end-to-end.</w:t>
      </w:r>
    </w:p>
    <w:p>
      <w:pPr>
        <w:pStyle w:val="SpecBody"/>
      </w:pPr>
      <w:r>
        <w:rPr>
          <w:b/>
        </w:rPr>
        <w:t xml:space="preserve">Failure and edge handling  </w:t>
      </w:r>
      <w:r>
        <w:t>Unknown sessions cannot reset replay protection without authenticated boot registration. Channel search is bounded and backoffs are battery-budgeted. Queue overflow emits a gap marker and degrades coverage; never silently discard unacknowledged contact requests. Sequence/session details are specified in the protocol chapter.</w:t>
      </w:r>
    </w:p>
    <w:p>
      <w:pPr>
        <w:pStyle w:val="SpecBody"/>
      </w:pPr>
      <w:r>
        <w:rPr>
          <w:b/>
        </w:rPr>
        <w:t xml:space="preserve">Exit criteria / tests  </w:t>
      </w:r>
      <w:r>
        <w:t>E02-T1: inject 30% packet loss and duplicates; DURABLE-acknowledged business events are stored once. E02-T2: crash hub before durable commit; node does not retire the event. E02-T3: kill backend after commit before ACK; replay adds no second row or notification intent.</w:t>
      </w:r>
    </w:p>
    <w:p>
      <w:pPr>
        <w:pStyle w:val="SpecBody"/>
      </w:pPr>
      <w:r>
        <w:rPr>
          <w:b/>
        </w:rPr>
        <w:t xml:space="preserve">Further enhancement  </w:t>
      </w:r>
      <w:r>
        <w:t>Alternative Thread/BLE transports behind the same event contract; transport-specific delivery evidence remains explicit.</w:t>
      </w:r>
    </w:p>
    <w:p>
      <w:bookmarkStart w:id="24" w:name="E03"/>
      <w:pPr>
        <w:pStyle w:val="Heading1"/>
        <w:pageBreakBefore/>
      </w:pPr>
      <w:r>
        <w:rPr>
          <w:color w:val="000000"/>
        </w:rPr>
        <w:t>9. E03 — Local operation during internet failure</w:t>
      </w:r>
      <w:bookmarkEnd w:id="24"/>
    </w:p>
    <w:p>
      <w:r>
        <w:rPr>
          <w:b/>
        </w:rPr>
        <w:t xml:space="preserve">Meaning. </w:t>
      </w:r>
      <w:r>
        <w:t>Offline operation means the home can continue supported local work when the wide-area internet is unavailable. It does not mean a remote caregiver can receive a new alert without any working outbound connection.</w:t>
      </w:r>
    </w:p>
    <w:p>
      <w:r>
        <w:rPr>
          <w:b/>
        </w:rPr>
        <w:t xml:space="preserve">Worked example. </w:t>
      </w:r>
      <w:r>
        <w:t>The internet cable fails while the router and hub still have power. Local sensor events can continue in the target design; remote notifications are queued. If the router itself loses power, radio/channel recovery needs separate testing.</w:t>
      </w:r>
    </w:p>
    <w:p>
      <w:r>
        <w:rPr>
          <w:b/>
        </w:rPr>
        <w:t xml:space="preserve">Execution and ownership. </w:t>
      </w:r>
      <w:r>
        <w:t>H02 retains records, H03/H04 gate valid local decisions, H05/H06 handle routine and resident actions, and H08 replays after reconnection. Replayed events retain original occurrence time as well as new reception time.</w:t>
      </w:r>
    </w:p>
    <w:p>
      <w:r>
        <w:rPr>
          <w:b/>
        </w:rPr>
        <w:t xml:space="preserve">Reference implementation boundary. </w:t>
      </w:r>
      <w:r>
        <w:t>Host components can simulate disconnection and replay. Real flash, ESP-NOW/Wi-Fi coexistence, channel changes and local UI integration remain open. The home router needs its own power backup for remote access during mains loss.</w:t>
      </w:r>
    </w:p>
    <w:p>
      <w:r>
        <w:rPr>
          <w:b/>
        </w:rPr>
        <w:t xml:space="preserve">Acceptance experiment. </w:t>
      </w:r>
      <w:r>
        <w:t>Separate WAN cut, router off, hub reboot and node off. Check the correct status for each, and verify replay without erasing the observation gap.</w:t>
      </w:r>
    </w:p>
    <w:p>
      <w:r>
        <w:rPr>
          <w:b/>
        </w:rPr>
        <w:t xml:space="preserve">Participants and traceability. </w:t>
      </w:r>
      <w:r>
        <w:t>H03, H04, H05, H06, H02, H08. Source paths and test references are in the traceability register. See diagrams/sequences/png and diagrams/sequences/uml for the corresponding E03 flow.</w:t>
      </w:r>
    </w:p>
    <w:p>
      <w:pPr>
        <w:pStyle w:val="Micro"/>
      </w:pPr>
      <w:r>
        <w:t>MODULES  H03, H04, H05, H06, H02, H08  •  File responsibilities: Appendix A</w:t>
      </w:r>
    </w:p>
    <w:p>
      <w:pPr>
        <w:pStyle w:val="SpecBody"/>
      </w:pPr>
      <w:r>
        <w:rPr>
          <w:b/>
        </w:rPr>
        <w:t xml:space="preserve">Meaning and scope  </w:t>
      </w:r>
      <w:r>
        <w:t>Morning rules, buttons and local feedback do not require a cloud round trip. Remote notification still requires a functioning end-to-end network path.</w:t>
      </w:r>
    </w:p>
    <w:p>
      <w:pPr>
        <w:pStyle w:val="SpecBody"/>
      </w:pPr>
      <w:r>
        <w:rPr>
          <w:rFonts w:ascii="Calibri" w:hAnsi="Calibri"/>
          <w:b/>
          <w:color w:val="1F4D78"/>
          <w:sz w:val="22"/>
        </w:rPr>
        <w:t xml:space="preserve">P0 requirement  </w:t>
      </w:r>
      <w:r>
        <w:rPr>
          <w:rFonts w:ascii="Calibri" w:hAnsi="Calibri"/>
          <w:sz w:val="22"/>
        </w:rPr>
        <w:t>Continue local sensing, configured routines and user actions while the hub is powered and time/configuration remain valid. Preserve pending business events for at least the designed 72-hour offline budget. Display remote connectivity unavailable without obscuring local function. On reconnect, upload queued records idempotently with original event times and visible delayed/backfilled status; never rewrite delayed activity as live activity.</w:t>
      </w:r>
    </w:p>
    <w:p>
      <w:pPr>
        <w:pStyle w:val="SpecBody"/>
      </w:pPr>
      <w:r>
        <w:rPr>
          <w:b/>
        </w:rPr>
        <w:t xml:space="preserve">Corresponding hardware  </w:t>
      </w:r>
      <w:r>
        <w:t>Powered hub; battery backup is proposed for power cuts. The home router/ONT also needs power for remote service. There is no P0 mobile-data fallback. Optional RTC improves reboot continuity but must be separately validated.</w:t>
      </w:r>
    </w:p>
    <w:p>
      <w:pPr>
        <w:pStyle w:val="SpecBody"/>
      </w:pPr>
      <w:r>
        <w:rPr>
          <w:b/>
        </w:rPr>
        <w:t xml:space="preserve">Detailed software design  </w:t>
      </w:r>
      <w:r>
        <w:t>H05 owns rule execution, with no HTTP/MQTT calls inside S02. H02 outbox.cpp persists cloud-bound events and incident updates. H08 sync.cpp reconnects with exponential backoff and jitter, prioritizes recent contact requests and service state, then replays history. Original occurred_at and uncertainty are immutable; received_at is appended separately. H06 uses “saved locally” vs “remote service accepted” indications.</w:t>
      </w:r>
    </w:p>
    <w:p>
      <w:pPr>
        <w:pStyle w:val="SpecBody"/>
      </w:pPr>
      <w:r>
        <w:rPr>
          <w:b/>
        </w:rPr>
        <w:t xml:space="preserve">Communication flow  </w:t>
      </w:r>
      <w:r>
        <w:t>Nodes continue ESP-NOW → hub during WAN loss. MQTT reconnect resumes application-level reconciliation by event ID; app sees the backend’s independent hub-unreachable status. A retained MQTT online flag alone is insufficient to mark the home current.</w:t>
      </w:r>
    </w:p>
    <w:p>
      <w:pPr>
        <w:pStyle w:val="SpecBody"/>
      </w:pPr>
      <w:r>
        <w:rPr>
          <w:b/>
        </w:rPr>
        <w:t xml:space="preserve">Failure and edge handling  </w:t>
      </w:r>
      <w:r>
        <w:t>Power loss stops the hub unless backup works. After a reboot without trusted wall time, local manual actions work but absence inference is suspended. If storage approaches capacity, compact dispensable health samples first, reserve incident capacity and emit data-loss status if business history must be curtailed.</w:t>
      </w:r>
    </w:p>
    <w:p>
      <w:pPr>
        <w:pStyle w:val="SpecBody"/>
      </w:pPr>
      <w:r>
        <w:rPr>
          <w:rFonts w:ascii="Calibri" w:hAnsi="Calibri"/>
          <w:b/>
          <w:color w:val="1F4D78"/>
          <w:sz w:val="22"/>
        </w:rPr>
        <w:t xml:space="preserve">Exit criteria / tests  </w:t>
      </w:r>
      <w:r>
        <w:rPr>
          <w:rFonts w:ascii="Calibri" w:hAnsi="Calibri"/>
          <w:sz w:val="22"/>
        </w:rPr>
        <w:t>E03-T1: isolate WAN for 72 hours at the design workload; local rules and persistence stay functional and sync is duplicate-free. E03-T2: expired time horizon suspends absence claims. E03-T3: reconnect retains original event ages, labels delayed contact requests and marks backfilled timeline entries. E03-T4: no queued upload changes an already communicated coverage gap into a false continuous-coverage claim.</w:t>
      </w:r>
    </w:p>
    <w:p>
      <w:pPr>
        <w:pStyle w:val="SpecBody"/>
      </w:pPr>
      <w:r>
        <w:rPr>
          <w:b/>
        </w:rPr>
        <w:t xml:space="preserve">Further enhancement  </w:t>
      </w:r>
      <w:r>
        <w:t>Router UPS bundle, independently powered cellular fallback and longer local storage only after cost, maintenance and coverage tests.</w:t>
      </w:r>
    </w:p>
    <w:p>
      <w:bookmarkStart w:id="25" w:name="E04"/>
      <w:pPr>
        <w:pStyle w:val="Heading1"/>
        <w:pageBreakBefore/>
      </w:pPr>
      <w:r>
        <w:rPr>
          <w:color w:val="000000"/>
        </w:rPr>
        <w:t>9. E04 — Hub/cloud/app connectivity and freshness</w:t>
      </w:r>
      <w:bookmarkEnd w:id="25"/>
    </w:p>
    <w:p>
      <w:r>
        <w:rPr>
          <w:b/>
        </w:rPr>
        <w:t xml:space="preserve">Meaning. </w:t>
      </w:r>
      <w:r>
        <w:t>Freshness is about when a fact was last observed at a specific boundary. Node-to-hub, hub-to-server, server-to-provider and phone-to-server each need their own status.</w:t>
      </w:r>
    </w:p>
    <w:p>
      <w:r>
        <w:rPr>
          <w:b/>
        </w:rPr>
        <w:t xml:space="preserve">Worked example. </w:t>
      </w:r>
      <w:r>
        <w:t>The phone is offline but the hub and server are communicating. A cached dashboard should say its view is stale, rather than label the household sensor network offline.</w:t>
      </w:r>
    </w:p>
    <w:p>
      <w:r>
        <w:rPr>
          <w:b/>
        </w:rPr>
        <w:t xml:space="preserve">Execution and ownership. </w:t>
      </w:r>
      <w:r>
        <w:t>H08 tracks its link, B08 evaluates server-receipt leases, B07 includes timestamps and A05 marks cached views. Provider state is supplied by B05 independently.</w:t>
      </w:r>
    </w:p>
    <w:p>
      <w:r>
        <w:rPr>
          <w:b/>
        </w:rPr>
        <w:t xml:space="preserve">Reference implementation boundary. </w:t>
      </w:r>
      <w:r>
        <w:t>Independent host representations exist. Production heartbeats, authenticated timestamps, streaming refresh and durable stale-state recovery require integration.</w:t>
      </w:r>
    </w:p>
    <w:p>
      <w:r>
        <w:rPr>
          <w:b/>
        </w:rPr>
        <w:t xml:space="preserve">Acceptance experiment. </w:t>
      </w:r>
      <w:r>
        <w:t>Break one boundary at a time and verify that the other statuses remain correct. Confirm that broker retained online state is not used as the sole liveness proof.</w:t>
      </w:r>
    </w:p>
    <w:p>
      <w:r>
        <w:rPr>
          <w:b/>
        </w:rPr>
        <w:t xml:space="preserve">Participants and traceability. </w:t>
      </w:r>
      <w:r>
        <w:t>H08, B08, B07, A05, A02. Source paths and test references are in the traceability register. See diagrams/sequences/png and diagrams/sequences/uml for the corresponding E04 flow.</w:t>
      </w:r>
    </w:p>
    <w:p>
      <w:pPr>
        <w:pStyle w:val="Micro"/>
      </w:pPr>
      <w:r>
        <w:t>MODULES  H08, B08, B07, A05, A02  •  File responsibilities: Appendix A</w:t>
      </w:r>
    </w:p>
    <w:p>
      <w:pPr>
        <w:pStyle w:val="SpecBody"/>
      </w:pPr>
      <w:r>
        <w:rPr>
          <w:b/>
        </w:rPr>
        <w:t xml:space="preserve">Meaning and scope  </w:t>
      </w:r>
      <w:r>
        <w:t>Explains which link is unavailable. “Hub unreachable” does not distinguish a power cut, broken router, internet failure or hub fault without additional evidence.</w:t>
      </w:r>
    </w:p>
    <w:p>
      <w:pPr>
        <w:pStyle w:val="SpecBody"/>
      </w:pPr>
      <w:r>
        <w:rPr>
          <w:b/>
        </w:rPr>
        <w:t xml:space="preserve">P0 requirement  </w:t>
      </w:r>
      <w:r>
        <w:t>Track node↔hub, hub↔backend, notification route and phone↔backend separately. Emit a service incident after a proposed 190-second hub heartbeat lease expires, with a small scheduler tolerance. Display last confirmed hub time and app fetch time. Never convert cloud reachability into a sensor-health claim.</w:t>
      </w:r>
    </w:p>
    <w:p>
      <w:pPr>
        <w:pStyle w:val="SpecBody"/>
      </w:pPr>
      <w:r>
        <w:rPr>
          <w:b/>
        </w:rPr>
        <w:t xml:space="preserve">Corresponding hardware  </w:t>
      </w:r>
      <w:r>
        <w:t>Existing Wi-Fi and internet connection. Supply-presence GPIO can distinguish USB removal locally only if the chosen power circuit exposes a safe monitored signal; this information cannot be transmitted while all links are down.</w:t>
      </w:r>
    </w:p>
    <w:p>
      <w:pPr>
        <w:pStyle w:val="SpecBody"/>
      </w:pPr>
      <w:r>
        <w:rPr>
          <w:b/>
        </w:rPr>
        <w:t xml:space="preserve">Detailed software design  </w:t>
      </w:r>
      <w:r>
        <w:t>H08 publishes a heartbeat every 60 seconds and connection state on change. B08 health.py evaluates a server-receipt lease, assisted by broker Last Will but not dependent on it. B07 projects link-specific status. A05 api.ts distinguishes offline, timeout, authentication failure and service error. A02 Health.tsx explains likely causes without asserting an unobserved cause.</w:t>
      </w:r>
    </w:p>
    <w:p>
      <w:pPr>
        <w:pStyle w:val="SpecBody"/>
      </w:pPr>
      <w:r>
        <w:rPr>
          <w:b/>
        </w:rPr>
        <w:t xml:space="preserve">Communication flow  </w:t>
      </w:r>
      <w:r>
        <w:t>MQTT heartbeat/Last Will → lease worker → service incident/read model → caregiver push/SSE. App foreground polling refreshes status; background push is advisory and may be delayed by the platform.</w:t>
      </w:r>
    </w:p>
    <w:p>
      <w:pPr>
        <w:pStyle w:val="SpecBody"/>
      </w:pPr>
      <w:r>
        <w:rPr>
          <w:b/>
        </w:rPr>
        <w:t xml:space="preserve">Failure and edge handling  </w:t>
      </w:r>
      <w:r>
        <w:t>Backend/broker outage makes the fleet’s own monitoring unavailable; external uptime checks must alert the operator through an independent route. On reconnect, close the current reachability fault only after authenticated traffic, preserve its historical interval and do not erase unanswered routine/contact incidents.</w:t>
      </w:r>
    </w:p>
    <w:p>
      <w:pPr>
        <w:pStyle w:val="SpecBody"/>
      </w:pPr>
      <w:r>
        <w:rPr>
          <w:b/>
        </w:rPr>
        <w:t xml:space="preserve">Exit criteria / tests  </w:t>
      </w:r>
      <w:r>
        <w:t>E04-T1: unplug router, hub and phone separately; each UI state reflects only known links. E04-T2: stale online retained status cannot override an expired lease. E04-T3: a fresh phone fetch of old hub data still shows “hub unreachable”.</w:t>
      </w:r>
    </w:p>
    <w:p>
      <w:pPr>
        <w:pStyle w:val="SpecBody"/>
      </w:pPr>
      <w:r>
        <w:rPr>
          <w:b/>
        </w:rPr>
        <w:t xml:space="preserve">Further enhancement  </w:t>
      </w:r>
      <w:r>
        <w:t>Cellular signal metrics, router power telemetry and improved outage cause classification based on actual sensors, not heuristics presented as fact.</w:t>
      </w:r>
    </w:p>
    <w:p>
      <w:bookmarkStart w:id="26" w:name="E05"/>
      <w:pPr>
        <w:pStyle w:val="Heading1"/>
        <w:pageBreakBefore/>
      </w:pPr>
      <w:r>
        <w:rPr>
          <w:color w:val="000000"/>
        </w:rPr>
        <w:t>9. E05 — Persistence, recovery and bounded storage</w:t>
      </w:r>
      <w:bookmarkEnd w:id="26"/>
    </w:p>
    <w:p>
      <w:r>
        <w:rPr>
          <w:b/>
        </w:rPr>
        <w:t xml:space="preserve">Meaning. </w:t>
      </w:r>
      <w:r>
        <w:t>Persistence must survive the failure it claims to tolerate. A C++ deque or Python dictionary is useful for testing order and identity, but loses all content when the process stops.</w:t>
      </w:r>
    </w:p>
    <w:p>
      <w:r>
        <w:rPr>
          <w:b/>
        </w:rPr>
        <w:t xml:space="preserve">Worked example. </w:t>
      </w:r>
      <w:r>
        <w:t>Power fails after flash data bytes are written but before a commit marker. Recovery must ignore the incomplete tail, preserve earlier records and avoid acknowledging an event that was never durably committed.</w:t>
      </w:r>
    </w:p>
    <w:p>
      <w:r>
        <w:rPr>
          <w:b/>
        </w:rPr>
        <w:t xml:space="preserve">Execution and ownership. </w:t>
      </w:r>
      <w:r>
        <w:t>Target N05/H02 use a bounded journal with checksums and commit markers. The backend needs unique keys and transactions covering event/incident/outbox effects. Compaction may reclaim only data no longer needed by replay or the active window.</w:t>
      </w:r>
    </w:p>
    <w:p>
      <w:r>
        <w:t>Reference implementation boundary. The connected simulator still uses deterministic in-memory runtime stores, but v1.5.4 now includes a concrete relational migration/schema and integrity tests for households, rooms, caregivers, hub/nodes, events, routines/windows, alerts, acknowledgements, notification jobs, histories, configuration and audit. Physical flash adapters, backend repository wiring, compaction and retained-event refill remain open.</w:t>
      </w:r>
    </w:p>
    <w:p>
      <w:r>
        <w:rPr>
          <w:b/>
        </w:rPr>
        <w:t xml:space="preserve">Acceptance experiment. </w:t>
      </w:r>
      <w:r>
        <w:t>Test full capacity, interruption at each commit step, reboot before ACK, compaction and offline retention exhaustion. Require an explicit gap/fault outcome when evidence cannot be retained.</w:t>
      </w:r>
    </w:p>
    <w:p>
      <w:r>
        <w:rPr>
          <w:b/>
        </w:rPr>
        <w:t xml:space="preserve">Participants and traceability. </w:t>
      </w:r>
      <w:r>
        <w:t>N05, H02, B03, B04, B05, B08. Source paths and test references are in the traceability register. See diagrams/sequences/png and diagrams/sequences/uml for the corresponding E05 flow.</w:t>
      </w:r>
    </w:p>
    <w:p>
      <w:pPr>
        <w:pStyle w:val="Micro"/>
      </w:pPr>
      <w:r>
        <w:t>MODULES  N05, H02, B03, B04, B05, B08  •  File responsibilities: Appendix A</w:t>
      </w:r>
    </w:p>
    <w:p>
      <w:pPr>
        <w:pStyle w:val="SpecBody"/>
      </w:pPr>
      <w:r>
        <w:rPr>
          <w:b/>
        </w:rPr>
        <w:t xml:space="preserve">Meaning and scope  </w:t>
      </w:r>
      <w:r>
        <w:t>Prevents a reboot from forgetting an incident, treating an old event as new or silently losing the reason behind an alert.</w:t>
      </w:r>
    </w:p>
    <w:p>
      <w:pPr>
        <w:pStyle w:val="SpecBody"/>
      </w:pPr>
      <w:r>
        <w:rPr>
          <w:b/>
        </w:rPr>
        <w:t xml:space="preserve">P0 requirement  </w:t>
      </w:r>
      <w:r>
        <w:t>Durably store configuration, consent/mode version, business events, active window state and unsent incident intents. Use bounded storage with explicit overflow policy. Recover from an interrupted write without treating corrupted data as valid. Preserve idempotency state for at least the maximum replay period.</w:t>
      </w:r>
    </w:p>
    <w:p>
      <w:pPr>
        <w:pStyle w:val="SpecBody"/>
      </w:pPr>
      <w:r>
        <w:rPr>
          <w:rFonts w:ascii="Calibri" w:hAnsi="Calibri"/>
          <w:b/>
          <w:color w:val="1F4D78"/>
          <w:sz w:val="22"/>
        </w:rPr>
        <w:t xml:space="preserve">Corresponding hardware  </w:t>
      </w:r>
      <w:r>
        <w:rPr>
          <w:rFonts w:ascii="Calibri" w:hAnsi="Calibri"/>
          <w:sz w:val="22"/>
        </w:rPr>
        <w:t>Verify the purchased ESP32 DevKit V1 module, onboard flash and partition layout against the compiled hub image and journal budget. ESP32 DevKit/SuperMini flash size, USB bridge, LEDs, regulator and leakage vary by supplier; a listing title is not sufficient evidence.</w:t>
      </w:r>
    </w:p>
    <w:p>
      <w:pPr>
        <w:pStyle w:val="SpecBody"/>
      </w:pPr>
      <w:r>
        <w:t>Detailed software design  Target H02/N05 still require the append-only flash/journal binding described here. For the backend, backend/migrations/001_p0_core.sql is now the concrete relational contract: immutable events use source/session/sequence duplicate keys; routine_windows persist window identity/state; alerts use stable keys; notification_jobs use idempotency keys; configuration stores desired/applied versions. A production PostgreSQL adapter should preserve these semantics.</w:t>
      </w:r>
    </w:p>
    <w:p>
      <w:pPr>
        <w:pStyle w:val="SpecBody"/>
      </w:pPr>
      <w:r>
        <w:rPr>
          <w:b/>
        </w:rPr>
        <w:t xml:space="preserve">Communication flow  </w:t>
      </w:r>
      <w:r>
        <w:t>A durable local commit precedes radio business ACK. A durable backend commit precedes cloud application ACK. Notification jobs are not committed independently of their incident. Recovery replays through the same reducers as live processing.</w:t>
      </w:r>
    </w:p>
    <w:p>
      <w:pPr>
        <w:pStyle w:val="SpecBody"/>
      </w:pPr>
      <w:r>
        <w:rPr>
          <w:b/>
        </w:rPr>
        <w:t xml:space="preserve">Failure and edge handling  </w:t>
      </w:r>
      <w:r>
        <w:t>At high-water mark, compact acknowledged records and coalesce health samples. Preserve reserved contact/incident slots; if even those cannot be committed, show failure and raise a storage fault rather than success. Full power loss may lose only events not yet durably acknowledged; any uncertain interval is marked incomplete.</w:t>
      </w:r>
    </w:p>
    <w:p>
      <w:pPr>
        <w:pStyle w:val="SpecBody"/>
      </w:pPr>
      <w:r>
        <w:rPr>
          <w:b/>
        </w:rPr>
        <w:t xml:space="preserve">Exit criteria / tests  </w:t>
      </w:r>
      <w:r>
        <w:t>E05-T1: interrupt writes at each record boundary/commit stage; recovery accepts no partial record. E05-T2: 100 scripted power cycles preserve acknowledged events and prevent duplicate incidents. E05-T3: full-disk/flash tests expose data loss and retain actionable fault status.</w:t>
      </w:r>
    </w:p>
    <w:p>
      <w:pPr>
        <w:pStyle w:val="SpecBody"/>
      </w:pPr>
      <w:r>
        <w:rPr>
          <w:b/>
        </w:rPr>
        <w:t xml:space="preserve">Further enhancement  </w:t>
      </w:r>
      <w:r>
        <w:t>External flash, stronger tamper evidence and tuned wear-leveling after measured event rates and endurance analysis.</w:t>
      </w:r>
    </w:p>
    <w:p>
      <w:bookmarkStart w:id="27" w:name="E06"/>
      <w:pPr>
        <w:pStyle w:val="Heading1"/>
        <w:pageBreakBefore/>
      </w:pPr>
      <w:r>
        <w:rPr>
          <w:color w:val="000000"/>
        </w:rPr>
        <w:t>9. E06 — Trusted time and routine boundary handling</w:t>
      </w:r>
      <w:bookmarkEnd w:id="27"/>
    </w:p>
    <w:p>
      <w:r>
        <w:rPr>
          <w:b/>
        </w:rPr>
        <w:t xml:space="preserve">Meaning. </w:t>
      </w:r>
      <w:r>
        <w:t>Monotonic time measures elapsed duration; wall time identifies a local morning. Clock uncertainty expresses how much the timestamp could be wrong. Use the appropriate clock for each decision.</w:t>
      </w:r>
    </w:p>
    <w:p>
      <w:r>
        <w:rPr>
          <w:b/>
        </w:rPr>
        <w:t xml:space="preserve">Worked example. </w:t>
      </w:r>
      <w:r>
        <w:t>A restarted hub has no trusted wall-clock anchor. It can respond to a button but must not infer that the 10:10 absence deadline has safely passed. A model timeout still uses monotonic elapsed milliseconds.</w:t>
      </w:r>
    </w:p>
    <w:p>
      <w:r>
        <w:rPr>
          <w:b/>
        </w:rPr>
        <w:t xml:space="preserve">Execution and ownership. </w:t>
      </w:r>
      <w:r>
        <w:t>H03 estimates a wall-time interval from an anchor and drift assumptions. S02 tests event/window overlap and receives a trusted-clock gate at deadline. H07 owns the configured time zone; the scheduler must construct each local window.</w:t>
      </w:r>
    </w:p>
    <w:p>
      <w:r>
        <w:rPr>
          <w:b/>
        </w:rPr>
        <w:t xml:space="preserve">Reference implementation boundary. </w:t>
      </w:r>
      <w:r>
        <w:t>Host estimates exist, including a 72-hour anchor expiry. Production authenticated time acquisition, reboot checkpoints, timezone conversion and overflow/range validation are pending.</w:t>
      </w:r>
    </w:p>
    <w:p>
      <w:r>
        <w:rPr>
          <w:b/>
        </w:rPr>
        <w:t xml:space="preserve">Acceptance experiment. </w:t>
      </w:r>
      <w:r>
        <w:t>Test missing anchor, stale anchor, clock rollback, uncertainty straddling a boundary and daylight-saving dates for non-India homes. Keep absolute timestamps and elapsed timer tests separate.</w:t>
      </w:r>
    </w:p>
    <w:p>
      <w:r>
        <w:rPr>
          <w:b/>
        </w:rPr>
        <w:t xml:space="preserve">Participants and traceability. </w:t>
      </w:r>
      <w:r>
        <w:t>H03, H07, H05, S01, S02. Source paths and test references are in the traceability register. See diagrams/sequences/png and diagrams/sequences/uml for the corresponding E06 flow.</w:t>
      </w:r>
    </w:p>
    <w:p>
      <w:pPr>
        <w:pStyle w:val="Micro"/>
      </w:pPr>
      <w:r>
        <w:t>MODULES  H03, H07, H05, S01, S02  •  File responsibilities: Appendix A</w:t>
      </w:r>
    </w:p>
    <w:p>
      <w:pPr>
        <w:pStyle w:val="SpecBody"/>
      </w:pPr>
      <w:r>
        <w:rPr>
          <w:b/>
        </w:rPr>
        <w:t xml:space="preserve">Meaning and scope  </w:t>
      </w:r>
      <w:r>
        <w:t>Keeps “when it happened” distinct from “when the server heard about it”. Incorrect time must not produce a confident missed-morning assertion.</w:t>
      </w:r>
    </w:p>
    <w:p>
      <w:pPr>
        <w:pStyle w:val="SpecBody"/>
      </w:pPr>
      <w:r>
        <w:rPr>
          <w:b/>
        </w:rPr>
        <w:t xml:space="preserve">P0 requirement  </w:t>
      </w:r>
      <w:r>
        <w:t>Represent trusted wall time, monotonic elapsed time and uncertainty explicitly. Store occurred_at, hub_received_at and server_received_at separately. Use the home’s IANA timezone, not the caregiver phone timezone. Timers shall survive reboot through persisted deadlines and conservative recovery.</w:t>
      </w:r>
    </w:p>
    <w:p>
      <w:pPr>
        <w:pStyle w:val="SpecBody"/>
      </w:pPr>
      <w:r>
        <w:rPr>
          <w:b/>
        </w:rPr>
        <w:t xml:space="preserve">Corresponding hardware  </w:t>
      </w:r>
      <w:r>
        <w:t>No RTC is mandatory for the bench prototype. Without a validated backed RTC, a cold boot while offline enters TIME_UNTRUSTED. An optional backed RTC can improve availability, not automatically guarantee accurate time.</w:t>
      </w:r>
    </w:p>
    <w:p>
      <w:pPr>
        <w:pStyle w:val="SpecBody"/>
      </w:pPr>
      <w:r>
        <w:rPr>
          <w:b/>
        </w:rPr>
        <w:t xml:space="preserve">Detailed software design  </w:t>
      </w:r>
      <w:r>
        <w:t>H03 clock.cpp obtains a bounded time interval from an authenticated backend time exchange and tracks monotonic drift; unauthenticated SNTP may seed time but cannot alone authorize absence evaluation. H07 stores a 90-day UTC window horizon generated server-side from an IANA zone. H03 maps node events using boot/session identity, monotonic event age and hub anchors; unknown-age events remain uncertain. Proposed absence eligibility requires uncertainty ≤60 seconds and no uncovered timing discontinuity.</w:t>
      </w:r>
    </w:p>
    <w:p>
      <w:pPr>
        <w:pStyle w:val="SpecBody"/>
      </w:pPr>
      <w:r>
        <w:rPr>
          <w:b/>
        </w:rPr>
        <w:t xml:space="preserve">Communication flow  </w:t>
      </w:r>
      <w:r>
        <w:t>Authenticated HTTPS time exchange and versioned boundary configuration → hub; node SESSION_START/TIME_ANCHOR exchange → event-age mapping. TLS bootstrapping uses the signed firmware build-time floor and persisted last-trusted lower bound; time-recovery failures require service attention, not disabled certificate validation.</w:t>
      </w:r>
    </w:p>
    <w:p>
      <w:pPr>
        <w:pStyle w:val="SpecBody"/>
      </w:pPr>
      <w:r>
        <w:rPr>
          <w:b/>
        </w:rPr>
        <w:t xml:space="preserve">Failure and edge handling  </w:t>
      </w:r>
      <w:r>
        <w:t>Clock jumps trigger re-evaluation against stable window IDs, never duplicate timer actions. Events whose uncertainty overlaps a boundary are not used to assert an in-window observation. Future DST policy: earliest valid start, latest valid end at an overlap; advance nonexistent local boundaries to the first valid instant, with generated boundaries visible in tests.</w:t>
      </w:r>
    </w:p>
    <w:p>
      <w:pPr>
        <w:pStyle w:val="SpecBody"/>
      </w:pPr>
      <w:r>
        <w:rPr>
          <w:b/>
        </w:rPr>
        <w:t xml:space="preserve">Exit criteria / tests  </w:t>
      </w:r>
      <w:r>
        <w:t>E06-T1: ±2-hour clock changes produce no duplicate incidents. E06-T2: offline cold boot suppresses absence claims but accepts manual buttons. E06-T3: delayed packets crossing window boundaries preserve uncertainty and original chronology. E06-T4: DST fixtures use the specified generated boundaries.</w:t>
      </w:r>
    </w:p>
    <w:p>
      <w:pPr>
        <w:pStyle w:val="SpecBody"/>
      </w:pPr>
      <w:r>
        <w:rPr>
          <w:b/>
        </w:rPr>
        <w:t xml:space="preserve">Further enhancement  </w:t>
      </w:r>
      <w:r>
        <w:t>Calibrated RTC, stronger trusted-time bootstrap and finer drift estimates after hardware validation.</w:t>
      </w:r>
    </w:p>
    <w:p>
      <w:bookmarkStart w:id="28" w:name="E07"/>
      <w:pPr>
        <w:pStyle w:val="Heading1"/>
        <w:pageBreakBefore/>
      </w:pPr>
      <w:r>
        <w:rPr>
          <w:color w:val="000000"/>
        </w:rPr>
        <w:t>9. E07 — Versioned configuration and command application</w:t>
      </w:r>
      <w:bookmarkEnd w:id="28"/>
    </w:p>
    <w:p>
      <w:r>
        <w:rPr>
          <w:b/>
        </w:rPr>
        <w:t xml:space="preserve">Meaning. </w:t>
      </w:r>
      <w:r>
        <w:t>Desired configuration is what the caregiver requested; applied configuration is what the device accepted. Keeping both prevents a phone from showing a change that never reached the home.</w:t>
      </w:r>
    </w:p>
    <w:p>
      <w:r>
        <w:rPr>
          <w:b/>
        </w:rPr>
        <w:t xml:space="preserve">Worked example. </w:t>
      </w:r>
      <w:r>
        <w:t>The server publishes version 8 while the hub is offline on version 7. The dashboard shows pending 8 and applied 7. A later delayed version 6 is rejected without replacing version 7.</w:t>
      </w:r>
    </w:p>
    <w:p>
      <w:r>
        <w:rPr>
          <w:b/>
        </w:rPr>
        <w:t xml:space="preserve">Execution and ownership. </w:t>
      </w:r>
      <w:r>
        <w:t>A03/B06 create and validate desired state. H07/N04 validate identity, version and values before atomically replacing a snapshot. H08 reports application acknowledgement; A03 compares versions.</w:t>
      </w:r>
    </w:p>
    <w:p>
      <w:r>
        <w:t>Reference implementation boundary. Versioned household configuration is wired through Device Schedules, backend GET/POST config API, HomeConfig and RulesCore. It includes quiet-hours, door-left-open, daytime inactivity, morning sequence locations/window, night window/locations/visit thresholds/merge interval and post-door inactivity. Stale/invalid values are rejected and host tests prove changed behavior. Durable authenticated target-side atomic apply/recovery remains pending.</w:t>
      </w:r>
    </w:p>
    <w:p>
      <w:r>
        <w:rPr>
          <w:b/>
        </w:rPr>
        <w:t xml:space="preserve">Acceptance experiment. </w:t>
      </w:r>
      <w:r>
        <w:t>Reorder versions, duplicate the newest, corrupt one field and power-cycle during application. Verify that the active snapshot is entirely old or entirely new.</w:t>
      </w:r>
    </w:p>
    <w:p>
      <w:r>
        <w:rPr>
          <w:b/>
        </w:rPr>
        <w:t xml:space="preserve">Participants and traceability. </w:t>
      </w:r>
      <w:r>
        <w:t>B06, A03, H07, N04, H08, S01. Source paths and test references are in the traceability register. See diagrams/sequences/png and diagrams/sequences/uml for the corresponding E07 flow.</w:t>
      </w:r>
    </w:p>
    <w:p>
      <w:pPr>
        <w:pStyle w:val="Micro"/>
      </w:pPr>
      <w:r>
        <w:t>MODULES  B06, A03, H07, N04, H08, S01  •  File responsibilities: Appendix A</w:t>
      </w:r>
    </w:p>
    <w:p>
      <w:pPr>
        <w:pStyle w:val="SpecBody"/>
      </w:pPr>
      <w:r>
        <w:rPr>
          <w:b/>
        </w:rPr>
        <w:t xml:space="preserve">Meaning and scope  </w:t>
      </w:r>
      <w:r>
        <w:t>Makes configuration changes observable and safe. A caregiver clicking Save does not prove that a sleeping node or offline hub is already using the new setting.</w:t>
      </w:r>
    </w:p>
    <w:p>
      <w:pPr>
        <w:pStyle w:val="SpecBody"/>
      </w:pPr>
      <w:r>
        <w:t>P0 requirement  Track desired_version, applied_version, effective_at, actor and validation error. Version per-home behavior policy for morning routine/sequence, quiet-hours, door-open timeout, daytime inactivity, night bathroom/common-room monitoring and post-door inactivity; keep protocol heartbeat/retry/offline constants engineering-controlled. Validate ranges/locations before accepting config. Commands require ID/target/schema/time/expiry and reject stale/unauthorized/incompatible input. Apply a valid configuration atomically or retain the previous working version.</w:t>
      </w:r>
    </w:p>
    <w:p>
      <w:pPr>
        <w:pStyle w:val="SpecBody"/>
      </w:pPr>
      <w:r>
        <w:rPr>
          <w:b/>
        </w:rPr>
        <w:t xml:space="preserve">Corresponding hardware  </w:t>
      </w:r>
      <w:r>
        <w:t>No additional hardware; node commands wait for the receiver window after a heartbeat/event. USB service mode is the fallback for a device that cannot receive or validate configuration.</w:t>
      </w:r>
    </w:p>
    <w:p>
      <w:pPr>
        <w:pStyle w:val="SpecBody"/>
      </w:pPr>
      <w:r>
        <w:t>Detailed software design  B06 stores/validates immutable configuration versions. The current host binding validates the activity_rules object and maps it into C++ HomeConfig so RulesCore behavior changes only after accepted versioned configuration. The web settings page reloads persisted desired state and shows configuration version. Target H07/N04 still need durable authenticated atomic application on real boards.</w:t>
      </w:r>
    </w:p>
    <w:p>
      <w:pPr>
        <w:pStyle w:val="SpecBody"/>
      </w:pPr>
      <w:r>
        <w:rPr>
          <w:b/>
        </w:rPr>
        <w:t xml:space="preserve">Communication flow  </w:t>
      </w:r>
      <w:r>
        <w:t>HTTPS PUT with If-Match → DB/outbox → non-retained MQTT command → hub applied/rejected event. Hub→node command is delivered during the next awake exchange, with explicit application ACK. Reconnect fetches desired state through an authenticated reconciliation request, not an indefinitely retained action.</w:t>
      </w:r>
    </w:p>
    <w:p>
      <w:pPr>
        <w:pStyle w:val="SpecBody"/>
      </w:pPr>
      <w:r>
        <w:rPr>
          <w:b/>
        </w:rPr>
        <w:t xml:space="preserve">Failure and edge handling  </w:t>
      </w:r>
      <w:r>
        <w:t>If a node has not applied a heartbeat interval change, health leases use its last confirmed interval. Partial installation is visible per device. Expired commands are rejected rather than executed late. Removing a node from a live routine takes effect at the next window unless explicitly aborting the current one as incomplete.</w:t>
      </w:r>
    </w:p>
    <w:p>
      <w:pPr>
        <w:pStyle w:val="SpecBody"/>
      </w:pPr>
      <w:r>
        <w:rPr>
          <w:b/>
        </w:rPr>
        <w:t xml:space="preserve">Exit criteria / tests  </w:t>
      </w:r>
      <w:r>
        <w:t>E07-T1: power fails during config staging; old or new complete config is used, never mixed fields. E07-T2: duplicate command applies once. E07-T3: sleeping node remains pending until its ACK. E07-T4: stale app writes return conflict.</w:t>
      </w:r>
    </w:p>
    <w:p>
      <w:pPr>
        <w:pStyle w:val="SpecBody"/>
      </w:pPr>
      <w:r>
        <w:rPr>
          <w:b/>
        </w:rPr>
        <w:t xml:space="preserve">Further enhancement  </w:t>
      </w:r>
      <w:r>
        <w:t>Fleet rollout cohorts, staged policy experiments and reusable household templates with explicit resident approval.</w:t>
      </w:r>
    </w:p>
    <w:p>
      <w:bookmarkStart w:id="29" w:name="E08"/>
      <w:pPr>
        <w:pStyle w:val="Heading1"/>
        <w:pageBreakBefore/>
      </w:pPr>
      <w:r>
        <w:rPr>
          <w:color w:val="000000"/>
        </w:rPr>
        <w:t>9. E08 — Security, access control and data lifecycle</w:t>
      </w:r>
      <w:bookmarkEnd w:id="29"/>
    </w:p>
    <w:p>
      <w:r>
        <w:rPr>
          <w:b/>
        </w:rPr>
        <w:t xml:space="preserve">Meaning. </w:t>
      </w:r>
      <w:r>
        <w:t>Security is enforced at the boundary that owns the data or action. A hidden button, a MAC allow-list or a capability flag cannot replace authentication and authorisation.</w:t>
      </w:r>
    </w:p>
    <w:p>
      <w:r>
        <w:rPr>
          <w:b/>
        </w:rPr>
        <w:t xml:space="preserve">Worked example. </w:t>
      </w:r>
      <w:r>
        <w:t>A person changes a home_id in an HTTP request. B01 must deny access before returning data. A node replaying another session must be rejected before changing the hub state.</w:t>
      </w:r>
    </w:p>
    <w:p>
      <w:r>
        <w:rPr>
          <w:b/>
        </w:rPr>
        <w:t xml:space="preserve">Execution and ownership. </w:t>
      </w:r>
      <w:r>
        <w:t>S03 supplies credential/update policy interfaces, B01 checks household permissions, B02 controls consent, B06 controls device/config access and B08 audits support. Production links require real cryptography and protected credentials.</w:t>
      </w:r>
    </w:p>
    <w:p>
      <w:r>
        <w:rPr>
          <w:b/>
        </w:rPr>
        <w:t xml:space="preserve">Reference implementation boundary. </w:t>
      </w:r>
      <w:r>
        <w:t>Policies and negative host tests exist. TLS, OIDC, ESP-NOW key handling, secure boot, production token validation and strict mutation roles are not complete. Development HTTP headers are not authentication.</w:t>
      </w:r>
    </w:p>
    <w:p>
      <w:r>
        <w:rPr>
          <w:b/>
        </w:rPr>
        <w:t xml:space="preserve">Acceptance experiment. </w:t>
      </w:r>
      <w:r>
        <w:t>Run cross-tenant read/write, revoked credential, wrong session and invalid signature cases. Inspect the deployed endpoints and logs; do not infer security from class names or a mock signature verifier.</w:t>
      </w:r>
    </w:p>
    <w:p>
      <w:r>
        <w:rPr>
          <w:b/>
        </w:rPr>
        <w:t xml:space="preserve">Participants and traceability. </w:t>
      </w:r>
      <w:r>
        <w:t>S03, B01, B02, B06, B08, A05, T01. Source paths and test references are in the traceability register. See diagrams/sequences/png and diagrams/sequences/uml for the corresponding E08 flow.</w:t>
      </w:r>
    </w:p>
    <w:p>
      <w:pPr>
        <w:pStyle w:val="Micro"/>
      </w:pPr>
      <w:r>
        <w:t>MODULES  S03, B01, B02, B06, B08, A05, T01  •  File responsibilities: Appendix A</w:t>
      </w:r>
    </w:p>
    <w:p>
      <w:pPr>
        <w:pStyle w:val="SpecBody"/>
      </w:pPr>
      <w:r>
        <w:rPr>
          <w:b/>
        </w:rPr>
        <w:t xml:space="preserve">Meaning and scope  </w:t>
      </w:r>
      <w:r>
        <w:t>Protects household activity, prevents unauthorized device commands and gives users a clear way to revoke access and delete their data.</w:t>
      </w:r>
    </w:p>
    <w:p>
      <w:pPr>
        <w:pStyle w:val="SpecBody"/>
      </w:pPr>
      <w:r>
        <w:rPr>
          <w:b/>
        </w:rPr>
        <w:t xml:space="preserve">P0 requirement  </w:t>
      </w:r>
      <w:r>
        <w:t>Use unique device credentials, encrypted local unicast, validated TLS and least-privilege home access. No shared fleet secret or public activity topic. Record security-sensitive actions without secrets. Provide membership revocation, kit decommissioning, data export and deletion. Review real launch obligations separately; this design is not a compliance certificate.</w:t>
      </w:r>
    </w:p>
    <w:p>
      <w:pPr>
        <w:pStyle w:val="SpecBody"/>
      </w:pPr>
      <w:r>
        <w:rPr>
          <w:b/>
        </w:rPr>
        <w:t xml:space="preserve">Corresponding hardware  </w:t>
      </w:r>
      <w:r>
        <w:t>Secure boot/flash encryption capability is used on supported ESP32 variants for resident-pilot builds after a tested recovery procedure. Debug access and irreversible eFuse steps need an explicit manufacturing checklist [S6].</w:t>
      </w:r>
    </w:p>
    <w:p>
      <w:pPr>
        <w:pStyle w:val="SpecBody"/>
      </w:pPr>
      <w:r>
        <w:rPr>
          <w:b/>
        </w:rPr>
        <w:t xml:space="preserve">Detailed software design  </w:t>
      </w:r>
      <w:r>
        <w:t>S03 credentials.cpp owns provisioning and secret storage. B01 verifies OIDC tokens and resolves membership on every request; B06 constrains device certificates to its hub topics/home. PostgreSQL RLS is defense in depth with a non-owner application role and transaction-local tenant context; privileged workers use narrowly scoped roles [S7]. B08 retention.py implements scheduled retention and deletion, including derived projections, push subscriptions and exports.</w:t>
      </w:r>
    </w:p>
    <w:p>
      <w:pPr>
        <w:pStyle w:val="SpecBody"/>
      </w:pPr>
      <w:r>
        <w:t>Communication flow  TLS for cloud/API; encrypted ESP-NOW is the target local adapter; no PII in broker topic names or lock-screen defaults. Revoke account membership immediately server-side and revoke device credentials on loss. Applied consent withdrawal/internal privacy enforcement remains authoritative over passive observation; ordinary mode/config changes cannot silently restore consent.</w:t>
      </w:r>
    </w:p>
    <w:p>
      <w:pPr>
        <w:pStyle w:val="SpecBody"/>
      </w:pPr>
      <w:r>
        <w:rPr>
          <w:b/>
        </w:rPr>
        <w:t xml:space="preserve">Failure and edge handling  </w:t>
      </w:r>
      <w:r>
        <w:t>JWT validity alone does not preserve removed membership. Unknown devices/schema are rejected. Deletion disables new ingestion/routing, deletes active data within 7 days, then ages out encrypted backups within 30 days; restored backups reapply deletion tombstones before service. In-flight third-party delivery may not be retractable.</w:t>
      </w:r>
    </w:p>
    <w:p>
      <w:pPr>
        <w:pStyle w:val="SpecBody"/>
      </w:pPr>
      <w:r>
        <w:rPr>
          <w:b/>
        </w:rPr>
        <w:t xml:space="preserve">Exit criteria / tests  </w:t>
      </w:r>
      <w:r>
        <w:t>E08-T1: automated cross-home matrix blocks read/write/stream/export. E08-T2: revoked device cannot publish/subscribe. E08-T3: exported/logged artifacts contain no credentials. E08-T4: deletion/restore drill does not resurrect an active home.</w:t>
      </w:r>
    </w:p>
    <w:p>
      <w:pPr>
        <w:pStyle w:val="SpecBody"/>
      </w:pPr>
      <w:r>
        <w:rPr>
          <w:b/>
        </w:rPr>
        <w:t xml:space="preserve">Further enhancement  </w:t>
      </w:r>
      <w:r>
        <w:t>Independent security review, hardware-backed keys and formal regional compliance work before broader commercial deployment.</w:t>
      </w:r>
    </w:p>
    <w:p>
      <w:bookmarkStart w:id="30" w:name="E09"/>
      <w:pPr>
        <w:pStyle w:val="Heading1"/>
        <w:pageBreakBefore/>
      </w:pPr>
      <w:r>
        <w:rPr>
          <w:color w:val="000000"/>
        </w:rPr>
        <w:t>9. E09 — Firmware update, watchdog and recovery</w:t>
      </w:r>
      <w:bookmarkEnd w:id="30"/>
    </w:p>
    <w:p>
      <w:r>
        <w:rPr>
          <w:b/>
        </w:rPr>
        <w:t xml:space="preserve">Meaning. </w:t>
      </w:r>
      <w:r>
        <w:t>OTA is a controlled update with authenticity checks and a recoverable boot path. Version comparison alone does not establish that a firmware image is genuine or healthy.</w:t>
      </w:r>
    </w:p>
    <w:p>
      <w:r>
        <w:rPr>
          <w:b/>
        </w:rPr>
        <w:t xml:space="preserve">Worked example. </w:t>
      </w:r>
      <w:r>
        <w:t>An image signed for a different board arrives. Reject it even if its version is newer. If a valid image boots but repeatedly fails health checks, the target boot strategy must restore the prior working image.</w:t>
      </w:r>
    </w:p>
    <w:p>
      <w:r>
        <w:rPr>
          <w:b/>
        </w:rPr>
        <w:t xml:space="preserve">Execution and ownership. </w:t>
      </w:r>
      <w:r>
        <w:t>S03 validates manifest policy using an injected signature verifier. H07/N04 orchestrate target application and boot-health reporting, while B06/B08 record rollout and results. Physical USB recovery remains necessary during prototyping.</w:t>
      </w:r>
    </w:p>
    <w:p>
      <w:r>
        <w:rPr>
          <w:b/>
        </w:rPr>
        <w:t xml:space="preserve">Reference implementation boundary. </w:t>
      </w:r>
      <w:r>
        <w:t>The current code validates manifest metadata through a testable seam. Image download, real hash/signature verification, flash partitions, bootloader rollback, watchdog and signed fleet rollout are pending.</w:t>
      </w:r>
    </w:p>
    <w:p>
      <w:r>
        <w:rPr>
          <w:b/>
        </w:rPr>
        <w:t xml:space="preserve">Acceptance experiment. </w:t>
      </w:r>
      <w:r>
        <w:t>Test wrong board, stale version, bad hash text and rejected signature on host. Later interrupt download/write/first boot on hardware and demonstrate recovery before a field update.</w:t>
      </w:r>
    </w:p>
    <w:p>
      <w:r>
        <w:rPr>
          <w:b/>
        </w:rPr>
        <w:t xml:space="preserve">Participants and traceability. </w:t>
      </w:r>
      <w:r>
        <w:t>S03, H07, N04, B06, B08, T02. Source paths and test references are in the traceability register. See diagrams/sequences/png and diagrams/sequences/uml for the corresponding E09 flow.</w:t>
      </w:r>
    </w:p>
    <w:p>
      <w:pPr>
        <w:pStyle w:val="Micro"/>
      </w:pPr>
      <w:r>
        <w:t>MODULES  S03, H07, N04, B06, B08, T02  •  File responsibilities: Appendix A</w:t>
      </w:r>
    </w:p>
    <w:p>
      <w:pPr>
        <w:pStyle w:val="SpecBody"/>
      </w:pPr>
      <w:r>
        <w:rPr>
          <w:b/>
        </w:rPr>
        <w:t xml:space="preserve">Meaning and scope  </w:t>
      </w:r>
      <w:r>
        <w:t>Lets the engineer correct firmware without leaving a household silently unmonitored. A firmware version number alone is not evidence that an update succeeded.</w:t>
      </w:r>
    </w:p>
    <w:p>
      <w:pPr>
        <w:pStyle w:val="SpecBody"/>
      </w:pPr>
      <w:r>
        <w:rPr>
          <w:b/>
        </w:rPr>
        <w:t xml:space="preserve">P0 requirement  </w:t>
      </w:r>
      <w:r>
        <w:t>Report running version, reset reason and boot health. Enable watchdogs without masking persistent faults. Verify signed images and support recovery after failed updates. Hub remote OTA is P0; battery nodes may use signed USB maintenance updates for the assisted pilot, explicitly shown as maintenance downtime.</w:t>
      </w:r>
    </w:p>
    <w:p>
      <w:pPr>
        <w:pStyle w:val="SpecBody"/>
      </w:pPr>
      <w:r>
        <w:rPr>
          <w:b/>
        </w:rPr>
        <w:t xml:space="preserve">Corresponding hardware  </w:t>
      </w:r>
      <w:r>
        <w:t>Partition capacity for two hub application slots plus metadata and data ring must be verified against the compiled image. Nodes need accessible USB/program pads. Update only with stable external power or a validated energy margin; do not assume a voltage reading guarantees capacity.</w:t>
      </w:r>
    </w:p>
    <w:p>
      <w:pPr>
        <w:pStyle w:val="SpecBody"/>
      </w:pPr>
      <w:r>
        <w:rPr>
          <w:b/>
        </w:rPr>
        <w:t xml:space="preserve">Detailed software design  </w:t>
      </w:r>
      <w:r>
        <w:t>S03 ota.cpp verifies manifest target, image size, signature and compatible config/schema. H07 update_manager.cpp stages a hub update outside the morning window when no contact request is open. New firmware enters pending verification, checks journal/config/radio/UI health, then marks valid; otherwise roll back [S2]. Boot health must not depend solely on internet availability. N04 uses the same image authenticity policy in service mode.</w:t>
      </w:r>
    </w:p>
    <w:p>
      <w:pPr>
        <w:pStyle w:val="SpecBody"/>
      </w:pPr>
      <w:r>
        <w:rPr>
          <w:b/>
        </w:rPr>
        <w:t xml:space="preserve">Communication flow  </w:t>
      </w:r>
      <w:r>
        <w:t>Backend signed manifest → hub HTTPS download → boot/recovery → version/health event. App shows maintenance and revalidated coverage. Node service updates are logged against serial and firmware hash in B06.</w:t>
      </w:r>
    </w:p>
    <w:p>
      <w:pPr>
        <w:pStyle w:val="SpecBody"/>
      </w:pPr>
      <w:r>
        <w:rPr>
          <w:b/>
        </w:rPr>
        <w:t xml:space="preserve">Failure and edge handling  </w:t>
      </w:r>
      <w:r>
        <w:t>Failed signature, wrong board profile, insufficient partition space or unsupported downgrade is rejected. A rollback preserves data-schema compatibility. Repeated reboot loops stop normal observation claims and expose a service fault. Fuses/anti-rollback version changes require a release-specific recovery review.</w:t>
      </w:r>
    </w:p>
    <w:p>
      <w:pPr>
        <w:pStyle w:val="SpecBody"/>
      </w:pPr>
      <w:r>
        <w:rPr>
          <w:b/>
        </w:rPr>
        <w:t xml:space="preserve">Exit criteria / tests  </w:t>
      </w:r>
      <w:r>
        <w:t>E09-T1: cut power during download and during first boot; recover to a working signed image. E09-T2: wrong-target/tampered image is rejected. E09-T3: reboot-loop injection is visible; missing coverage is never displayed as normal. E09-T4: offline first boot can pass local health checks.</w:t>
      </w:r>
    </w:p>
    <w:p>
      <w:pPr>
        <w:pStyle w:val="SpecBody"/>
      </w:pPr>
      <w:r>
        <w:rPr>
          <w:b/>
        </w:rPr>
        <w:t xml:space="preserve">Further enhancement  </w:t>
      </w:r>
      <w:r>
        <w:t>Battery-node remote maintenance OTA, staged fleet rollouts and automatic rollback metrics; never stream node updates during its ordinary low-power duty cycle without an energy plan.</w:t>
      </w:r>
    </w:p>
    <w:p>
      <w:bookmarkStart w:id="31" w:name="E10"/>
      <w:pPr>
        <w:pStyle w:val="Heading1"/>
        <w:pageBreakBefore/>
      </w:pPr>
      <w:r>
        <w:rPr>
          <w:color w:val="000000"/>
        </w:rPr>
        <w:t>9. E10 — Diagnostics, support and installation evidence</w:t>
      </w:r>
      <w:bookmarkEnd w:id="31"/>
    </w:p>
    <w:p>
      <w:r>
        <w:rPr>
          <w:b/>
        </w:rPr>
        <w:t xml:space="preserve">Meaning. </w:t>
      </w:r>
      <w:r>
        <w:t>Observability lets an engineer explain where a flow stopped without collecting unnecessary household information. A useful log identifies the module and failure boundary; a green test report identifies exactly what was tested.</w:t>
      </w:r>
    </w:p>
    <w:p>
      <w:r>
        <w:rPr>
          <w:b/>
        </w:rPr>
        <w:t xml:space="preserve">Worked example. </w:t>
      </w:r>
      <w:r>
        <w:t>A Call family request does not appear on the phone. Follow the same event through node retention, hub commit, cloud replay, backend incident, notification job and app freshness. Do not start by assuming a sensor failure.</w:t>
      </w:r>
    </w:p>
    <w:p>
      <w:r>
        <w:t>Execution and ownership. S05 provides ERROR/build-gated TRACE hooks and the restored log analyzer. T01 owns the canonical 68-case functional catalog, five dummy streams, 24/24 P0 coverage map and fail-closed release gate; T02/T03 retain HIL/deployment evidence. The requirement register links modules, source files and test locations.</w:t>
      </w:r>
    </w:p>
    <w:p>
      <w:r>
        <w:t>Reference implementation boundary. Latest v3.3.2 host evidence records 24/24 P0 coverage mappings; 4 JSON schemas plus node/hub protocol examples, activity config and OpenAPI; 86 C++ checks; 24 Python tests; 11 JavaScript tests; Base/AI product profiles; 5/5 dummy streams; 85/85 connected functional scenarios; 16/16 HTTP tests; 6 PWA bridge tests; and PWA API/frontend-JavaScript validation across the full current catalog. ASan/UBSan C++ passes 86 checks and trace-enabled C++ reaches 86 passing checks. The final release target now includes a mandatory 16-check Playwright browser gate. This environment lacks Playwright, so post-v3.3.2 browser completion remains external evidence; real ESP32/HIL remains pending.</w:t>
      </w:r>
    </w:p>
    <w:p>
      <w:r>
        <w:t>Acceptance experiment. Run make validation-fast during development. Before a release run make release-gate and the final browser-mandatory target make release-gate-final in an environment with Playwright/Chromium. Require each feature to add positive, negative and boundary/failure/recovery cases. Validate that Run all/browser cleanup returns the PWA to Reset/PASS and that synthetic validation state cannot become live household state. Keep HIL/pilot evidence separate from host/browser PASS.</w:t>
      </w:r>
    </w:p>
    <w:p>
      <w:r>
        <w:rPr>
          <w:b/>
        </w:rPr>
        <w:t xml:space="preserve">Participants and traceability. </w:t>
      </w:r>
      <w:r>
        <w:t>B08, A02, T01, T02, T03, H02, H08. Source paths and test references are in the traceability register. See diagrams/sequences/png and diagrams/sequences/uml for the corresponding E10 flow.</w:t>
      </w:r>
    </w:p>
    <w:p>
      <w:pPr>
        <w:pStyle w:val="Micro"/>
      </w:pPr>
      <w:r>
        <w:t>MODULES  B08, A02, T01, T02, T03, H02, H08  •  File responsibilities: Appendix A</w:t>
      </w:r>
    </w:p>
    <w:p>
      <w:pPr>
        <w:pStyle w:val="SpecBody"/>
      </w:pPr>
      <w:r>
        <w:rPr>
          <w:b/>
        </w:rPr>
        <w:t xml:space="preserve">Meaning and scope  </w:t>
      </w:r>
      <w:r>
        <w:t>Provides enough evidence to explain missed observations, repeat alerts and battery problems without continuous surveillance or expensive household troubleshooting.</w:t>
      </w:r>
    </w:p>
    <w:p>
      <w:pPr>
        <w:pStyle w:val="SpecBody"/>
      </w:pPr>
      <w:r>
        <w:t>P0 requirement  Expose firmware/config versions, reset causes, last seen, lease gaps, queue/retry/error counts, notification attempts and mapped diagnostic codes. The dashboard shall show device location plus active/degraded/offline state and provide bounded Troubleshoot/Reboot actions that diagnose before attempting recovery. Support a redacted diagnostic export; no raw audio/video is present. Release evidence must be reproducible and fail closed on mandatory test failure.</w:t>
      </w:r>
    </w:p>
    <w:p>
      <w:pPr>
        <w:pStyle w:val="SpecBody"/>
      </w:pPr>
      <w:r>
        <w:rPr>
          <w:b/>
        </w:rPr>
        <w:t xml:space="preserve">Corresponding hardware  </w:t>
      </w:r>
      <w:r>
        <w:t>Serial service interface, labeled device IDs and a current-measurement setup for bench work. A production test jig should exercise each sensor, button, supply transition and radio link before installation.</w:t>
      </w:r>
    </w:p>
    <w:p>
      <w:pPr>
        <w:pStyle w:val="SpecBody"/>
      </w:pPr>
      <w:r>
        <w:rPr>
          <w:b/>
        </w:rPr>
        <w:t xml:space="preserve">Detailed software design  </w:t>
      </w:r>
      <w:r>
        <w:t>B08 diagnostics.py composes a minimal redacted export; audit.py records who requested/accessed it. T01 replay.py accepts anonymized events/config to reproduce the rule decision in S02. T02 runner.py controls fault scenarios and records pass/fail with firmware hash. T03 runbook.md maps visible faults to safe troubleshooting steps and states when the resident must use ordinary family contact instead.</w:t>
      </w:r>
    </w:p>
    <w:p>
      <w:pPr>
        <w:pStyle w:val="SpecBody"/>
      </w:pPr>
      <w:r>
        <w:rPr>
          <w:b/>
        </w:rPr>
        <w:t xml:space="preserve">Communication flow  </w:t>
      </w:r>
      <w:r>
        <w:t>Hub bounded metrics/events → backend operational store; app → authenticated export request → short-lived download, proposed 24-hour expiry. Support access is explicit and time-limited, not a standing ability to browse every home.</w:t>
      </w:r>
    </w:p>
    <w:p>
      <w:pPr>
        <w:pStyle w:val="SpecBody"/>
      </w:pPr>
      <w:r>
        <w:rPr>
          <w:b/>
        </w:rPr>
        <w:t xml:space="preserve">Failure and edge handling  </w:t>
      </w:r>
      <w:r>
        <w:t>If diagnostics fail, they must not block buttons or routine processing. Rate-limit logs and prioritize actionable faults over repeated debug lines. Redaction failure blocks export. Cloud outage means local logs may need physical collection; never imply remote support is still observing the home.</w:t>
      </w:r>
    </w:p>
    <w:p>
      <w:pPr>
        <w:pStyle w:val="SpecBody"/>
      </w:pPr>
      <w:r>
        <w:t>Exit criteria / tests  E10-T1: validation coverage maps all F01–F14/E01–E10. E10-T2: the current 85 connected cases and five dummy streams pass. E10-T3: contracts, 86 C++ / 24 Python / 11 JS component suites, 16 HTTP tests and PWA bridge/API/frontend suites pass. E10-T4: sanitizer C++ passes 86 checks; trace-enabled C++ passes 86 checks. E10-T5: final release requires the 16-check desktop/mobile Playwright gate; never infer browser PASS from non-browser tests. E10-T6: HIL/pilot gates remain explicitly pending until real hardware/provider evidence exists.</w:t>
      </w:r>
    </w:p>
    <w:p>
      <w:pPr>
        <w:pStyle w:val="SpecBody"/>
      </w:pPr>
      <w:r>
        <w:rPr>
          <w:b/>
        </w:rPr>
        <w:t xml:space="preserve">Further enhancement  </w:t>
      </w:r>
      <w:r>
        <w:t>Automated support suggestions, fleet anomaly detection and remote consented test mode, measured against actual support minutes per home.</w:t>
      </w:r>
    </w:p>
    <w:p>
      <w:bookmarkStart w:id="32" w:name="verification"/>
      <w:pPr>
        <w:pStyle w:val="Heading1"/>
        <w:pageBreakBefore/>
      </w:pPr>
      <w:r>
        <w:rPr>
          <w:color w:val="000000"/>
        </w:rPr>
        <w:t>10. Verification and release exit criteria</w:t>
      </w:r>
      <w:bookmarkEnd w:id="32"/>
    </w:p>
    <w:p>
      <w:pPr>
        <w:pStyle w:val="SpecBody"/>
      </w:pPr>
      <w:r>
        <w:t>This document defines tests; it does not report passing test results. Build a requirements-to-evidence matrix using each Fxx-Tn / Exx-Tn ID, firmware hash, backend commit, fixture version, hardware serial, timestamp, expected result and observed result. A failure needs a linked defect and retest. No resident pilot may rely on the device for emergency protection.</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80"/>
        <w:gridCol w:w="3650"/>
        <w:gridCol w:w="3930"/>
      </w:tblGrid>
      <w:tr>
        <w:trPr>
          <w:cantSplit/>
          <w:tblHeader/>
        </w:trPr>
        <w:tc>
          <w:tcPr>
            <w:tcW w:type="dxa" w:w="1780"/>
            <w:tcMar>
              <w:top w:w="80" w:type="dxa"/>
              <w:bottom w:w="80" w:type="dxa"/>
              <w:start w:w="120" w:type="dxa"/>
              <w:end w:w="120" w:type="dxa"/>
            </w:tcMar>
            <w:shd w:fill="E8EEF5"/>
          </w:tcPr>
          <w:p>
            <w:pPr>
              <w:pStyle w:val="TableText"/>
            </w:pPr>
            <w:r>
              <w:rPr>
                <w:b/>
              </w:rPr>
              <w:t>Test layer</w:t>
            </w:r>
          </w:p>
        </w:tc>
        <w:tc>
          <w:tcPr>
            <w:tcW w:type="dxa" w:w="3650"/>
            <w:tcMar>
              <w:top w:w="80" w:type="dxa"/>
              <w:bottom w:w="80" w:type="dxa"/>
              <w:start w:w="120" w:type="dxa"/>
              <w:end w:w="120" w:type="dxa"/>
            </w:tcMar>
            <w:shd w:fill="E8EEF5"/>
          </w:tcPr>
          <w:p>
            <w:pPr>
              <w:pStyle w:val="TableText"/>
            </w:pPr>
            <w:r>
              <w:rPr>
                <w:b/>
              </w:rPr>
              <w:t>Coverage</w:t>
            </w:r>
          </w:p>
        </w:tc>
        <w:tc>
          <w:tcPr>
            <w:tcW w:type="dxa" w:w="3930"/>
            <w:tcMar>
              <w:top w:w="80" w:type="dxa"/>
              <w:bottom w:w="80" w:type="dxa"/>
              <w:start w:w="120" w:type="dxa"/>
              <w:end w:w="120" w:type="dxa"/>
            </w:tcMar>
            <w:shd w:fill="E8EEF5"/>
          </w:tcPr>
          <w:p>
            <w:pPr>
              <w:pStyle w:val="TableText"/>
            </w:pPr>
            <w:r>
              <w:rPr>
                <w:b/>
              </w:rPr>
              <w:t>Proposed gate</w:t>
            </w:r>
          </w:p>
        </w:tc>
      </w:tr>
      <w:tr>
        <w:trPr>
          <w:cantSplit/>
        </w:trPr>
        <w:tc>
          <w:tcPr>
            <w:tcW w:type="dxa" w:w="1780"/>
            <w:tcMar>
              <w:top w:w="80" w:type="dxa"/>
              <w:bottom w:w="80" w:type="dxa"/>
              <w:start w:w="120" w:type="dxa"/>
              <w:end w:w="120" w:type="dxa"/>
            </w:tcMar>
          </w:tcPr>
          <w:p>
            <w:pPr>
              <w:pStyle w:val="TableText"/>
            </w:pPr>
            <w:r>
              <w:t>Unit/property tests</w:t>
            </w:r>
          </w:p>
        </w:tc>
        <w:tc>
          <w:tcPr>
            <w:tcW w:type="dxa" w:w="3650"/>
            <w:tcMar>
              <w:top w:w="80" w:type="dxa"/>
              <w:bottom w:w="80" w:type="dxa"/>
              <w:start w:w="120" w:type="dxa"/>
              <w:end w:w="120" w:type="dxa"/>
            </w:tcMar>
          </w:tcPr>
          <w:p>
            <w:pPr>
              <w:pStyle w:val="TableText"/>
            </w:pPr>
            <w:r>
              <w:t>Rule reducer, coverage intervals, schedules, debounce, IDs and command validation.</w:t>
            </w:r>
          </w:p>
        </w:tc>
        <w:tc>
          <w:tcPr>
            <w:tcW w:type="dxa" w:w="3930"/>
            <w:tcMar>
              <w:top w:w="80" w:type="dxa"/>
              <w:bottom w:w="80" w:type="dxa"/>
              <w:start w:w="120" w:type="dxa"/>
              <w:end w:w="120" w:type="dxa"/>
            </w:tcMar>
          </w:tcPr>
          <w:p>
            <w:pPr>
              <w:pStyle w:val="TableText"/>
            </w:pPr>
            <w:r>
              <w:t>Every transition/branch in the rule-state table exercised; randomized replay preserves invariants and determinism.</w:t>
            </w:r>
          </w:p>
        </w:tc>
      </w:tr>
      <w:tr>
        <w:trPr>
          <w:cantSplit/>
        </w:trPr>
        <w:tc>
          <w:tcPr>
            <w:tcW w:type="dxa" w:w="1780"/>
            <w:tcMar>
              <w:top w:w="80" w:type="dxa"/>
              <w:bottom w:w="80" w:type="dxa"/>
              <w:start w:w="120" w:type="dxa"/>
              <w:end w:w="120" w:type="dxa"/>
            </w:tcMar>
          </w:tcPr>
          <w:p>
            <w:pPr>
              <w:pStyle w:val="TableText"/>
            </w:pPr>
            <w:r>
              <w:t>Contract tests</w:t>
            </w:r>
          </w:p>
        </w:tc>
        <w:tc>
          <w:tcPr>
            <w:tcW w:type="dxa" w:w="3650"/>
            <w:tcMar>
              <w:top w:w="80" w:type="dxa"/>
              <w:bottom w:w="80" w:type="dxa"/>
              <w:start w:w="120" w:type="dxa"/>
              <w:end w:w="120" w:type="dxa"/>
            </w:tcMar>
          </w:tcPr>
          <w:p>
            <w:pPr>
              <w:pStyle w:val="TableText"/>
            </w:pPr>
            <w:r>
              <w:t>CBOR/JSON schemas, API clients, v1 compatibility, broker ACL.</w:t>
            </w:r>
          </w:p>
        </w:tc>
        <w:tc>
          <w:tcPr>
            <w:tcW w:type="dxa" w:w="3930"/>
            <w:tcMar>
              <w:top w:w="80" w:type="dxa"/>
              <w:bottom w:w="80" w:type="dxa"/>
              <w:start w:w="120" w:type="dxa"/>
              <w:end w:w="120" w:type="dxa"/>
            </w:tcMar>
          </w:tcPr>
          <w:p>
            <w:pPr>
              <w:pStyle w:val="TableText"/>
            </w:pPr>
            <w:r>
              <w:t>Golden packets across node/hub/backend; malformed lengths/types rejected; no unsafe buffer copies.</w:t>
            </w:r>
          </w:p>
        </w:tc>
      </w:tr>
      <w:tr>
        <w:trPr>
          <w:cantSplit/>
        </w:trPr>
        <w:tc>
          <w:tcPr>
            <w:tcW w:type="dxa" w:w="1780"/>
            <w:tcMar>
              <w:top w:w="80" w:type="dxa"/>
              <w:bottom w:w="80" w:type="dxa"/>
              <w:start w:w="120" w:type="dxa"/>
              <w:end w:w="120" w:type="dxa"/>
            </w:tcMar>
          </w:tcPr>
          <w:p>
            <w:pPr>
              <w:pStyle w:val="TableText"/>
            </w:pPr>
            <w:r>
              <w:t>Integration tests</w:t>
            </w:r>
          </w:p>
        </w:tc>
        <w:tc>
          <w:tcPr>
            <w:tcW w:type="dxa" w:w="3650"/>
            <w:tcMar>
              <w:top w:w="80" w:type="dxa"/>
              <w:bottom w:w="80" w:type="dxa"/>
              <w:start w:w="120" w:type="dxa"/>
              <w:end w:w="120" w:type="dxa"/>
            </w:tcMar>
          </w:tcPr>
          <w:p>
            <w:pPr>
              <w:pStyle w:val="TableText"/>
            </w:pPr>
            <w:r>
              <w:t>MQTT↔DB commit ACK, outbox, caregiver claims, notification adapter and read models.</w:t>
            </w:r>
          </w:p>
        </w:tc>
        <w:tc>
          <w:tcPr>
            <w:tcW w:type="dxa" w:w="3930"/>
            <w:tcMar>
              <w:top w:w="80" w:type="dxa"/>
              <w:bottom w:w="80" w:type="dxa"/>
              <w:start w:w="120" w:type="dxa"/>
              <w:end w:w="120" w:type="dxa"/>
            </w:tcMar>
          </w:tcPr>
          <w:p>
            <w:pPr>
              <w:pStyle w:val="TableText"/>
            </w:pPr>
            <w:r>
              <w:t>Crash before/after each transaction boundary; no lost acknowledged event or duplicate business intent.</w:t>
            </w:r>
          </w:p>
        </w:tc>
      </w:tr>
      <w:tr>
        <w:trPr>
          <w:cantSplit/>
        </w:trPr>
        <w:tc>
          <w:tcPr>
            <w:tcW w:type="dxa" w:w="1780"/>
            <w:tcMar>
              <w:top w:w="80" w:type="dxa"/>
              <w:bottom w:w="80" w:type="dxa"/>
              <w:start w:w="120" w:type="dxa"/>
              <w:end w:w="120" w:type="dxa"/>
            </w:tcMar>
          </w:tcPr>
          <w:p>
            <w:pPr>
              <w:pStyle w:val="TableText"/>
            </w:pPr>
            <w:r>
              <w:t>Hardware-in-loop</w:t>
            </w:r>
          </w:p>
        </w:tc>
        <w:tc>
          <w:tcPr>
            <w:tcW w:type="dxa" w:w="3650"/>
            <w:tcMar>
              <w:top w:w="80" w:type="dxa"/>
              <w:bottom w:w="80" w:type="dxa"/>
              <w:start w:w="120" w:type="dxa"/>
              <w:end w:w="120" w:type="dxa"/>
            </w:tcMar>
          </w:tcPr>
          <w:p>
            <w:pPr>
              <w:pStyle w:val="TableText"/>
            </w:pPr>
            <w:r>
              <w:t>Actual sensors, buttons, charger/power path, radio channel and reset behavior.</w:t>
            </w:r>
          </w:p>
        </w:tc>
        <w:tc>
          <w:tcPr>
            <w:tcW w:type="dxa" w:w="3930"/>
            <w:tcMar>
              <w:top w:w="80" w:type="dxa"/>
              <w:bottom w:w="80" w:type="dxa"/>
              <w:start w:w="120" w:type="dxa"/>
              <w:end w:w="120" w:type="dxa"/>
            </w:tcMar>
          </w:tcPr>
          <w:p>
            <w:pPr>
              <w:pStyle w:val="TableText"/>
            </w:pPr>
            <w:r>
              <w:t>100 door cycles; motion placement trials; 100 fault-injected power cycles; all expected results documented.</w:t>
            </w:r>
          </w:p>
        </w:tc>
      </w:tr>
      <w:tr>
        <w:trPr>
          <w:cantSplit/>
        </w:trPr>
        <w:tc>
          <w:tcPr>
            <w:tcW w:type="dxa" w:w="1780"/>
            <w:tcMar>
              <w:top w:w="80" w:type="dxa"/>
              <w:bottom w:w="80" w:type="dxa"/>
              <w:start w:w="120" w:type="dxa"/>
              <w:end w:w="120" w:type="dxa"/>
            </w:tcMar>
          </w:tcPr>
          <w:p>
            <w:pPr>
              <w:pStyle w:val="TableText"/>
            </w:pPr>
            <w:r>
              <w:t>Adversarial/network tests</w:t>
            </w:r>
          </w:p>
        </w:tc>
        <w:tc>
          <w:tcPr>
            <w:tcW w:type="dxa" w:w="3650"/>
            <w:tcMar>
              <w:top w:w="80" w:type="dxa"/>
              <w:bottom w:w="80" w:type="dxa"/>
              <w:start w:w="120" w:type="dxa"/>
              <w:end w:w="120" w:type="dxa"/>
            </w:tcMar>
          </w:tcPr>
          <w:p>
            <w:pPr>
              <w:pStyle w:val="TableText"/>
            </w:pPr>
            <w:r>
              <w:t>30% loss, duplication, reorder, stale sessions, WAN loss and replay bursts.</w:t>
            </w:r>
          </w:p>
        </w:tc>
        <w:tc>
          <w:tcPr>
            <w:tcW w:type="dxa" w:w="3930"/>
            <w:tcMar>
              <w:top w:w="80" w:type="dxa"/>
              <w:bottom w:w="80" w:type="dxa"/>
              <w:start w:w="120" w:type="dxa"/>
              <w:end w:w="120" w:type="dxa"/>
            </w:tcMar>
          </w:tcPr>
          <w:p>
            <w:pPr>
              <w:pStyle w:val="TableText"/>
            </w:pPr>
            <w:r>
              <w:t>No false normal/safe state, no duplicate incident, explicit data loss/degraded coverage.</w:t>
            </w:r>
          </w:p>
        </w:tc>
      </w:tr>
      <w:tr>
        <w:trPr>
          <w:cantSplit/>
        </w:trPr>
        <w:tc>
          <w:tcPr>
            <w:tcW w:type="dxa" w:w="1780"/>
            <w:tcMar>
              <w:top w:w="80" w:type="dxa"/>
              <w:bottom w:w="80" w:type="dxa"/>
              <w:start w:w="120" w:type="dxa"/>
              <w:end w:w="120" w:type="dxa"/>
            </w:tcMar>
          </w:tcPr>
          <w:p>
            <w:pPr>
              <w:pStyle w:val="TableText"/>
            </w:pPr>
            <w:r>
              <w:t>Security/privacy tests</w:t>
            </w:r>
          </w:p>
        </w:tc>
        <w:tc>
          <w:tcPr>
            <w:tcW w:type="dxa" w:w="3650"/>
            <w:tcMar>
              <w:top w:w="80" w:type="dxa"/>
              <w:bottom w:w="80" w:type="dxa"/>
              <w:start w:w="120" w:type="dxa"/>
              <w:end w:w="120" w:type="dxa"/>
            </w:tcMar>
          </w:tcPr>
          <w:p>
            <w:r>
              <w:t>Cross-home operations, revocation, consent withdrawal/re-consent, deletion and restore.</w:t>
            </w:r>
          </w:p>
        </w:tc>
        <w:tc>
          <w:tcPr>
            <w:tcW w:type="dxa" w:w="3930"/>
            <w:tcMar>
              <w:top w:w="80" w:type="dxa"/>
              <w:bottom w:w="80" w:type="dxa"/>
              <w:start w:w="120" w:type="dxa"/>
              <w:end w:w="120" w:type="dxa"/>
            </w:tcMar>
          </w:tcPr>
          <w:p>
            <w:pPr>
              <w:pStyle w:val="TableText"/>
            </w:pPr>
            <w:r>
              <w:t>All negative tests fail closed; no credentials/private payload in logs or lock-screen default.</w:t>
            </w:r>
          </w:p>
        </w:tc>
      </w:tr>
      <w:tr>
        <w:trPr>
          <w:cantSplit/>
        </w:trPr>
        <w:tc>
          <w:tcPr>
            <w:tcW w:type="dxa" w:w="1780"/>
            <w:tcMar>
              <w:top w:w="80" w:type="dxa"/>
              <w:bottom w:w="80" w:type="dxa"/>
              <w:start w:w="120" w:type="dxa"/>
              <w:end w:w="120" w:type="dxa"/>
            </w:tcMar>
          </w:tcPr>
          <w:p>
            <w:pPr>
              <w:pStyle w:val="TableText"/>
            </w:pPr>
            <w:r>
              <w:t>End-user tests</w:t>
            </w:r>
          </w:p>
        </w:tc>
        <w:tc>
          <w:tcPr>
            <w:tcW w:type="dxa" w:w="3650"/>
            <w:tcMar>
              <w:top w:w="80" w:type="dxa"/>
              <w:bottom w:w="80" w:type="dxa"/>
              <w:start w:w="120" w:type="dxa"/>
              <w:end w:w="120" w:type="dxa"/>
            </w:tcMar>
          </w:tcPr>
          <w:p>
            <w:pPr>
              <w:pStyle w:val="TableText"/>
            </w:pPr>
            <w:r>
              <w:t>Button meanings, notification permission, three evidence types and acknowledgement actions.</w:t>
            </w:r>
          </w:p>
        </w:tc>
        <w:tc>
          <w:tcPr>
            <w:tcW w:type="dxa" w:w="3930"/>
            <w:tcMar>
              <w:top w:w="80" w:type="dxa"/>
              <w:bottom w:w="80" w:type="dxa"/>
              <w:start w:w="120" w:type="dxa"/>
              <w:end w:w="120" w:type="dxa"/>
            </w:tcMar>
          </w:tcPr>
          <w:p>
            <w:pPr>
              <w:pStyle w:val="TableText"/>
            </w:pPr>
            <w:r>
              <w:t>Resident/caregivers correctly explain “observed”, “self-reported” and “unknown”; fix all critical misunderstandings.</w:t>
            </w:r>
          </w:p>
        </w:tc>
      </w:tr>
    </w:tbl>
    <w:p>
      <w:pPr>
        <w:pStyle w:val="TableSpacer"/>
      </w:pPr>
    </w:p>
    <w:p>
      <w:pPr>
        <w:pStyle w:val="Heading2"/>
        <w:pageBreakBefore/>
      </w:pPr>
      <w:r>
        <w:rPr>
          <w:color w:val="000000"/>
        </w:rPr>
        <w:t>Numeric targets — measure, do not advertise yet</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090"/>
        <w:gridCol w:w="3590"/>
        <w:gridCol w:w="3680"/>
      </w:tblGrid>
      <w:tr>
        <w:trPr>
          <w:cantSplit/>
          <w:tblHeader/>
        </w:trPr>
        <w:tc>
          <w:tcPr>
            <w:tcW w:type="dxa" w:w="2090"/>
            <w:tcMar>
              <w:top w:w="80" w:type="dxa"/>
              <w:bottom w:w="80" w:type="dxa"/>
              <w:start w:w="120" w:type="dxa"/>
              <w:end w:w="120" w:type="dxa"/>
            </w:tcMar>
            <w:shd w:fill="E8EEF5"/>
          </w:tcPr>
          <w:p>
            <w:pPr>
              <w:pStyle w:val="TableText"/>
            </w:pPr>
            <w:r>
              <w:rPr>
                <w:b/>
              </w:rPr>
              <w:t>Metric</w:t>
            </w:r>
          </w:p>
        </w:tc>
        <w:tc>
          <w:tcPr>
            <w:tcW w:type="dxa" w:w="3590"/>
            <w:tcMar>
              <w:top w:w="80" w:type="dxa"/>
              <w:bottom w:w="80" w:type="dxa"/>
              <w:start w:w="120" w:type="dxa"/>
              <w:end w:w="120" w:type="dxa"/>
            </w:tcMar>
            <w:shd w:fill="E8EEF5"/>
          </w:tcPr>
          <w:p>
            <w:pPr>
              <w:pStyle w:val="TableText"/>
            </w:pPr>
            <w:r>
              <w:rPr>
                <w:b/>
              </w:rPr>
              <w:t>Bench / pilot target</w:t>
            </w:r>
          </w:p>
        </w:tc>
        <w:tc>
          <w:tcPr>
            <w:tcW w:type="dxa" w:w="3680"/>
            <w:tcMar>
              <w:top w:w="80" w:type="dxa"/>
              <w:bottom w:w="80" w:type="dxa"/>
              <w:start w:w="120" w:type="dxa"/>
              <w:end w:w="120" w:type="dxa"/>
            </w:tcMar>
            <w:shd w:fill="E8EEF5"/>
          </w:tcPr>
          <w:p>
            <w:pPr>
              <w:pStyle w:val="TableText"/>
            </w:pPr>
            <w:r>
              <w:rPr>
                <w:b/>
              </w:rPr>
              <w:t>Measurement boundary</w:t>
            </w:r>
          </w:p>
        </w:tc>
      </w:tr>
      <w:tr>
        <w:trPr>
          <w:cantSplit/>
        </w:trPr>
        <w:tc>
          <w:tcPr>
            <w:tcW w:type="dxa" w:w="2090"/>
            <w:tcMar>
              <w:top w:w="80" w:type="dxa"/>
              <w:bottom w:w="80" w:type="dxa"/>
              <w:start w:w="120" w:type="dxa"/>
              <w:end w:w="120" w:type="dxa"/>
            </w:tcMar>
          </w:tcPr>
          <w:p>
            <w:pPr>
              <w:pStyle w:val="TableText"/>
            </w:pPr>
            <w:r>
              <w:t>Local input feedback</w:t>
            </w:r>
          </w:p>
        </w:tc>
        <w:tc>
          <w:tcPr>
            <w:tcW w:type="dxa" w:w="3590"/>
            <w:tcMar>
              <w:top w:w="80" w:type="dxa"/>
              <w:bottom w:w="80" w:type="dxa"/>
              <w:start w:w="120" w:type="dxa"/>
              <w:end w:w="120" w:type="dxa"/>
            </w:tcMar>
          </w:tcPr>
          <w:p>
            <w:r>
              <w:t>≤500 ms under normal load; applied consent-gating state visible without implying collection stopped before acknowledgement</w:t>
            </w:r>
          </w:p>
        </w:tc>
        <w:tc>
          <w:tcPr>
            <w:tcW w:type="dxa" w:w="3680"/>
            <w:tcMar>
              <w:top w:w="80" w:type="dxa"/>
              <w:bottom w:w="80" w:type="dxa"/>
              <w:start w:w="120" w:type="dxa"/>
              <w:end w:w="120" w:type="dxa"/>
            </w:tcMar>
          </w:tcPr>
          <w:p>
            <w:pPr>
              <w:pStyle w:val="TableText"/>
            </w:pPr>
            <w:r>
              <w:t>Electrical input accepted → correct local feedback; storage error uses failure feedback.</w:t>
            </w:r>
          </w:p>
        </w:tc>
      </w:tr>
      <w:tr>
        <w:trPr>
          <w:cantSplit/>
        </w:trPr>
        <w:tc>
          <w:tcPr>
            <w:tcW w:type="dxa" w:w="2090"/>
            <w:tcMar>
              <w:top w:w="80" w:type="dxa"/>
              <w:bottom w:w="80" w:type="dxa"/>
              <w:start w:w="120" w:type="dxa"/>
              <w:end w:w="120" w:type="dxa"/>
            </w:tcMar>
          </w:tcPr>
          <w:p>
            <w:pPr>
              <w:pStyle w:val="TableText"/>
            </w:pPr>
            <w:r>
              <w:t>Routine execution</w:t>
            </w:r>
          </w:p>
        </w:tc>
        <w:tc>
          <w:tcPr>
            <w:tcW w:type="dxa" w:w="3590"/>
            <w:tcMar>
              <w:top w:w="80" w:type="dxa"/>
              <w:bottom w:w="80" w:type="dxa"/>
              <w:start w:w="120" w:type="dxa"/>
              <w:end w:w="120" w:type="dxa"/>
            </w:tcMar>
          </w:tcPr>
          <w:p>
            <w:pPr>
              <w:pStyle w:val="TableText"/>
            </w:pPr>
            <w:r>
              <w:t>≤2 s after local deadline/grace timer</w:t>
            </w:r>
          </w:p>
        </w:tc>
        <w:tc>
          <w:tcPr>
            <w:tcW w:type="dxa" w:w="3680"/>
            <w:tcMar>
              <w:top w:w="80" w:type="dxa"/>
              <w:bottom w:w="80" w:type="dxa"/>
              <w:start w:w="120" w:type="dxa"/>
              <w:end w:w="120" w:type="dxa"/>
            </w:tcMar>
          </w:tcPr>
          <w:p>
            <w:pPr>
              <w:pStyle w:val="TableText"/>
            </w:pPr>
            <w:r>
              <w:t>Valid time and no injected storage/CPU failure; no cloud dependency.</w:t>
            </w:r>
          </w:p>
        </w:tc>
      </w:tr>
      <w:tr>
        <w:trPr>
          <w:cantSplit/>
        </w:trPr>
        <w:tc>
          <w:tcPr>
            <w:tcW w:type="dxa" w:w="2090"/>
            <w:tcMar>
              <w:top w:w="80" w:type="dxa"/>
              <w:bottom w:w="80" w:type="dxa"/>
              <w:start w:w="120" w:type="dxa"/>
              <w:end w:w="120" w:type="dxa"/>
            </w:tcMar>
          </w:tcPr>
          <w:p>
            <w:pPr>
              <w:pStyle w:val="TableText"/>
            </w:pPr>
            <w:r>
              <w:t>Healthy event commit</w:t>
            </w:r>
          </w:p>
        </w:tc>
        <w:tc>
          <w:tcPr>
            <w:tcW w:type="dxa" w:w="3590"/>
            <w:tcMar>
              <w:top w:w="80" w:type="dxa"/>
              <w:bottom w:w="80" w:type="dxa"/>
              <w:start w:w="120" w:type="dxa"/>
              <w:end w:w="120" w:type="dxa"/>
            </w:tcMar>
          </w:tcPr>
          <w:p>
            <w:pPr>
              <w:pStyle w:val="TableText"/>
            </w:pPr>
            <w:r>
              <w:t>p95 ≤2 s at intended placement</w:t>
            </w:r>
          </w:p>
        </w:tc>
        <w:tc>
          <w:tcPr>
            <w:tcW w:type="dxa" w:w="3680"/>
            <w:tcMar>
              <w:top w:w="80" w:type="dxa"/>
              <w:bottom w:w="80" w:type="dxa"/>
              <w:start w:w="120" w:type="dxa"/>
              <w:end w:w="120" w:type="dxa"/>
            </w:tcMar>
          </w:tcPr>
          <w:p>
            <w:pPr>
              <w:pStyle w:val="TableText"/>
            </w:pPr>
            <w:r>
              <w:t>Sensor edge → durable hub business ACK; separate placement miss rate.</w:t>
            </w:r>
          </w:p>
        </w:tc>
      </w:tr>
      <w:tr>
        <w:trPr>
          <w:cantSplit/>
        </w:trPr>
        <w:tc>
          <w:tcPr>
            <w:tcW w:type="dxa" w:w="2090"/>
            <w:tcMar>
              <w:top w:w="80" w:type="dxa"/>
              <w:bottom w:w="80" w:type="dxa"/>
              <w:start w:w="120" w:type="dxa"/>
              <w:end w:w="120" w:type="dxa"/>
            </w:tcMar>
          </w:tcPr>
          <w:p>
            <w:pPr>
              <w:pStyle w:val="TableText"/>
            </w:pPr>
            <w:r>
              <w:t>Remote request</w:t>
            </w:r>
          </w:p>
        </w:tc>
        <w:tc>
          <w:tcPr>
            <w:tcW w:type="dxa" w:w="3590"/>
            <w:tcMar>
              <w:top w:w="80" w:type="dxa"/>
              <w:bottom w:w="80" w:type="dxa"/>
              <w:start w:w="120" w:type="dxa"/>
              <w:end w:w="120" w:type="dxa"/>
            </w:tcMar>
          </w:tcPr>
          <w:p>
            <w:pPr>
              <w:pStyle w:val="TableText"/>
            </w:pPr>
            <w:r>
              <w:t>p95 ≤10 s to provider acceptance on healthy internet</w:t>
            </w:r>
          </w:p>
        </w:tc>
        <w:tc>
          <w:tcPr>
            <w:tcW w:type="dxa" w:w="3680"/>
            <w:tcMar>
              <w:top w:w="80" w:type="dxa"/>
              <w:bottom w:w="80" w:type="dxa"/>
              <w:start w:w="120" w:type="dxa"/>
              <w:end w:w="120" w:type="dxa"/>
            </w:tcMar>
          </w:tcPr>
          <w:p>
            <w:pPr>
              <w:pStyle w:val="TableText"/>
            </w:pPr>
            <w:r>
              <w:t>Hub contact event → provider acceptance; separately measure actual phone display, no guaranteed delivery.</w:t>
            </w:r>
          </w:p>
        </w:tc>
      </w:tr>
      <w:tr>
        <w:trPr>
          <w:cantSplit/>
        </w:trPr>
        <w:tc>
          <w:tcPr>
            <w:tcW w:type="dxa" w:w="2090"/>
            <w:tcMar>
              <w:top w:w="80" w:type="dxa"/>
              <w:bottom w:w="80" w:type="dxa"/>
              <w:start w:w="120" w:type="dxa"/>
              <w:end w:w="120" w:type="dxa"/>
            </w:tcMar>
          </w:tcPr>
          <w:p>
            <w:pPr>
              <w:pStyle w:val="TableText"/>
            </w:pPr>
            <w:r>
              <w:t>Health expiry</w:t>
            </w:r>
          </w:p>
        </w:tc>
        <w:tc>
          <w:tcPr>
            <w:tcW w:type="dxa" w:w="3590"/>
            <w:tcMar>
              <w:top w:w="80" w:type="dxa"/>
              <w:bottom w:w="80" w:type="dxa"/>
              <w:start w:w="120" w:type="dxa"/>
              <w:end w:w="120" w:type="dxa"/>
            </w:tcMar>
          </w:tcPr>
          <w:p>
            <w:pPr>
              <w:pStyle w:val="TableText"/>
            </w:pPr>
            <w:r>
              <w:t>190 s lease + ≤2 s local / ≤10 s backend evaluation</w:t>
            </w:r>
          </w:p>
        </w:tc>
        <w:tc>
          <w:tcPr>
            <w:tcW w:type="dxa" w:w="3680"/>
            <w:tcMar>
              <w:top w:w="80" w:type="dxa"/>
              <w:bottom w:w="80" w:type="dxa"/>
              <w:start w:w="120" w:type="dxa"/>
              <w:end w:w="120" w:type="dxa"/>
            </w:tcMar>
          </w:tcPr>
          <w:p>
            <w:pPr>
              <w:pStyle w:val="TableText"/>
            </w:pPr>
            <w:r>
              <w:t>Last authenticated heartbeat; unknown cause, not “power cut” assertion.</w:t>
            </w:r>
          </w:p>
        </w:tc>
      </w:tr>
      <w:tr>
        <w:trPr>
          <w:cantSplit/>
        </w:trPr>
        <w:tc>
          <w:tcPr>
            <w:tcW w:type="dxa" w:w="2090"/>
            <w:tcMar>
              <w:top w:w="80" w:type="dxa"/>
              <w:bottom w:w="80" w:type="dxa"/>
              <w:start w:w="120" w:type="dxa"/>
              <w:end w:w="120" w:type="dxa"/>
            </w:tcMar>
          </w:tcPr>
          <w:p>
            <w:pPr>
              <w:pStyle w:val="TableText"/>
            </w:pPr>
            <w:r>
              <w:t>Offline storage</w:t>
            </w:r>
          </w:p>
        </w:tc>
        <w:tc>
          <w:tcPr>
            <w:tcW w:type="dxa" w:w="3590"/>
            <w:tcMar>
              <w:top w:w="80" w:type="dxa"/>
              <w:bottom w:w="80" w:type="dxa"/>
              <w:start w:w="120" w:type="dxa"/>
              <w:end w:w="120" w:type="dxa"/>
            </w:tcMar>
          </w:tcPr>
          <w:p>
            <w:pPr>
              <w:pStyle w:val="TableText"/>
            </w:pPr>
            <w:r>
              <w:t>≥72 h at 500 business events/home/day plus state overhead</w:t>
            </w:r>
          </w:p>
        </w:tc>
        <w:tc>
          <w:tcPr>
            <w:tcW w:type="dxa" w:w="3680"/>
            <w:tcMar>
              <w:top w:w="80" w:type="dxa"/>
              <w:bottom w:w="80" w:type="dxa"/>
              <w:start w:w="120" w:type="dxa"/>
              <w:end w:w="120" w:type="dxa"/>
            </w:tcMar>
          </w:tcPr>
          <w:p>
            <w:pPr>
              <w:pStyle w:val="TableText"/>
            </w:pPr>
            <w:r>
              <w:t>Measured serialized journal, not theoretical flash capacity only.</w:t>
            </w:r>
          </w:p>
        </w:tc>
      </w:tr>
      <w:tr>
        <w:trPr>
          <w:cantSplit/>
        </w:trPr>
        <w:tc>
          <w:tcPr>
            <w:tcW w:type="dxa" w:w="2090"/>
            <w:tcMar>
              <w:top w:w="80" w:type="dxa"/>
              <w:bottom w:w="80" w:type="dxa"/>
              <w:start w:w="120" w:type="dxa"/>
              <w:end w:w="120" w:type="dxa"/>
            </w:tcMar>
          </w:tcPr>
          <w:p>
            <w:pPr>
              <w:pStyle w:val="TableText"/>
            </w:pPr>
            <w:r>
              <w:t>Battery targets</w:t>
            </w:r>
          </w:p>
        </w:tc>
        <w:tc>
          <w:tcPr>
            <w:tcW w:type="dxa" w:w="3590"/>
            <w:tcMar>
              <w:top w:w="80" w:type="dxa"/>
              <w:bottom w:w="80" w:type="dxa"/>
              <w:start w:w="120" w:type="dxa"/>
              <w:end w:w="120" w:type="dxa"/>
            </w:tcMar>
          </w:tcPr>
          <w:p>
            <w:pPr>
              <w:pStyle w:val="TableText"/>
            </w:pPr>
            <w:r>
              <w:t>Nodes ≥7 d bench / provisional ≥30 d pilot; hub backup ≥4 h</w:t>
            </w:r>
          </w:p>
        </w:tc>
        <w:tc>
          <w:tcPr>
            <w:tcW w:type="dxa" w:w="3680"/>
            <w:tcMar>
              <w:top w:w="80" w:type="dxa"/>
              <w:bottom w:w="80" w:type="dxa"/>
              <w:start w:w="120" w:type="dxa"/>
              <w:end w:w="120" w:type="dxa"/>
            </w:tcMar>
          </w:tcPr>
          <w:p>
            <w:pPr>
              <w:pStyle w:val="TableText"/>
            </w:pPr>
            <w:r>
              <w:t>Whole-device battery-side discharge at documented workload; no lifetime guarantee.</w:t>
            </w:r>
          </w:p>
        </w:tc>
      </w:tr>
    </w:tbl>
    <w:p>
      <w:pPr>
        <w:pStyle w:val="TableSpacer"/>
      </w:pPr>
    </w:p>
    <w:p>
      <w:pPr>
        <w:pStyle w:val="Heading2"/>
        <w:pageBreakBefore/>
      </w:pPr>
      <w:r>
        <w:rPr>
          <w:color w:val="000000"/>
        </w:rPr>
        <w:t>Cross-feature failure scenario matrix</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500"/>
        <w:gridCol w:w="4510"/>
        <w:gridCol w:w="2350"/>
      </w:tblGrid>
      <w:tr>
        <w:trPr>
          <w:cantSplit/>
          <w:tblHeader/>
        </w:trPr>
        <w:tc>
          <w:tcPr>
            <w:tcW w:type="dxa" w:w="2500"/>
            <w:tcMar>
              <w:top w:w="80" w:type="dxa"/>
              <w:bottom w:w="80" w:type="dxa"/>
              <w:start w:w="120" w:type="dxa"/>
              <w:end w:w="120" w:type="dxa"/>
            </w:tcMar>
            <w:shd w:fill="E8EEF5"/>
          </w:tcPr>
          <w:p>
            <w:pPr>
              <w:pStyle w:val="TableText"/>
            </w:pPr>
            <w:r>
              <w:rPr>
                <w:b/>
              </w:rPr>
              <w:t>Scenario</w:t>
            </w:r>
          </w:p>
        </w:tc>
        <w:tc>
          <w:tcPr>
            <w:tcW w:type="dxa" w:w="4510"/>
            <w:tcMar>
              <w:top w:w="80" w:type="dxa"/>
              <w:bottom w:w="80" w:type="dxa"/>
              <w:start w:w="120" w:type="dxa"/>
              <w:end w:w="120" w:type="dxa"/>
            </w:tcMar>
            <w:shd w:fill="E8EEF5"/>
          </w:tcPr>
          <w:p>
            <w:pPr>
              <w:pStyle w:val="TableText"/>
            </w:pPr>
            <w:r>
              <w:rPr>
                <w:b/>
              </w:rPr>
              <w:t>Required invariant</w:t>
            </w:r>
          </w:p>
        </w:tc>
        <w:tc>
          <w:tcPr>
            <w:tcW w:type="dxa" w:w="2350"/>
            <w:tcMar>
              <w:top w:w="80" w:type="dxa"/>
              <w:bottom w:w="80" w:type="dxa"/>
              <w:start w:w="120" w:type="dxa"/>
              <w:end w:w="120" w:type="dxa"/>
            </w:tcMar>
            <w:shd w:fill="E8EEF5"/>
          </w:tcPr>
          <w:p>
            <w:pPr>
              <w:pStyle w:val="TableText"/>
            </w:pPr>
            <w:r>
              <w:rPr>
                <w:b/>
              </w:rPr>
              <w:t>Coverage IDs</w:t>
            </w:r>
          </w:p>
        </w:tc>
      </w:tr>
      <w:tr>
        <w:trPr>
          <w:cantSplit/>
        </w:trPr>
        <w:tc>
          <w:tcPr>
            <w:tcW w:type="dxa" w:w="2500"/>
            <w:tcMar>
              <w:top w:w="80" w:type="dxa"/>
              <w:bottom w:w="80" w:type="dxa"/>
              <w:start w:w="120" w:type="dxa"/>
              <w:end w:w="120" w:type="dxa"/>
            </w:tcMar>
          </w:tcPr>
          <w:p>
            <w:pPr>
              <w:pStyle w:val="TableText"/>
            </w:pPr>
            <w:r>
              <w:t>Normal, late wake, outside window</w:t>
            </w:r>
          </w:p>
        </w:tc>
        <w:tc>
          <w:tcPr>
            <w:tcW w:type="dxa" w:w="4510"/>
            <w:tcMar>
              <w:top w:w="80" w:type="dxa"/>
              <w:bottom w:w="80" w:type="dxa"/>
              <w:start w:w="120" w:type="dxa"/>
              <w:end w:w="120" w:type="dxa"/>
            </w:tcMar>
          </w:tcPr>
          <w:p>
            <w:pPr>
              <w:pStyle w:val="TableText"/>
            </w:pPr>
            <w:r>
              <w:t>Correct chronology; no mandatory room sequence; one stable window.</w:t>
            </w:r>
          </w:p>
        </w:tc>
        <w:tc>
          <w:tcPr>
            <w:tcW w:type="dxa" w:w="2350"/>
            <w:tcMar>
              <w:top w:w="80" w:type="dxa"/>
              <w:bottom w:w="80" w:type="dxa"/>
              <w:start w:w="120" w:type="dxa"/>
              <w:end w:w="120" w:type="dxa"/>
            </w:tcMar>
          </w:tcPr>
          <w:p>
            <w:pPr>
              <w:pStyle w:val="TableText"/>
            </w:pPr>
            <w:r>
              <w:t>F04, F05, F08, E06</w:t>
            </w:r>
          </w:p>
        </w:tc>
      </w:tr>
      <w:tr>
        <w:trPr>
          <w:cantSplit/>
        </w:trPr>
        <w:tc>
          <w:tcPr>
            <w:tcW w:type="dxa" w:w="2500"/>
            <w:tcMar>
              <w:top w:w="80" w:type="dxa"/>
              <w:bottom w:w="80" w:type="dxa"/>
              <w:start w:w="120" w:type="dxa"/>
              <w:end w:w="120" w:type="dxa"/>
            </w:tcMar>
          </w:tcPr>
          <w:p>
            <w:r>
              <w:t>Away, guests, pause and consent withdrawal</w:t>
            </w:r>
          </w:p>
        </w:tc>
        <w:tc>
          <w:tcPr>
            <w:tcW w:type="dxa" w:w="4510"/>
            <w:tcMar>
              <w:top w:w="80" w:type="dxa"/>
              <w:bottom w:w="80" w:type="dxa"/>
              <w:start w:w="120" w:type="dxa"/>
              <w:end w:w="120" w:type="dxa"/>
            </w:tcMar>
          </w:tcPr>
          <w:p>
            <w:r>
              <w:t>No hub/cloud passive storage after applied consent withdrawal; no visitor identity inference. Preserve the earlier timeline and show the observation gap honestly.</w:t>
            </w:r>
          </w:p>
        </w:tc>
        <w:tc>
          <w:tcPr>
            <w:tcW w:type="dxa" w:w="2350"/>
            <w:tcMar>
              <w:top w:w="80" w:type="dxa"/>
              <w:bottom w:w="80" w:type="dxa"/>
              <w:start w:w="120" w:type="dxa"/>
              <w:end w:w="120" w:type="dxa"/>
            </w:tcMar>
          </w:tcPr>
          <w:p>
            <w:pPr>
              <w:pStyle w:val="TableText"/>
            </w:pPr>
            <w:r>
              <w:t>F02, F10, E08</w:t>
            </w:r>
          </w:p>
        </w:tc>
      </w:tr>
      <w:tr>
        <w:trPr>
          <w:cantSplit/>
        </w:trPr>
        <w:tc>
          <w:tcPr>
            <w:tcW w:type="dxa" w:w="2500"/>
            <w:tcMar>
              <w:top w:w="80" w:type="dxa"/>
              <w:bottom w:w="80" w:type="dxa"/>
              <w:start w:w="120" w:type="dxa"/>
              <w:end w:w="120" w:type="dxa"/>
            </w:tcMar>
          </w:tcPr>
          <w:p>
            <w:pPr>
              <w:pStyle w:val="TableText"/>
            </w:pPr>
            <w:r>
              <w:t>PIR/door battery removed mid-window</w:t>
            </w:r>
          </w:p>
        </w:tc>
        <w:tc>
          <w:tcPr>
            <w:tcW w:type="dxa" w:w="4510"/>
            <w:tcMar>
              <w:top w:w="80" w:type="dxa"/>
              <w:bottom w:w="80" w:type="dxa"/>
              <w:start w:w="120" w:type="dxa"/>
              <w:end w:w="120" w:type="dxa"/>
            </w:tcMar>
          </w:tcPr>
          <w:p>
            <w:pPr>
              <w:pStyle w:val="TableText"/>
            </w:pPr>
            <w:r>
              <w:t>Incomplete observation, never confident inactivity from lost coverage.</w:t>
            </w:r>
          </w:p>
        </w:tc>
        <w:tc>
          <w:tcPr>
            <w:tcW w:type="dxa" w:w="2350"/>
            <w:tcMar>
              <w:top w:w="80" w:type="dxa"/>
              <w:bottom w:w="80" w:type="dxa"/>
              <w:start w:w="120" w:type="dxa"/>
              <w:end w:w="120" w:type="dxa"/>
            </w:tcMar>
          </w:tcPr>
          <w:p>
            <w:pPr>
              <w:pStyle w:val="TableText"/>
            </w:pPr>
            <w:r>
              <w:t>F08, F09, E01</w:t>
            </w:r>
          </w:p>
        </w:tc>
      </w:tr>
      <w:tr>
        <w:trPr>
          <w:cantSplit/>
        </w:trPr>
        <w:tc>
          <w:tcPr>
            <w:tcW w:type="dxa" w:w="2500"/>
            <w:tcMar>
              <w:top w:w="80" w:type="dxa"/>
              <w:bottom w:w="80" w:type="dxa"/>
              <w:start w:w="120" w:type="dxa"/>
              <w:end w:w="120" w:type="dxa"/>
            </w:tcMar>
          </w:tcPr>
          <w:p>
            <w:pPr>
              <w:pStyle w:val="TableText"/>
            </w:pPr>
            <w:r>
              <w:t>Router reboot / auto-channel change</w:t>
            </w:r>
          </w:p>
        </w:tc>
        <w:tc>
          <w:tcPr>
            <w:tcW w:type="dxa" w:w="4510"/>
            <w:tcMar>
              <w:top w:w="80" w:type="dxa"/>
              <w:bottom w:w="80" w:type="dxa"/>
              <w:start w:w="120" w:type="dxa"/>
              <w:end w:w="120" w:type="dxa"/>
            </w:tcMar>
          </w:tcPr>
          <w:p>
            <w:pPr>
              <w:pStyle w:val="TableText"/>
            </w:pPr>
            <w:r>
              <w:t>Bounded reacquisition; historical gap survives recovery.</w:t>
            </w:r>
          </w:p>
        </w:tc>
        <w:tc>
          <w:tcPr>
            <w:tcW w:type="dxa" w:w="2350"/>
            <w:tcMar>
              <w:top w:w="80" w:type="dxa"/>
              <w:bottom w:w="80" w:type="dxa"/>
              <w:start w:w="120" w:type="dxa"/>
              <w:end w:w="120" w:type="dxa"/>
            </w:tcMar>
          </w:tcPr>
          <w:p>
            <w:pPr>
              <w:pStyle w:val="TableText"/>
            </w:pPr>
            <w:r>
              <w:t>E02, E03, E04</w:t>
            </w:r>
          </w:p>
        </w:tc>
      </w:tr>
      <w:tr>
        <w:trPr>
          <w:cantSplit/>
        </w:trPr>
        <w:tc>
          <w:tcPr>
            <w:tcW w:type="dxa" w:w="2500"/>
            <w:tcMar>
              <w:top w:w="80" w:type="dxa"/>
              <w:bottom w:w="80" w:type="dxa"/>
              <w:start w:w="120" w:type="dxa"/>
              <w:end w:w="120" w:type="dxa"/>
            </w:tcMar>
          </w:tcPr>
          <w:p>
            <w:pPr>
              <w:pStyle w:val="TableText"/>
            </w:pPr>
            <w:r>
              <w:t>Hub reboot at deadline / invalid clock</w:t>
            </w:r>
          </w:p>
        </w:tc>
        <w:tc>
          <w:tcPr>
            <w:tcW w:type="dxa" w:w="4510"/>
            <w:tcMar>
              <w:top w:w="80" w:type="dxa"/>
              <w:bottom w:w="80" w:type="dxa"/>
              <w:start w:w="120" w:type="dxa"/>
              <w:end w:w="120" w:type="dxa"/>
            </w:tcMar>
          </w:tcPr>
          <w:p>
            <w:pPr>
              <w:pStyle w:val="TableText"/>
            </w:pPr>
            <w:r>
              <w:t>No duplicate alert; no absence inference with unknown time.</w:t>
            </w:r>
          </w:p>
        </w:tc>
        <w:tc>
          <w:tcPr>
            <w:tcW w:type="dxa" w:w="2350"/>
            <w:tcMar>
              <w:top w:w="80" w:type="dxa"/>
              <w:bottom w:w="80" w:type="dxa"/>
              <w:start w:w="120" w:type="dxa"/>
              <w:end w:w="120" w:type="dxa"/>
            </w:tcMar>
          </w:tcPr>
          <w:p>
            <w:pPr>
              <w:pStyle w:val="TableText"/>
            </w:pPr>
            <w:r>
              <w:t>F08, E05, E06</w:t>
            </w:r>
          </w:p>
        </w:tc>
      </w:tr>
      <w:tr>
        <w:trPr>
          <w:cantSplit/>
        </w:trPr>
        <w:tc>
          <w:tcPr>
            <w:tcW w:type="dxa" w:w="2500"/>
            <w:tcMar>
              <w:top w:w="80" w:type="dxa"/>
              <w:bottom w:w="80" w:type="dxa"/>
              <w:start w:w="120" w:type="dxa"/>
              <w:end w:w="120" w:type="dxa"/>
            </w:tcMar>
          </w:tcPr>
          <w:p>
            <w:pPr>
              <w:pStyle w:val="TableText"/>
            </w:pPr>
            <w:r>
              <w:t>Duplicate, delayed and reordered packets</w:t>
            </w:r>
          </w:p>
        </w:tc>
        <w:tc>
          <w:tcPr>
            <w:tcW w:type="dxa" w:w="4510"/>
            <w:tcMar>
              <w:top w:w="80" w:type="dxa"/>
              <w:bottom w:w="80" w:type="dxa"/>
              <w:start w:w="120" w:type="dxa"/>
              <w:end w:w="120" w:type="dxa"/>
            </w:tcMar>
          </w:tcPr>
          <w:p>
            <w:pPr>
              <w:pStyle w:val="TableText"/>
            </w:pPr>
            <w:r>
              <w:t>Original IDs/time preserved; late correction is visible.</w:t>
            </w:r>
          </w:p>
        </w:tc>
        <w:tc>
          <w:tcPr>
            <w:tcW w:type="dxa" w:w="2350"/>
            <w:tcMar>
              <w:top w:w="80" w:type="dxa"/>
              <w:bottom w:w="80" w:type="dxa"/>
              <w:start w:w="120" w:type="dxa"/>
              <w:end w:w="120" w:type="dxa"/>
            </w:tcMar>
          </w:tcPr>
          <w:p>
            <w:pPr>
              <w:pStyle w:val="TableText"/>
            </w:pPr>
            <w:r>
              <w:t>F05, F07, E02</w:t>
            </w:r>
          </w:p>
        </w:tc>
      </w:tr>
      <w:tr>
        <w:trPr>
          <w:cantSplit/>
        </w:trPr>
        <w:tc>
          <w:tcPr>
            <w:tcW w:type="dxa" w:w="2500"/>
            <w:tcMar>
              <w:top w:w="80" w:type="dxa"/>
              <w:bottom w:w="80" w:type="dxa"/>
              <w:start w:w="120" w:type="dxa"/>
              <w:end w:w="120" w:type="dxa"/>
            </w:tcMar>
          </w:tcPr>
          <w:p>
            <w:pPr>
              <w:pStyle w:val="TableText"/>
            </w:pPr>
            <w:r>
              <w:t>Push blocked / expired / phone muted</w:t>
            </w:r>
          </w:p>
        </w:tc>
        <w:tc>
          <w:tcPr>
            <w:tcW w:type="dxa" w:w="4510"/>
            <w:tcMar>
              <w:top w:w="80" w:type="dxa"/>
              <w:bottom w:w="80" w:type="dxa"/>
              <w:start w:w="120" w:type="dxa"/>
              <w:end w:w="120" w:type="dxa"/>
            </w:tcMar>
          </w:tcPr>
          <w:p>
            <w:pPr>
              <w:pStyle w:val="TableText"/>
            </w:pPr>
            <w:r>
              <w:t>Route health/error visible; no claim a human was notified.</w:t>
            </w:r>
          </w:p>
        </w:tc>
        <w:tc>
          <w:tcPr>
            <w:tcW w:type="dxa" w:w="2350"/>
            <w:tcMar>
              <w:top w:w="80" w:type="dxa"/>
              <w:bottom w:w="80" w:type="dxa"/>
              <w:start w:w="120" w:type="dxa"/>
              <w:end w:w="120" w:type="dxa"/>
            </w:tcMar>
          </w:tcPr>
          <w:p>
            <w:pPr>
              <w:pStyle w:val="TableText"/>
            </w:pPr>
            <w:r>
              <w:t>F11, F13, E04</w:t>
            </w:r>
          </w:p>
        </w:tc>
      </w:tr>
      <w:tr>
        <w:trPr>
          <w:cantSplit/>
        </w:trPr>
        <w:tc>
          <w:tcPr>
            <w:tcW w:type="dxa" w:w="2500"/>
            <w:tcMar>
              <w:top w:w="80" w:type="dxa"/>
              <w:bottom w:w="80" w:type="dxa"/>
              <w:start w:w="120" w:type="dxa"/>
              <w:end w:w="120" w:type="dxa"/>
            </w:tcMar>
          </w:tcPr>
          <w:p>
            <w:pPr>
              <w:pStyle w:val="TableText"/>
            </w:pPr>
            <w:r>
              <w:t>Primary no-ack / claimed then silent</w:t>
            </w:r>
          </w:p>
        </w:tc>
        <w:tc>
          <w:tcPr>
            <w:tcW w:type="dxa" w:w="4510"/>
            <w:tcMar>
              <w:top w:w="80" w:type="dxa"/>
              <w:bottom w:w="80" w:type="dxa"/>
              <w:start w:w="120" w:type="dxa"/>
              <w:end w:w="120" w:type="dxa"/>
            </w:tcMar>
          </w:tcPr>
          <w:p>
            <w:pPr>
              <w:pStyle w:val="TableText"/>
            </w:pPr>
            <w:r>
              <w:t>Backup routing and claim-lease expiry; bounded route exhaustion.</w:t>
            </w:r>
          </w:p>
        </w:tc>
        <w:tc>
          <w:tcPr>
            <w:tcW w:type="dxa" w:w="2350"/>
            <w:tcMar>
              <w:top w:w="80" w:type="dxa"/>
              <w:bottom w:w="80" w:type="dxa"/>
              <w:start w:w="120" w:type="dxa"/>
              <w:end w:w="120" w:type="dxa"/>
            </w:tcMar>
          </w:tcPr>
          <w:p>
            <w:pPr>
              <w:pStyle w:val="TableText"/>
            </w:pPr>
            <w:r>
              <w:t>F12, F13</w:t>
            </w:r>
          </w:p>
        </w:tc>
      </w:tr>
      <w:tr>
        <w:trPr>
          <w:cantSplit/>
        </w:trPr>
        <w:tc>
          <w:tcPr>
            <w:tcW w:type="dxa" w:w="2500"/>
            <w:tcMar>
              <w:top w:w="80" w:type="dxa"/>
              <w:bottom w:w="80" w:type="dxa"/>
              <w:start w:w="120" w:type="dxa"/>
              <w:end w:w="120" w:type="dxa"/>
            </w:tcMar>
          </w:tcPr>
          <w:p>
            <w:r>
              <w:t>Consent withdrawal during an outage</w:t>
            </w:r>
          </w:p>
        </w:tc>
        <w:tc>
          <w:tcPr>
            <w:tcW w:type="dxa" w:w="4510"/>
            <w:tcMar>
              <w:top w:w="80" w:type="dxa"/>
              <w:bottom w:w="80" w:type="dxa"/>
              <w:start w:w="120" w:type="dxa"/>
              <w:end w:w="120" w:type="dxa"/>
            </w:tcMar>
          </w:tcPr>
          <w:p>
            <w:r>
              <w:t>A remote withdrawal remains pending until the hub receives/applies it; do not falsely show collection as stopped before applied acknowledgement. After apply, passive observation is gated locally.</w:t>
            </w:r>
          </w:p>
        </w:tc>
        <w:tc>
          <w:tcPr>
            <w:tcW w:type="dxa" w:w="2350"/>
            <w:tcMar>
              <w:top w:w="80" w:type="dxa"/>
              <w:bottom w:w="80" w:type="dxa"/>
              <w:start w:w="120" w:type="dxa"/>
              <w:end w:w="120" w:type="dxa"/>
            </w:tcMar>
          </w:tcPr>
          <w:p>
            <w:pPr>
              <w:pStyle w:val="TableText"/>
            </w:pPr>
            <w:r>
              <w:t>F02, F10, E03</w:t>
            </w:r>
          </w:p>
        </w:tc>
      </w:tr>
      <w:tr>
        <w:trPr>
          <w:cantSplit/>
        </w:trPr>
        <w:tc>
          <w:tcPr>
            <w:tcW w:type="dxa" w:w="2500"/>
            <w:tcMar>
              <w:top w:w="80" w:type="dxa"/>
              <w:bottom w:w="80" w:type="dxa"/>
              <w:start w:w="120" w:type="dxa"/>
              <w:end w:w="120" w:type="dxa"/>
            </w:tcMar>
          </w:tcPr>
          <w:p>
            <w:pPr>
              <w:pStyle w:val="TableText"/>
            </w:pPr>
            <w:r>
              <w:t>Flash full / backend DB full</w:t>
            </w:r>
          </w:p>
        </w:tc>
        <w:tc>
          <w:tcPr>
            <w:tcW w:type="dxa" w:w="4510"/>
            <w:tcMar>
              <w:top w:w="80" w:type="dxa"/>
              <w:bottom w:w="80" w:type="dxa"/>
              <w:start w:w="120" w:type="dxa"/>
              <w:end w:w="120" w:type="dxa"/>
            </w:tcMar>
          </w:tcPr>
          <w:p>
            <w:pPr>
              <w:pStyle w:val="TableText"/>
            </w:pPr>
            <w:r>
              <w:t>No false durable ACK; explicit data-loss/service state.</w:t>
            </w:r>
          </w:p>
        </w:tc>
        <w:tc>
          <w:tcPr>
            <w:tcW w:type="dxa" w:w="2350"/>
            <w:tcMar>
              <w:top w:w="80" w:type="dxa"/>
              <w:bottom w:w="80" w:type="dxa"/>
              <w:start w:w="120" w:type="dxa"/>
              <w:end w:w="120" w:type="dxa"/>
            </w:tcMar>
          </w:tcPr>
          <w:p>
            <w:pPr>
              <w:pStyle w:val="TableText"/>
            </w:pPr>
            <w:r>
              <w:t>E02, E05, E10</w:t>
            </w:r>
          </w:p>
        </w:tc>
      </w:tr>
      <w:tr>
        <w:trPr>
          <w:cantSplit/>
        </w:trPr>
        <w:tc>
          <w:tcPr>
            <w:tcW w:type="dxa" w:w="2500"/>
            <w:tcMar>
              <w:top w:w="80" w:type="dxa"/>
              <w:bottom w:w="80" w:type="dxa"/>
              <w:start w:w="120" w:type="dxa"/>
              <w:end w:w="120" w:type="dxa"/>
            </w:tcMar>
          </w:tcPr>
          <w:p>
            <w:pPr>
              <w:pStyle w:val="TableText"/>
            </w:pPr>
            <w:r>
              <w:t>Wrong firmware / interrupted update</w:t>
            </w:r>
          </w:p>
        </w:tc>
        <w:tc>
          <w:tcPr>
            <w:tcW w:type="dxa" w:w="4510"/>
            <w:tcMar>
              <w:top w:w="80" w:type="dxa"/>
              <w:bottom w:w="80" w:type="dxa"/>
              <w:start w:w="120" w:type="dxa"/>
              <w:end w:w="120" w:type="dxa"/>
            </w:tcMar>
          </w:tcPr>
          <w:p>
            <w:pPr>
              <w:pStyle w:val="TableText"/>
            </w:pPr>
            <w:r>
              <w:t>Known good signed recovery; gaps marked; no disabled TLS.</w:t>
            </w:r>
          </w:p>
        </w:tc>
        <w:tc>
          <w:tcPr>
            <w:tcW w:type="dxa" w:w="2350"/>
            <w:tcMar>
              <w:top w:w="80" w:type="dxa"/>
              <w:bottom w:w="80" w:type="dxa"/>
              <w:start w:w="120" w:type="dxa"/>
              <w:end w:w="120" w:type="dxa"/>
            </w:tcMar>
          </w:tcPr>
          <w:p>
            <w:pPr>
              <w:pStyle w:val="TableText"/>
            </w:pPr>
            <w:r>
              <w:t>E08, E09</w:t>
            </w:r>
          </w:p>
        </w:tc>
      </w:tr>
      <w:tr>
        <w:trPr>
          <w:cantSplit/>
        </w:trPr>
        <w:tc>
          <w:tcPr>
            <w:tcW w:type="dxa" w:w="2500"/>
            <w:tcMar>
              <w:top w:w="80" w:type="dxa"/>
              <w:bottom w:w="80" w:type="dxa"/>
              <w:start w:w="120" w:type="dxa"/>
              <w:end w:w="120" w:type="dxa"/>
            </w:tcMar>
          </w:tcPr>
          <w:p>
            <w:pPr>
              <w:pStyle w:val="TableText"/>
            </w:pPr>
            <w:r>
              <w:t>Cross-home ID / removed caregiver</w:t>
            </w:r>
          </w:p>
        </w:tc>
        <w:tc>
          <w:tcPr>
            <w:tcW w:type="dxa" w:w="4510"/>
            <w:tcMar>
              <w:top w:w="80" w:type="dxa"/>
              <w:bottom w:w="80" w:type="dxa"/>
              <w:start w:w="120" w:type="dxa"/>
              <w:end w:w="120" w:type="dxa"/>
            </w:tcMar>
          </w:tcPr>
          <w:p>
            <w:pPr>
              <w:pStyle w:val="TableText"/>
            </w:pPr>
            <w:r>
              <w:t>Access denied across all paths; queued future routing cancelled.</w:t>
            </w:r>
          </w:p>
        </w:tc>
        <w:tc>
          <w:tcPr>
            <w:tcW w:type="dxa" w:w="2350"/>
            <w:tcMar>
              <w:top w:w="80" w:type="dxa"/>
              <w:bottom w:w="80" w:type="dxa"/>
              <w:start w:w="120" w:type="dxa"/>
              <w:end w:w="120" w:type="dxa"/>
            </w:tcMar>
          </w:tcPr>
          <w:p>
            <w:pPr>
              <w:pStyle w:val="TableText"/>
            </w:pPr>
            <w:r>
              <w:t>F01, E08</w:t>
            </w:r>
          </w:p>
        </w:tc>
      </w:tr>
      <w:tr>
        <w:trPr>
          <w:cantSplit/>
        </w:trPr>
        <w:tc>
          <w:tcPr>
            <w:tcW w:type="dxa" w:w="2500"/>
            <w:tcMar>
              <w:top w:w="80" w:type="dxa"/>
              <w:bottom w:w="80" w:type="dxa"/>
              <w:start w:w="120" w:type="dxa"/>
              <w:end w:w="120" w:type="dxa"/>
            </w:tcMar>
          </w:tcPr>
          <w:p>
            <w:pPr>
              <w:pStyle w:val="TableText"/>
            </w:pPr>
            <w:r>
              <w:t>Hub replacement / restored backup</w:t>
            </w:r>
          </w:p>
        </w:tc>
        <w:tc>
          <w:tcPr>
            <w:tcW w:type="dxa" w:w="4510"/>
            <w:tcMar>
              <w:top w:w="80" w:type="dxa"/>
              <w:bottom w:w="80" w:type="dxa"/>
              <w:start w:w="120" w:type="dxa"/>
              <w:end w:w="120" w:type="dxa"/>
            </w:tcMar>
          </w:tcPr>
          <w:p>
            <w:pPr>
              <w:pStyle w:val="TableText"/>
            </w:pPr>
            <w:r>
              <w:t>Old authority fenced; deletions re-applied; no event identity collision.</w:t>
            </w:r>
          </w:p>
        </w:tc>
        <w:tc>
          <w:tcPr>
            <w:tcW w:type="dxa" w:w="2350"/>
            <w:tcMar>
              <w:top w:w="80" w:type="dxa"/>
              <w:bottom w:w="80" w:type="dxa"/>
              <w:start w:w="120" w:type="dxa"/>
              <w:end w:w="120" w:type="dxa"/>
            </w:tcMar>
          </w:tcPr>
          <w:p>
            <w:pPr>
              <w:pStyle w:val="TableText"/>
            </w:pPr>
            <w:r>
              <w:t>F03, E05, E08</w:t>
            </w:r>
          </w:p>
        </w:tc>
      </w:tr>
    </w:tbl>
    <w:p>
      <w:pPr>
        <w:pStyle w:val="TableSpacer"/>
      </w:pPr>
    </w:p>
    <w:p>
      <w:pPr>
        <w:pStyle w:val="Heading2"/>
      </w:pPr>
      <w:r>
        <w:rPr>
          <w:color w:val="000000"/>
        </w:rPr>
        <w:t>Human validation before buying more hardware</w:t>
      </w:r>
    </w:p>
    <w:p>
      <w:pPr>
        <w:pStyle w:val="SpecBody"/>
      </w:pPr>
      <w:r>
        <w:t>Use one hub, simulated nodes and three mocked alert screens with three prospective caregiver buyers plus consenting residents. Ask: “What happened?”, “What is unknown?” and “What would you do next?” Test observed activity, missing evidence with good coverage, and sensor-offline/unknown. Any confusion between inactivity and lost observation is a P0 design defect. Then validate a physical check-in and Call family button without implying actual emergency coverage.</w:t>
      </w:r>
    </w:p>
    <w:p>
      <w:pPr>
        <w:pStyle w:val="Heading2"/>
        <w:pageBreakBefore/>
      </w:pPr>
      <w:r>
        <w:rPr>
          <w:color w:val="000000"/>
        </w:rPr>
        <w:t>Prototype, pilot and commercial exit gates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320"/>
        <w:gridCol w:w="4940"/>
        <w:gridCol w:w="3100"/>
      </w:tblGrid>
      <w:tr>
        <w:trPr>
          <w:cantSplit/>
          <w:tblHeader/>
        </w:trPr>
        <w:tc>
          <w:tcPr>
            <w:tcW w:type="dxa" w:w="1320"/>
            <w:tcMar>
              <w:top w:w="80" w:type="dxa"/>
              <w:bottom w:w="80" w:type="dxa"/>
              <w:start w:w="120" w:type="dxa"/>
              <w:end w:w="120" w:type="dxa"/>
            </w:tcMar>
            <w:shd w:fill="E8EEF5"/>
          </w:tcPr>
          <w:p>
            <w:pPr>
              <w:pStyle w:val="TableText"/>
            </w:pPr>
            <w:r>
              <w:rPr>
                <w:b/>
              </w:rPr>
              <w:t>Gate</w:t>
            </w:r>
          </w:p>
        </w:tc>
        <w:tc>
          <w:tcPr>
            <w:tcW w:type="dxa" w:w="4940"/>
            <w:tcMar>
              <w:top w:w="80" w:type="dxa"/>
              <w:bottom w:w="80" w:type="dxa"/>
              <w:start w:w="120" w:type="dxa"/>
              <w:end w:w="120" w:type="dxa"/>
            </w:tcMar>
            <w:shd w:fill="E8EEF5"/>
          </w:tcPr>
          <w:p>
            <w:pPr>
              <w:pStyle w:val="TableText"/>
            </w:pPr>
            <w:r>
              <w:rPr>
                <w:b/>
              </w:rPr>
              <w:t>Exit criterion</w:t>
            </w:r>
          </w:p>
        </w:tc>
        <w:tc>
          <w:tcPr>
            <w:tcW w:type="dxa" w:w="3100"/>
            <w:tcMar>
              <w:top w:w="80" w:type="dxa"/>
              <w:bottom w:w="80" w:type="dxa"/>
              <w:start w:w="120" w:type="dxa"/>
              <w:end w:w="120" w:type="dxa"/>
            </w:tcMar>
            <w:shd w:fill="E8EEF5"/>
          </w:tcPr>
          <w:p>
            <w:pPr>
              <w:pStyle w:val="TableText"/>
            </w:pPr>
            <w:r>
              <w:rPr>
                <w:b/>
              </w:rPr>
              <w:t>Do not proceed if…</w:t>
            </w:r>
          </w:p>
        </w:tc>
      </w:tr>
      <w:tr>
        <w:trPr>
          <w:cantSplit/>
        </w:trPr>
        <w:tc>
          <w:tcPr>
            <w:tcW w:type="dxa" w:w="1320"/>
            <w:tcMar>
              <w:top w:w="80" w:type="dxa"/>
              <w:bottom w:w="80" w:type="dxa"/>
              <w:start w:w="120" w:type="dxa"/>
              <w:end w:w="120" w:type="dxa"/>
            </w:tcMar>
          </w:tcPr>
          <w:p>
            <w:pPr>
              <w:pStyle w:val="TableText"/>
            </w:pPr>
            <w:r>
              <w:t>G0 Design/bench setup</w:t>
            </w:r>
          </w:p>
        </w:tc>
        <w:tc>
          <w:tcPr>
            <w:tcW w:type="dxa" w:w="4940"/>
            <w:tcMar>
              <w:top w:w="80" w:type="dxa"/>
              <w:bottom w:w="80" w:type="dxa"/>
              <w:start w:w="120" w:type="dxa"/>
              <w:end w:w="120" w:type="dxa"/>
            </w:tcMar>
          </w:tcPr>
          <w:p>
            <w:pPr>
              <w:pStyle w:val="TableText"/>
            </w:pPr>
            <w:r>
              <w:t>Confirm exact boards/sensor/pack specifications; freeze IO profile, threat model and supported claims. Establish one test home with two caregiver accounts.</w:t>
            </w:r>
          </w:p>
        </w:tc>
        <w:tc>
          <w:tcPr>
            <w:tcW w:type="dxa" w:w="3100"/>
            <w:tcMar>
              <w:top w:w="80" w:type="dxa"/>
              <w:bottom w:w="80" w:type="dxa"/>
              <w:start w:w="120" w:type="dxa"/>
              <w:end w:w="120" w:type="dxa"/>
            </w:tcMar>
          </w:tcPr>
          <w:p>
            <w:pPr>
              <w:pStyle w:val="TableText"/>
            </w:pPr>
            <w:r>
              <w:t>Battery/charger specification unknown; no safe power-path review.</w:t>
            </w:r>
          </w:p>
        </w:tc>
      </w:tr>
      <w:tr>
        <w:trPr>
          <w:cantSplit/>
        </w:trPr>
        <w:tc>
          <w:tcPr>
            <w:tcW w:type="dxa" w:w="1320"/>
            <w:tcMar>
              <w:top w:w="80" w:type="dxa"/>
              <w:bottom w:w="80" w:type="dxa"/>
              <w:start w:w="120" w:type="dxa"/>
              <w:end w:w="120" w:type="dxa"/>
            </w:tcMar>
          </w:tcPr>
          <w:p>
            <w:pPr>
              <w:pStyle w:val="TableText"/>
            </w:pPr>
            <w:r>
              <w:t>G1 Complete prototype</w:t>
            </w:r>
          </w:p>
        </w:tc>
        <w:tc>
          <w:tcPr>
            <w:tcW w:type="dxa" w:w="4940"/>
            <w:tcMar>
              <w:top w:w="80" w:type="dxa"/>
              <w:bottom w:w="80" w:type="dxa"/>
              <w:start w:w="120" w:type="dxa"/>
              <w:end w:w="120" w:type="dxa"/>
            </w:tcMar>
          </w:tcPr>
          <w:p>
            <w:pPr>
              <w:pStyle w:val="TableText"/>
            </w:pPr>
            <w:r>
              <w:t>All 24 P0 designs implemented at bench scope; per-feature tests pass; 7-day soak; 72-hour offline replay; schema/security/OTA recovery tests.</w:t>
            </w:r>
          </w:p>
        </w:tc>
        <w:tc>
          <w:tcPr>
            <w:tcW w:type="dxa" w:w="3100"/>
            <w:tcMar>
              <w:top w:w="80" w:type="dxa"/>
              <w:bottom w:w="80" w:type="dxa"/>
              <w:start w:w="120" w:type="dxa"/>
              <w:end w:w="120" w:type="dxa"/>
            </w:tcMar>
          </w:tcPr>
          <w:p>
            <w:pPr>
              <w:pStyle w:val="TableText"/>
            </w:pPr>
            <w:r>
              <w:t>Acknowledged events lost; unknown coverage looks normal; contact requests silently disappear.</w:t>
            </w:r>
          </w:p>
        </w:tc>
      </w:tr>
      <w:tr>
        <w:trPr>
          <w:cantSplit/>
        </w:trPr>
        <w:tc>
          <w:tcPr>
            <w:tcW w:type="dxa" w:w="1320"/>
            <w:tcMar>
              <w:top w:w="80" w:type="dxa"/>
              <w:bottom w:w="80" w:type="dxa"/>
              <w:start w:w="120" w:type="dxa"/>
              <w:end w:w="120" w:type="dxa"/>
            </w:tcMar>
          </w:tcPr>
          <w:p>
            <w:pPr>
              <w:pStyle w:val="TableText"/>
            </w:pPr>
            <w:r>
              <w:t>G2 Two-home assisted pilot</w:t>
            </w:r>
          </w:p>
        </w:tc>
        <w:tc>
          <w:tcPr>
            <w:tcW w:type="dxa" w:w="4940"/>
            <w:tcMar>
              <w:top w:w="80" w:type="dxa"/>
              <w:bottom w:w="80" w:type="dxa"/>
              <w:start w:w="120" w:type="dxa"/>
              <w:end w:w="120" w:type="dxa"/>
            </w:tcMar>
          </w:tcPr>
          <w:p>
            <w:pPr>
              <w:pStyle w:val="TableText"/>
            </w:pPr>
            <w:r>
              <w:t>Resident consent, physical controls, installation/push tests, primary/backup contacts and written non-emergency limits. Review daily for two weeks.</w:t>
            </w:r>
          </w:p>
        </w:tc>
        <w:tc>
          <w:tcPr>
            <w:tcW w:type="dxa" w:w="3100"/>
            <w:tcMar>
              <w:top w:w="80" w:type="dxa"/>
              <w:bottom w:w="80" w:type="dxa"/>
              <w:start w:w="120" w:type="dxa"/>
              <w:end w:w="120" w:type="dxa"/>
            </w:tcMar>
          </w:tcPr>
          <w:p>
            <w:pPr>
              <w:pStyle w:val="TableText"/>
            </w:pPr>
            <w:r>
              <w:t>User cannot explain uncertainty or use controls; routing/power behavior not understood.</w:t>
            </w:r>
          </w:p>
        </w:tc>
      </w:tr>
      <w:tr>
        <w:trPr>
          <w:cantSplit/>
        </w:trPr>
        <w:tc>
          <w:tcPr>
            <w:tcW w:type="dxa" w:w="1320"/>
            <w:tcMar>
              <w:top w:w="80" w:type="dxa"/>
              <w:bottom w:w="80" w:type="dxa"/>
              <w:start w:w="120" w:type="dxa"/>
              <w:end w:w="120" w:type="dxa"/>
            </w:tcMar>
          </w:tcPr>
          <w:p>
            <w:pPr>
              <w:pStyle w:val="TableText"/>
            </w:pPr>
            <w:r>
              <w:t>G3 Ten-home learning pilot</w:t>
            </w:r>
          </w:p>
        </w:tc>
        <w:tc>
          <w:tcPr>
            <w:tcW w:type="dxa" w:w="4940"/>
            <w:tcMar>
              <w:top w:w="80" w:type="dxa"/>
              <w:bottom w:w="80" w:type="dxa"/>
              <w:start w:w="120" w:type="dxa"/>
              <w:end w:w="120" w:type="dxa"/>
            </w:tcMar>
          </w:tcPr>
          <w:p>
            <w:pPr>
              <w:pStyle w:val="TableText"/>
            </w:pPr>
            <w:r>
              <w:t>Expand only after G2 fixes. Observe ≥30 days, record false/missed scripted scenarios, support minutes, battery use and continued-use intent separately by home.</w:t>
            </w:r>
          </w:p>
        </w:tc>
        <w:tc>
          <w:tcPr>
            <w:tcW w:type="dxa" w:w="3100"/>
            <w:tcMar>
              <w:top w:w="80" w:type="dxa"/>
              <w:bottom w:w="80" w:type="dxa"/>
              <w:start w:w="120" w:type="dxa"/>
              <w:end w:w="120" w:type="dxa"/>
            </w:tcMar>
          </w:tcPr>
          <w:p>
            <w:pPr>
              <w:pStyle w:val="TableText"/>
            </w:pPr>
            <w:r>
              <w:t>Nuisance burden or support cost exceeds agreed tolerance; no repeatable installation.</w:t>
            </w:r>
          </w:p>
        </w:tc>
      </w:tr>
      <w:tr>
        <w:trPr>
          <w:cantSplit/>
        </w:trPr>
        <w:tc>
          <w:tcPr>
            <w:tcW w:type="dxa" w:w="1320"/>
            <w:tcMar>
              <w:top w:w="80" w:type="dxa"/>
              <w:bottom w:w="80" w:type="dxa"/>
              <w:start w:w="120" w:type="dxa"/>
              <w:end w:w="120" w:type="dxa"/>
            </w:tcMar>
          </w:tcPr>
          <w:p>
            <w:pPr>
              <w:pStyle w:val="TableText"/>
            </w:pPr>
            <w:r>
              <w:t>G4 First paid launch</w:t>
            </w:r>
          </w:p>
        </w:tc>
        <w:tc>
          <w:tcPr>
            <w:tcW w:type="dxa" w:w="4940"/>
            <w:tcMar>
              <w:top w:w="80" w:type="dxa"/>
              <w:bottom w:w="80" w:type="dxa"/>
              <w:start w:w="120" w:type="dxa"/>
              <w:end w:w="120" w:type="dxa"/>
            </w:tcMar>
          </w:tcPr>
          <w:p>
            <w:pPr>
              <w:pStyle w:val="TableText"/>
            </w:pPr>
            <w:r>
              <w:t>All P0 tests + unresolved high-severity defect count zero; quoted BOM; relevant product/battery/radio/privacy/claims review; return/warranty/update/service terms; funded support capacity.</w:t>
            </w:r>
          </w:p>
        </w:tc>
        <w:tc>
          <w:tcPr>
            <w:tcW w:type="dxa" w:w="3100"/>
            <w:tcMar>
              <w:top w:w="80" w:type="dxa"/>
              <w:bottom w:w="80" w:type="dxa"/>
              <w:start w:w="120" w:type="dxa"/>
              <w:end w:w="120" w:type="dxa"/>
            </w:tcMar>
          </w:tcPr>
          <w:p>
            <w:pPr>
              <w:pStyle w:val="TableText"/>
            </w:pPr>
            <w:r>
              <w:t>No funded remote-service term, no response-boundary clarity, no secure update/decommission path.</w:t>
            </w:r>
          </w:p>
        </w:tc>
      </w:tr>
    </w:tbl>
    <w:p>
      <w:pPr>
        <w:pStyle w:val="TableSpacer"/>
      </w:pPr>
    </w:p>
    <w:p>
      <w:pPr>
        <w:pStyle w:val="SpecBody"/>
      </w:pPr>
      <w:r>
        <w:t>Proposed field learning thresholds, not safety claims: installation completed within 45 minutes after training; explainable non-actionable routine alerts ≤1 per home-week as an investigation trigger; support target ≤15 minutes/home/month after onboarding. A small cohort cannot establish rare-event safety or prove a clinical miss rate. Every missed scripted event must be investigated; reducing alerts by disabling coverage does not count as an improvement.</w:t>
      </w:r>
    </w:p>
    <w:p>
      <w:pPr>
        <w:pStyle w:val="SpecBody"/>
      </w:pPr>
      <w:r>
        <w:t>Paid launch is not the same as a working prototype. Treat a charging anomaly, unauthorized disclosure, lost contact request, false “normal” state from lost coverage or unrecoverable update as a stop-ship defect. Other unresolved limitations must be explicit in the release notes and customer terms.</w:t>
      </w:r>
    </w:p>
    <w:p>
      <w:bookmarkStart w:id="33" w:name="scale"/>
      <w:pPr>
        <w:pStyle w:val="Heading1"/>
        <w:pageBreakBefore/>
      </w:pPr>
      <w:r>
        <w:rPr>
          <w:color w:val="000000"/>
        </w:rPr>
        <w:t>11. Scalability, deployment and operations</w:t>
      </w:r>
      <w:bookmarkEnd w:id="33"/>
    </w:p>
    <w:p>
      <w:pPr>
        <w:pStyle w:val="Heading2"/>
      </w:pPr>
      <w:r>
        <w:rPr>
          <w:color w:val="000000"/>
        </w:rPr>
        <w:t>Capacity model: separate radio traffic from cloud storage</w:t>
      </w:r>
    </w:p>
    <w:p>
      <w:pPr>
        <w:pStyle w:val="SpecBody"/>
      </w:pPr>
      <w:r>
        <w:t>Planning workload per home: 4 nodes × 1 heartbeat/minute = 5,760 radio heartbeats/day. The hub sends 1 cloud heartbeat/minute = 1,440/day; add an assumed 500 business events/day. Cloud ingest is therefore 1,940 messages/home/day before ACKs, commands, retries and summaries because routine node heartbeats are locally coalesced rather than each being forwarded as a stored cloud event. Coalescing stored health snapshots to 5 minutes yields 288 hub health samples/day plus state changes. These are capacity assumptions, not measured household demand.</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850"/>
        <w:gridCol w:w="2280"/>
        <w:gridCol w:w="2290"/>
        <w:gridCol w:w="3940"/>
      </w:tblGrid>
      <w:tr>
        <w:trPr>
          <w:cantSplit/>
          <w:tblHeader/>
        </w:trPr>
        <w:tc>
          <w:tcPr>
            <w:tcW w:type="dxa" w:w="850"/>
            <w:tcMar>
              <w:top w:w="80" w:type="dxa"/>
              <w:bottom w:w="80" w:type="dxa"/>
              <w:start w:w="120" w:type="dxa"/>
              <w:end w:w="120" w:type="dxa"/>
            </w:tcMar>
            <w:shd w:fill="E8EEF5"/>
          </w:tcPr>
          <w:p>
            <w:pPr>
              <w:pStyle w:val="TableText"/>
            </w:pPr>
            <w:r>
              <w:rPr>
                <w:b/>
              </w:rPr>
              <w:t>Homes</w:t>
            </w:r>
          </w:p>
        </w:tc>
        <w:tc>
          <w:tcPr>
            <w:tcW w:type="dxa" w:w="2280"/>
            <w:tcMar>
              <w:top w:w="80" w:type="dxa"/>
              <w:bottom w:w="80" w:type="dxa"/>
              <w:start w:w="120" w:type="dxa"/>
              <w:end w:w="120" w:type="dxa"/>
            </w:tcMar>
            <w:shd w:fill="E8EEF5"/>
          </w:tcPr>
          <w:p>
            <w:pPr>
              <w:pStyle w:val="TableText"/>
            </w:pPr>
            <w:r>
              <w:rPr>
                <w:b/>
              </w:rPr>
              <w:t>Avg cloud ingress / second</w:t>
            </w:r>
          </w:p>
        </w:tc>
        <w:tc>
          <w:tcPr>
            <w:tcW w:type="dxa" w:w="2290"/>
            <w:tcMar>
              <w:top w:w="80" w:type="dxa"/>
              <w:bottom w:w="80" w:type="dxa"/>
              <w:start w:w="120" w:type="dxa"/>
              <w:end w:w="120" w:type="dxa"/>
            </w:tcMar>
            <w:shd w:fill="E8EEF5"/>
          </w:tcPr>
          <w:p>
            <w:pPr>
              <w:pStyle w:val="TableText"/>
            </w:pPr>
            <w:r>
              <w:rPr>
                <w:b/>
              </w:rPr>
              <w:t>Business rows / day</w:t>
            </w:r>
          </w:p>
        </w:tc>
        <w:tc>
          <w:tcPr>
            <w:tcW w:type="dxa" w:w="3940"/>
            <w:tcMar>
              <w:top w:w="80" w:type="dxa"/>
              <w:bottom w:w="80" w:type="dxa"/>
              <w:start w:w="120" w:type="dxa"/>
              <w:end w:w="120" w:type="dxa"/>
            </w:tcMar>
            <w:shd w:fill="E8EEF5"/>
          </w:tcPr>
          <w:p>
            <w:pPr>
              <w:pStyle w:val="TableText"/>
            </w:pPr>
            <w:r>
              <w:rPr>
                <w:b/>
              </w:rPr>
              <w:t>What to change</w:t>
            </w:r>
          </w:p>
        </w:tc>
      </w:tr>
      <w:tr>
        <w:trPr>
          <w:cantSplit/>
        </w:trPr>
        <w:tc>
          <w:tcPr>
            <w:tcW w:type="dxa" w:w="850"/>
            <w:tcMar>
              <w:top w:w="80" w:type="dxa"/>
              <w:bottom w:w="80" w:type="dxa"/>
              <w:start w:w="120" w:type="dxa"/>
              <w:end w:w="120" w:type="dxa"/>
            </w:tcMar>
          </w:tcPr>
          <w:p>
            <w:pPr>
              <w:pStyle w:val="TableText"/>
            </w:pPr>
            <w:r>
              <w:t>10</w:t>
            </w:r>
          </w:p>
        </w:tc>
        <w:tc>
          <w:tcPr>
            <w:tcW w:type="dxa" w:w="2280"/>
            <w:tcMar>
              <w:top w:w="80" w:type="dxa"/>
              <w:bottom w:w="80" w:type="dxa"/>
              <w:start w:w="120" w:type="dxa"/>
              <w:end w:w="120" w:type="dxa"/>
            </w:tcMar>
          </w:tcPr>
          <w:p>
            <w:pPr>
              <w:pStyle w:val="TableText"/>
            </w:pPr>
            <w:r>
              <w:t>0.22</w:t>
            </w:r>
          </w:p>
        </w:tc>
        <w:tc>
          <w:tcPr>
            <w:tcW w:type="dxa" w:w="2290"/>
            <w:tcMar>
              <w:top w:w="80" w:type="dxa"/>
              <w:bottom w:w="80" w:type="dxa"/>
              <w:start w:w="120" w:type="dxa"/>
              <w:end w:w="120" w:type="dxa"/>
            </w:tcMar>
          </w:tcPr>
          <w:p>
            <w:pPr>
              <w:pStyle w:val="TableText"/>
            </w:pPr>
            <w:r>
              <w:t>5,000</w:t>
            </w:r>
          </w:p>
        </w:tc>
        <w:tc>
          <w:tcPr>
            <w:tcW w:type="dxa" w:w="3940"/>
            <w:tcMar>
              <w:top w:w="80" w:type="dxa"/>
              <w:bottom w:w="80" w:type="dxa"/>
              <w:start w:w="120" w:type="dxa"/>
              <w:end w:w="120" w:type="dxa"/>
            </w:tcMar>
          </w:tcPr>
          <w:p>
            <w:pPr>
              <w:pStyle w:val="TableText"/>
            </w:pPr>
            <w:r>
              <w:t>One small deployment; validate correctness and support first.</w:t>
            </w:r>
          </w:p>
        </w:tc>
      </w:tr>
      <w:tr>
        <w:trPr>
          <w:cantSplit/>
        </w:trPr>
        <w:tc>
          <w:tcPr>
            <w:tcW w:type="dxa" w:w="850"/>
            <w:tcMar>
              <w:top w:w="80" w:type="dxa"/>
              <w:bottom w:w="80" w:type="dxa"/>
              <w:start w:w="120" w:type="dxa"/>
              <w:end w:w="120" w:type="dxa"/>
            </w:tcMar>
          </w:tcPr>
          <w:p>
            <w:pPr>
              <w:pStyle w:val="TableText"/>
            </w:pPr>
            <w:r>
              <w:t>1,000</w:t>
            </w:r>
          </w:p>
        </w:tc>
        <w:tc>
          <w:tcPr>
            <w:tcW w:type="dxa" w:w="2280"/>
            <w:tcMar>
              <w:top w:w="80" w:type="dxa"/>
              <w:bottom w:w="80" w:type="dxa"/>
              <w:start w:w="120" w:type="dxa"/>
              <w:end w:w="120" w:type="dxa"/>
            </w:tcMar>
          </w:tcPr>
          <w:p>
            <w:pPr>
              <w:pStyle w:val="TableText"/>
            </w:pPr>
            <w:r>
              <w:t>22.5</w:t>
            </w:r>
          </w:p>
        </w:tc>
        <w:tc>
          <w:tcPr>
            <w:tcW w:type="dxa" w:w="2290"/>
            <w:tcMar>
              <w:top w:w="80" w:type="dxa"/>
              <w:bottom w:w="80" w:type="dxa"/>
              <w:start w:w="120" w:type="dxa"/>
              <w:end w:w="120" w:type="dxa"/>
            </w:tcMar>
          </w:tcPr>
          <w:p>
            <w:pPr>
              <w:pStyle w:val="TableText"/>
            </w:pPr>
            <w:r>
              <w:t>500,000</w:t>
            </w:r>
          </w:p>
        </w:tc>
        <w:tc>
          <w:tcPr>
            <w:tcW w:type="dxa" w:w="3940"/>
            <w:tcMar>
              <w:top w:w="80" w:type="dxa"/>
              <w:bottom w:w="80" w:type="dxa"/>
              <w:start w:w="120" w:type="dxa"/>
              <w:end w:w="120" w:type="dxa"/>
            </w:tcMar>
          </w:tcPr>
          <w:p>
            <w:pPr>
              <w:pStyle w:val="TableText"/>
            </w:pPr>
            <w:r>
              <w:t>Replicated stateless API/worker, managed/operated DB backup/HA as budget allows; benchmark burst/replay.</w:t>
            </w:r>
          </w:p>
        </w:tc>
      </w:tr>
      <w:tr>
        <w:trPr>
          <w:cantSplit/>
        </w:trPr>
        <w:tc>
          <w:tcPr>
            <w:tcW w:type="dxa" w:w="850"/>
            <w:tcMar>
              <w:top w:w="80" w:type="dxa"/>
              <w:bottom w:w="80" w:type="dxa"/>
              <w:start w:w="120" w:type="dxa"/>
              <w:end w:w="120" w:type="dxa"/>
            </w:tcMar>
          </w:tcPr>
          <w:p>
            <w:pPr>
              <w:pStyle w:val="TableText"/>
            </w:pPr>
            <w:r>
              <w:t>10,000</w:t>
            </w:r>
          </w:p>
        </w:tc>
        <w:tc>
          <w:tcPr>
            <w:tcW w:type="dxa" w:w="2280"/>
            <w:tcMar>
              <w:top w:w="80" w:type="dxa"/>
              <w:bottom w:w="80" w:type="dxa"/>
              <w:start w:w="120" w:type="dxa"/>
              <w:end w:w="120" w:type="dxa"/>
            </w:tcMar>
          </w:tcPr>
          <w:p>
            <w:pPr>
              <w:pStyle w:val="TableText"/>
            </w:pPr>
            <w:r>
              <w:t>224.5</w:t>
            </w:r>
          </w:p>
        </w:tc>
        <w:tc>
          <w:tcPr>
            <w:tcW w:type="dxa" w:w="2290"/>
            <w:tcMar>
              <w:top w:w="80" w:type="dxa"/>
              <w:bottom w:w="80" w:type="dxa"/>
              <w:start w:w="120" w:type="dxa"/>
              <w:end w:w="120" w:type="dxa"/>
            </w:tcMar>
          </w:tcPr>
          <w:p>
            <w:pPr>
              <w:pStyle w:val="TableText"/>
            </w:pPr>
            <w:r>
              <w:t>5,000,000</w:t>
            </w:r>
          </w:p>
        </w:tc>
        <w:tc>
          <w:tcPr>
            <w:tcW w:type="dxa" w:w="3940"/>
            <w:tcMar>
              <w:top w:w="80" w:type="dxa"/>
              <w:bottom w:w="80" w:type="dxa"/>
              <w:start w:w="120" w:type="dxa"/>
              <w:end w:w="120" w:type="dxa"/>
            </w:tcMar>
          </w:tcPr>
          <w:p>
            <w:pPr>
              <w:pStyle w:val="TableText"/>
            </w:pPr>
            <w:r>
              <w:t>Partition/retention strategy, broker/DB capacity review, regional tenancy and operational staffing.</w:t>
            </w:r>
          </w:p>
        </w:tc>
      </w:tr>
    </w:tbl>
    <w:p>
      <w:pPr>
        <w:pStyle w:val="TableSpacer"/>
      </w:pPr>
    </w:p>
    <w:p>
      <w:pPr>
        <w:pStyle w:val="SpecBody"/>
      </w:pPr>
      <w:r>
        <w:t>At 1,000 homes, 30 days of 500 business events/day = 15 million retained activity rows. At an illustrative 1 KB per stored row before indexes/backups, that is approximately 15 GB; measure actual tuple/index/replica overhead. Reserve headroom for at least a 10× average reconnect burst. Do not size solely from the low average rate.</w:t>
      </w:r>
    </w:p>
    <w:p>
      <w:pPr>
        <w:pStyle w:val="Heading2"/>
      </w:pPr>
      <w:r>
        <w:rPr>
          <w:color w:val="000000"/>
        </w:rPr>
        <w:t>Scale path without premature microservices</w:t>
      </w:r>
    </w:p>
    <w:p>
      <w:pPr>
        <w:pStyle w:val="ListBullet"/>
        <w:numPr>
          <w:ilvl w:val="0"/>
          <w:numId w:val="50"/>
        </w:numPr>
      </w:pPr>
      <w:r>
        <w:t>Pilot: FastAPI process, MQTT ingest/delivery worker roles and PostgreSQL/Mosquitto on a small deployment. One codebase and shared domain model; independent process restart is allowed.</w:t>
      </w:r>
    </w:p>
    <w:p>
      <w:pPr>
        <w:pStyle w:val="ListBullet"/>
        <w:numPr>
          <w:ilvl w:val="0"/>
          <w:numId w:val="50"/>
        </w:numPr>
      </w:pPr>
      <w:r>
        <w:t>First growth: add API replicas behind TLS termination; keep mutations idempotent. Job workers take database leases so multiple replicas cannot own one job. Set per-home quotas and priority for contact/service incidents.</w:t>
      </w:r>
    </w:p>
    <w:p>
      <w:pPr>
        <w:pStyle w:val="ListBullet"/>
        <w:numPr>
          <w:ilvl w:val="0"/>
          <w:numId w:val="50"/>
        </w:numPr>
      </w:pPr>
      <w:r>
        <w:t>Measured bottlenecks: partition event history by time; move bulky diagnostic exports to encrypted object storage; scale ingest and notification workers separately. Keep transactions/outbox semantics intact.</w:t>
      </w:r>
    </w:p>
    <w:p>
      <w:pPr>
        <w:pStyle w:val="ListBullet"/>
        <w:numPr>
          <w:ilvl w:val="0"/>
          <w:numId w:val="50"/>
        </w:numPr>
      </w:pPr>
      <w:r>
        <w:t>Later regional scale: pin each home to a region and one active hub-authority epoch. Isolate regional outages and data residency. Split a module into a service only for measured load, independent ownership or regulatory isolation.</w:t>
      </w:r>
    </w:p>
    <w:p>
      <w:pPr>
        <w:pStyle w:val="SpecBody"/>
      </w:pPr>
      <w:r>
        <w:t>The P0 four-node kit is not designed to become a 100-node ESP-NOW mesh. More room nodes require measured radio duty-cycle/peer limits and possibly a new gateway/transport. The stable event contract can survive that replacement.</w:t>
      </w:r>
    </w:p>
    <w:p>
      <w:pPr>
        <w:pStyle w:val="Heading2"/>
        <w:pageBreakBefore/>
      </w:pPr>
      <w:r>
        <w:rPr>
          <w:color w:val="000000"/>
        </w:rPr>
        <w:t>Operational ownership, deployment and cost envelope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60"/>
        <w:gridCol w:w="4000"/>
        <w:gridCol w:w="3600"/>
      </w:tblGrid>
      <w:tr>
        <w:trPr>
          <w:cantSplit/>
          <w:tblHeader/>
        </w:trPr>
        <w:tc>
          <w:tcPr>
            <w:tcW w:type="dxa" w:w="1760"/>
            <w:tcMar>
              <w:top w:w="80" w:type="dxa"/>
              <w:bottom w:w="80" w:type="dxa"/>
              <w:start w:w="120" w:type="dxa"/>
              <w:end w:w="120" w:type="dxa"/>
            </w:tcMar>
            <w:shd w:fill="E8EEF5"/>
          </w:tcPr>
          <w:p>
            <w:pPr>
              <w:pStyle w:val="TableText"/>
            </w:pPr>
            <w:r>
              <w:rPr>
                <w:b/>
              </w:rPr>
              <w:t>Concern</w:t>
            </w:r>
          </w:p>
        </w:tc>
        <w:tc>
          <w:tcPr>
            <w:tcW w:type="dxa" w:w="4000"/>
            <w:tcMar>
              <w:top w:w="80" w:type="dxa"/>
              <w:bottom w:w="80" w:type="dxa"/>
              <w:start w:w="120" w:type="dxa"/>
              <w:end w:w="120" w:type="dxa"/>
            </w:tcMar>
            <w:shd w:fill="E8EEF5"/>
          </w:tcPr>
          <w:p>
            <w:pPr>
              <w:pStyle w:val="TableText"/>
            </w:pPr>
            <w:r>
              <w:rPr>
                <w:b/>
              </w:rPr>
              <w:t>P0 design</w:t>
            </w:r>
          </w:p>
        </w:tc>
        <w:tc>
          <w:tcPr>
            <w:tcW w:type="dxa" w:w="3600"/>
            <w:tcMar>
              <w:top w:w="80" w:type="dxa"/>
              <w:bottom w:w="80" w:type="dxa"/>
              <w:start w:w="120" w:type="dxa"/>
              <w:end w:w="120" w:type="dxa"/>
            </w:tcMar>
            <w:shd w:fill="E8EEF5"/>
          </w:tcPr>
          <w:p>
            <w:pPr>
              <w:pStyle w:val="TableText"/>
            </w:pPr>
            <w:r>
              <w:rPr>
                <w:b/>
              </w:rPr>
              <w:t>Operational exit evidence</w:t>
            </w:r>
          </w:p>
        </w:tc>
      </w:tr>
      <w:tr>
        <w:trPr>
          <w:cantSplit/>
        </w:trPr>
        <w:tc>
          <w:tcPr>
            <w:tcW w:type="dxa" w:w="1760"/>
            <w:tcMar>
              <w:top w:w="80" w:type="dxa"/>
              <w:bottom w:w="80" w:type="dxa"/>
              <w:start w:w="120" w:type="dxa"/>
              <w:end w:w="120" w:type="dxa"/>
            </w:tcMar>
          </w:tcPr>
          <w:p>
            <w:pPr>
              <w:pStyle w:val="TableText"/>
            </w:pPr>
            <w:r>
              <w:t>Deployment/release</w:t>
            </w:r>
          </w:p>
        </w:tc>
        <w:tc>
          <w:tcPr>
            <w:tcW w:type="dxa" w:w="4000"/>
            <w:tcMar>
              <w:top w:w="80" w:type="dxa"/>
              <w:bottom w:w="80" w:type="dxa"/>
              <w:start w:w="120" w:type="dxa"/>
              <w:end w:w="120" w:type="dxa"/>
            </w:tcMar>
          </w:tcPr>
          <w:p>
            <w:pPr>
              <w:pStyle w:val="TableText"/>
            </w:pPr>
            <w:r>
              <w:t>Pinned dependency locks, schema migrations, config/secrets injection, staging and production separation.</w:t>
            </w:r>
          </w:p>
        </w:tc>
        <w:tc>
          <w:tcPr>
            <w:tcW w:type="dxa" w:w="3600"/>
            <w:tcMar>
              <w:top w:w="80" w:type="dxa"/>
              <w:bottom w:w="80" w:type="dxa"/>
              <w:start w:w="120" w:type="dxa"/>
              <w:end w:w="120" w:type="dxa"/>
            </w:tcMar>
          </w:tcPr>
          <w:p>
            <w:pPr>
              <w:pStyle w:val="TableText"/>
            </w:pPr>
            <w:r>
              <w:t>Reproduce build; migrate forward/backward-compatible schema; rollback app without corrupting events.</w:t>
            </w:r>
          </w:p>
        </w:tc>
      </w:tr>
      <w:tr>
        <w:trPr>
          <w:cantSplit/>
        </w:trPr>
        <w:tc>
          <w:tcPr>
            <w:tcW w:type="dxa" w:w="1760"/>
            <w:tcMar>
              <w:top w:w="80" w:type="dxa"/>
              <w:bottom w:w="80" w:type="dxa"/>
              <w:start w:w="120" w:type="dxa"/>
              <w:end w:w="120" w:type="dxa"/>
            </w:tcMar>
          </w:tcPr>
          <w:p>
            <w:pPr>
              <w:pStyle w:val="TableText"/>
            </w:pPr>
            <w:r>
              <w:t>Monitoring</w:t>
            </w:r>
          </w:p>
        </w:tc>
        <w:tc>
          <w:tcPr>
            <w:tcW w:type="dxa" w:w="4000"/>
            <w:tcMar>
              <w:top w:w="80" w:type="dxa"/>
              <w:bottom w:w="80" w:type="dxa"/>
              <w:start w:w="120" w:type="dxa"/>
              <w:end w:w="120" w:type="dxa"/>
            </w:tcMar>
          </w:tcPr>
          <w:p>
            <w:pPr>
              <w:pStyle w:val="TableText"/>
            </w:pPr>
            <w:r>
              <w:t>Hub lease expiry, queue age/depth, DB errors, delivery failure, job lease stalls, boot loops and firmware spread.</w:t>
            </w:r>
          </w:p>
        </w:tc>
        <w:tc>
          <w:tcPr>
            <w:tcW w:type="dxa" w:w="3600"/>
            <w:tcMar>
              <w:top w:w="80" w:type="dxa"/>
              <w:bottom w:w="80" w:type="dxa"/>
              <w:start w:w="120" w:type="dxa"/>
              <w:end w:w="120" w:type="dxa"/>
            </w:tcMar>
          </w:tcPr>
          <w:p>
            <w:pPr>
              <w:pStyle w:val="TableText"/>
            </w:pPr>
            <w:r>
              <w:t>External independent uptime check detects full deployment loss; alert reaches the operator.</w:t>
            </w:r>
          </w:p>
        </w:tc>
      </w:tr>
      <w:tr>
        <w:trPr>
          <w:cantSplit/>
        </w:trPr>
        <w:tc>
          <w:tcPr>
            <w:tcW w:type="dxa" w:w="1760"/>
            <w:tcMar>
              <w:top w:w="80" w:type="dxa"/>
              <w:bottom w:w="80" w:type="dxa"/>
              <w:start w:w="120" w:type="dxa"/>
              <w:end w:w="120" w:type="dxa"/>
            </w:tcMar>
          </w:tcPr>
          <w:p>
            <w:pPr>
              <w:pStyle w:val="TableText"/>
            </w:pPr>
            <w:r>
              <w:t>Recovery</w:t>
            </w:r>
          </w:p>
        </w:tc>
        <w:tc>
          <w:tcPr>
            <w:tcW w:type="dxa" w:w="4000"/>
            <w:tcMar>
              <w:top w:w="80" w:type="dxa"/>
              <w:bottom w:w="80" w:type="dxa"/>
              <w:start w:w="120" w:type="dxa"/>
              <w:end w:w="120" w:type="dxa"/>
            </w:tcMar>
          </w:tcPr>
          <w:p>
            <w:pPr>
              <w:pStyle w:val="TableText"/>
            </w:pPr>
            <w:r>
              <w:t>Encrypted daily backup plus a stated recovery-point target; restore drill before paid launch.</w:t>
            </w:r>
          </w:p>
        </w:tc>
        <w:tc>
          <w:tcPr>
            <w:tcW w:type="dxa" w:w="3600"/>
            <w:tcMar>
              <w:top w:w="80" w:type="dxa"/>
              <w:bottom w:w="80" w:type="dxa"/>
              <w:start w:w="120" w:type="dxa"/>
              <w:end w:w="120" w:type="dxa"/>
            </w:tcMar>
          </w:tcPr>
          <w:p>
            <w:pPr>
              <w:pStyle w:val="TableText"/>
            </w:pPr>
            <w:r>
              <w:t>Proposed cloud RPO ≤24 h / RTO ≤4 h; these allow data/service loss and are not high-availability claims.</w:t>
            </w:r>
          </w:p>
        </w:tc>
      </w:tr>
      <w:tr>
        <w:trPr>
          <w:cantSplit/>
        </w:trPr>
        <w:tc>
          <w:tcPr>
            <w:tcW w:type="dxa" w:w="1760"/>
            <w:tcMar>
              <w:top w:w="80" w:type="dxa"/>
              <w:bottom w:w="80" w:type="dxa"/>
              <w:start w:w="120" w:type="dxa"/>
              <w:end w:w="120" w:type="dxa"/>
            </w:tcMar>
          </w:tcPr>
          <w:p>
            <w:pPr>
              <w:pStyle w:val="TableText"/>
            </w:pPr>
            <w:r>
              <w:t>Logs/metrics</w:t>
            </w:r>
          </w:p>
        </w:tc>
        <w:tc>
          <w:tcPr>
            <w:tcW w:type="dxa" w:w="4000"/>
            <w:tcMar>
              <w:top w:w="80" w:type="dxa"/>
              <w:bottom w:w="80" w:type="dxa"/>
              <w:start w:w="120" w:type="dxa"/>
              <w:end w:w="120" w:type="dxa"/>
            </w:tcMar>
          </w:tcPr>
          <w:p>
            <w:pPr>
              <w:pStyle w:val="TableText"/>
            </w:pPr>
            <w:r>
              <w:t>Bounded structured logs; request/event/incident IDs; redaction; per-home quotas.</w:t>
            </w:r>
          </w:p>
        </w:tc>
        <w:tc>
          <w:tcPr>
            <w:tcW w:type="dxa" w:w="3600"/>
            <w:tcMar>
              <w:top w:w="80" w:type="dxa"/>
              <w:bottom w:w="80" w:type="dxa"/>
              <w:start w:w="120" w:type="dxa"/>
              <w:end w:w="120" w:type="dxa"/>
            </w:tcMar>
          </w:tcPr>
          <w:p>
            <w:pPr>
              <w:pStyle w:val="TableText"/>
            </w:pPr>
            <w:r>
              <w:t>No secrets; floods do not starve critical input; debug logging expires automatically.</w:t>
            </w:r>
          </w:p>
        </w:tc>
      </w:tr>
      <w:tr>
        <w:trPr>
          <w:cantSplit/>
        </w:trPr>
        <w:tc>
          <w:tcPr>
            <w:tcW w:type="dxa" w:w="1760"/>
            <w:tcMar>
              <w:top w:w="80" w:type="dxa"/>
              <w:bottom w:w="80" w:type="dxa"/>
              <w:start w:w="120" w:type="dxa"/>
              <w:end w:w="120" w:type="dxa"/>
            </w:tcMar>
          </w:tcPr>
          <w:p>
            <w:pPr>
              <w:pStyle w:val="TableText"/>
            </w:pPr>
            <w:r>
              <w:t>Support</w:t>
            </w:r>
          </w:p>
        </w:tc>
        <w:tc>
          <w:tcPr>
            <w:tcW w:type="dxa" w:w="4000"/>
            <w:tcMar>
              <w:top w:w="80" w:type="dxa"/>
              <w:bottom w:w="80" w:type="dxa"/>
              <w:start w:w="120" w:type="dxa"/>
              <w:end w:w="120" w:type="dxa"/>
            </w:tcMar>
          </w:tcPr>
          <w:p>
            <w:pPr>
              <w:pStyle w:val="TableText"/>
            </w:pPr>
            <w:r>
              <w:t>Assisted installation checklist, local troubleshooting guide, explicit founder support hours.</w:t>
            </w:r>
          </w:p>
        </w:tc>
        <w:tc>
          <w:tcPr>
            <w:tcW w:type="dxa" w:w="3600"/>
            <w:tcMar>
              <w:top w:w="80" w:type="dxa"/>
              <w:bottom w:w="80" w:type="dxa"/>
              <w:start w:w="120" w:type="dxa"/>
              <w:end w:w="120" w:type="dxa"/>
            </w:tcMar>
          </w:tcPr>
          <w:p>
            <w:pPr>
              <w:pStyle w:val="TableText"/>
            </w:pPr>
            <w:r>
              <w:t>Owner for each open defect/incident; no implied 24/7 resident response service.</w:t>
            </w:r>
          </w:p>
        </w:tc>
      </w:tr>
      <w:tr>
        <w:trPr>
          <w:cantSplit/>
        </w:trPr>
        <w:tc>
          <w:tcPr>
            <w:tcW w:type="dxa" w:w="1760"/>
            <w:tcMar>
              <w:top w:w="80" w:type="dxa"/>
              <w:bottom w:w="80" w:type="dxa"/>
              <w:start w:w="120" w:type="dxa"/>
              <w:end w:w="120" w:type="dxa"/>
            </w:tcMar>
          </w:tcPr>
          <w:p>
            <w:pPr>
              <w:pStyle w:val="TableText"/>
            </w:pPr>
            <w:r>
              <w:t>Service interruption</w:t>
            </w:r>
          </w:p>
        </w:tc>
        <w:tc>
          <w:tcPr>
            <w:tcW w:type="dxa" w:w="4000"/>
            <w:tcMar>
              <w:top w:w="80" w:type="dxa"/>
              <w:bottom w:w="80" w:type="dxa"/>
              <w:start w:w="120" w:type="dxa"/>
              <w:end w:w="120" w:type="dxa"/>
            </w:tcMar>
          </w:tcPr>
          <w:p>
            <w:pPr>
              <w:pStyle w:val="TableText"/>
            </w:pPr>
            <w:r>
              <w:t>Local rules continue while powered; remote path clearly unavailable.</w:t>
            </w:r>
          </w:p>
        </w:tc>
        <w:tc>
          <w:tcPr>
            <w:tcW w:type="dxa" w:w="3600"/>
            <w:tcMar>
              <w:top w:w="80" w:type="dxa"/>
              <w:bottom w:w="80" w:type="dxa"/>
              <w:start w:w="120" w:type="dxa"/>
              <w:end w:w="120" w:type="dxa"/>
            </w:tcMar>
          </w:tcPr>
          <w:p>
            <w:pPr>
              <w:pStyle w:val="TableText"/>
            </w:pPr>
            <w:r>
              <w:t>Customers understand funded included-service term, renewal and shutdown/export plan.</w:t>
            </w:r>
          </w:p>
        </w:tc>
      </w:tr>
    </w:tbl>
    <w:p>
      <w:pPr>
        <w:pStyle w:val="TableSpacer"/>
      </w:pPr>
    </w:p>
    <w:p>
      <w:pPr>
        <w:pStyle w:val="SpecBody"/>
      </w:pPr>
      <w:r>
        <w:t>P0 has no LLM-token, speech-recognition or cloud-inference bill. It still has hosting/database, domain/certificate operations, identity, notification integration, backup, logging, security maintenance and customer support costs. Web Push does not eliminate operating cost. SMS/voice is excluded so there is no hidden per-message fallback bill.</w:t>
      </w:r>
    </w:p>
    <w:p>
      <w:pPr>
        <w:pStyle w:val="SpecBody"/>
      </w:pPr>
      <w:r>
        <w:t>Budget hypothesis only, not a supplier quote: allow roughly ₹1,500–₹5,000/month for a small engineering cloud deployment and backups, excluding support labor, taxes, excess traffic, premium identity features and any messaging add-ons. Quote the selected providers before commitment. Do not sell “lifetime free cloud monitoring”. The earlier hardware offer of approximately ₹9,999–₹11,999 and optional ₹299/month service remains a validation hypothesis, not a verified price customers will accept.</w:t>
      </w:r>
    </w:p>
    <w:p>
      <w:pPr>
        <w:pStyle w:val="SpecBody"/>
      </w:pPr>
      <w:r>
        <w:t>Operational scalability can dominate server load: even 15 minutes/home/month is 250 hours/month at 1,000 homes. Self-service diagnosis, partner installation and/or funded support capacity are necessary before that scale; adding backend replicas does not solve the human workload.</w:t>
      </w:r>
    </w:p>
    <w:p>
      <w:bookmarkStart w:id="34" w:name="roadmap"/>
      <w:pPr>
        <w:pStyle w:val="Heading1"/>
        <w:pageBreakBefore/>
      </w:pPr>
      <w:r>
        <w:rPr>
          <w:color w:val="000000"/>
        </w:rPr>
        <w:t>12. Implementation roadmap and enhancement scope</w:t>
      </w:r>
      <w:bookmarkEnd w:id="34"/>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340"/>
        <w:gridCol w:w="4700"/>
        <w:gridCol w:w="3320"/>
      </w:tblGrid>
      <w:tr>
        <w:trPr>
          <w:cantSplit/>
          <w:tblHeader/>
        </w:trPr>
        <w:tc>
          <w:tcPr>
            <w:tcW w:type="dxa" w:w="1340"/>
            <w:tcMar>
              <w:top w:w="80" w:type="dxa"/>
              <w:bottom w:w="80" w:type="dxa"/>
              <w:start w:w="120" w:type="dxa"/>
              <w:end w:w="120" w:type="dxa"/>
            </w:tcMar>
            <w:shd w:fill="E8EEF5"/>
          </w:tcPr>
          <w:p>
            <w:pPr>
              <w:pStyle w:val="TableText"/>
            </w:pPr>
            <w:r>
              <w:rPr>
                <w:b/>
              </w:rPr>
              <w:t>Slice</w:t>
            </w:r>
          </w:p>
        </w:tc>
        <w:tc>
          <w:tcPr>
            <w:tcW w:type="dxa" w:w="4700"/>
            <w:tcMar>
              <w:top w:w="80" w:type="dxa"/>
              <w:bottom w:w="80" w:type="dxa"/>
              <w:start w:w="120" w:type="dxa"/>
              <w:end w:w="120" w:type="dxa"/>
            </w:tcMar>
            <w:shd w:fill="E8EEF5"/>
          </w:tcPr>
          <w:p>
            <w:pPr>
              <w:pStyle w:val="TableText"/>
            </w:pPr>
            <w:r>
              <w:rPr>
                <w:b/>
              </w:rPr>
              <w:t>Modules / deliverable</w:t>
            </w:r>
          </w:p>
        </w:tc>
        <w:tc>
          <w:tcPr>
            <w:tcW w:type="dxa" w:w="3320"/>
            <w:tcMar>
              <w:top w:w="80" w:type="dxa"/>
              <w:bottom w:w="80" w:type="dxa"/>
              <w:start w:w="120" w:type="dxa"/>
              <w:end w:w="120" w:type="dxa"/>
            </w:tcMar>
            <w:shd w:fill="E8EEF5"/>
          </w:tcPr>
          <w:p>
            <w:pPr>
              <w:pStyle w:val="TableText"/>
            </w:pPr>
            <w:r>
              <w:rPr>
                <w:b/>
              </w:rPr>
              <w:t>Exit and effort assumption</w:t>
            </w:r>
          </w:p>
        </w:tc>
      </w:tr>
      <w:tr>
        <w:trPr>
          <w:cantSplit/>
        </w:trPr>
        <w:tc>
          <w:tcPr>
            <w:tcW w:type="dxa" w:w="1340"/>
            <w:tcMar>
              <w:top w:w="80" w:type="dxa"/>
              <w:bottom w:w="80" w:type="dxa"/>
              <w:start w:w="120" w:type="dxa"/>
              <w:end w:w="120" w:type="dxa"/>
            </w:tcMar>
          </w:tcPr>
          <w:p>
            <w:pPr>
              <w:pStyle w:val="TableText"/>
            </w:pPr>
            <w:r>
              <w:t>1. Contracts + vertical slice</w:t>
            </w:r>
          </w:p>
        </w:tc>
        <w:tc>
          <w:tcPr>
            <w:tcW w:type="dxa" w:w="4700"/>
            <w:tcMar>
              <w:top w:w="80" w:type="dxa"/>
              <w:bottom w:w="80" w:type="dxa"/>
              <w:start w:w="120" w:type="dxa"/>
              <w:end w:w="120" w:type="dxa"/>
            </w:tcMar>
          </w:tcPr>
          <w:p>
            <w:pPr>
              <w:pStyle w:val="TableText"/>
            </w:pPr>
            <w:r>
              <w:t>S01/S02, N01/N02, H01/H02, B03/B07, A02: one motion event end to end.</w:t>
            </w:r>
          </w:p>
        </w:tc>
        <w:tc>
          <w:tcPr>
            <w:tcW w:type="dxa" w:w="3320"/>
            <w:tcMar>
              <w:top w:w="80" w:type="dxa"/>
              <w:bottom w:w="80" w:type="dxa"/>
              <w:start w:w="120" w:type="dxa"/>
              <w:end w:w="120" w:type="dxa"/>
            </w:tcMar>
          </w:tcPr>
          <w:p>
            <w:pPr>
              <w:pStyle w:val="TableText"/>
            </w:pPr>
            <w:r>
              <w:t>40–60 hours; verified IDs, time and commit ACK.</w:t>
            </w:r>
          </w:p>
        </w:tc>
      </w:tr>
      <w:tr>
        <w:trPr>
          <w:cantSplit/>
        </w:trPr>
        <w:tc>
          <w:tcPr>
            <w:tcW w:type="dxa" w:w="1340"/>
            <w:tcMar>
              <w:top w:w="80" w:type="dxa"/>
              <w:bottom w:w="80" w:type="dxa"/>
              <w:start w:w="120" w:type="dxa"/>
              <w:end w:w="120" w:type="dxa"/>
            </w:tcMar>
          </w:tcPr>
          <w:p>
            <w:pPr>
              <w:pStyle w:val="TableText"/>
            </w:pPr>
            <w:r>
              <w:t>2. Routine + local interface</w:t>
            </w:r>
          </w:p>
        </w:tc>
        <w:tc>
          <w:tcPr>
            <w:tcW w:type="dxa" w:w="4700"/>
            <w:tcMar>
              <w:top w:w="80" w:type="dxa"/>
              <w:bottom w:w="80" w:type="dxa"/>
              <w:start w:w="120" w:type="dxa"/>
              <w:end w:w="120" w:type="dxa"/>
            </w:tcMar>
          </w:tcPr>
          <w:p>
            <w:r>
              <w:t>H03–H07, F02/F04–F10, E01: rules, buttons, consent gating, per-household activity settings and coverage.</w:t>
            </w:r>
          </w:p>
        </w:tc>
        <w:tc>
          <w:tcPr>
            <w:tcW w:type="dxa" w:w="3320"/>
            <w:tcMar>
              <w:top w:w="80" w:type="dxa"/>
              <w:bottom w:w="80" w:type="dxa"/>
              <w:start w:w="120" w:type="dxa"/>
              <w:end w:w="120" w:type="dxa"/>
            </w:tcMar>
          </w:tcPr>
          <w:p>
            <w:pPr>
              <w:pStyle w:val="TableText"/>
            </w:pPr>
            <w:r>
              <w:t>Deterministic replay and local failure behavior; 60–90 hours.</w:t>
            </w:r>
          </w:p>
        </w:tc>
      </w:tr>
      <w:tr>
        <w:trPr>
          <w:cantSplit/>
        </w:trPr>
        <w:tc>
          <w:tcPr>
            <w:tcW w:type="dxa" w:w="1340"/>
            <w:tcMar>
              <w:top w:w="80" w:type="dxa"/>
              <w:bottom w:w="80" w:type="dxa"/>
              <w:start w:w="120" w:type="dxa"/>
              <w:end w:w="120" w:type="dxa"/>
            </w:tcMar>
          </w:tcPr>
          <w:p>
            <w:pPr>
              <w:pStyle w:val="TableText"/>
            </w:pPr>
            <w:r>
              <w:t>3. Caregiver workflow</w:t>
            </w:r>
          </w:p>
        </w:tc>
        <w:tc>
          <w:tcPr>
            <w:tcW w:type="dxa" w:w="4700"/>
            <w:tcMar>
              <w:top w:w="80" w:type="dxa"/>
              <w:bottom w:w="80" w:type="dxa"/>
              <w:start w:w="120" w:type="dxa"/>
              <w:end w:w="120" w:type="dxa"/>
            </w:tcMar>
          </w:tcPr>
          <w:p>
            <w:pPr>
              <w:pStyle w:val="TableText"/>
            </w:pPr>
            <w:r>
              <w:t>B01/B02/B04/B05, A01/A03–A05: roles, push, human claims and backup.</w:t>
            </w:r>
          </w:p>
        </w:tc>
        <w:tc>
          <w:tcPr>
            <w:tcW w:type="dxa" w:w="3320"/>
            <w:tcMar>
              <w:top w:w="80" w:type="dxa"/>
              <w:bottom w:w="80" w:type="dxa"/>
              <w:start w:w="120" w:type="dxa"/>
              <w:end w:w="120" w:type="dxa"/>
            </w:tcMar>
          </w:tcPr>
          <w:p>
            <w:pPr>
              <w:pStyle w:val="TableText"/>
            </w:pPr>
            <w:r>
              <w:t>Real phone tests + failure visibility; 60–90 hours.</w:t>
            </w:r>
          </w:p>
        </w:tc>
      </w:tr>
      <w:tr>
        <w:trPr>
          <w:cantSplit/>
        </w:trPr>
        <w:tc>
          <w:tcPr>
            <w:tcW w:type="dxa" w:w="1340"/>
            <w:tcMar>
              <w:top w:w="80" w:type="dxa"/>
              <w:bottom w:w="80" w:type="dxa"/>
              <w:start w:w="120" w:type="dxa"/>
              <w:end w:w="120" w:type="dxa"/>
            </w:tcMar>
          </w:tcPr>
          <w:p>
            <w:pPr>
              <w:pStyle w:val="TableText"/>
            </w:pPr>
            <w:r>
              <w:t>4. Reliability + power</w:t>
            </w:r>
          </w:p>
        </w:tc>
        <w:tc>
          <w:tcPr>
            <w:tcW w:type="dxa" w:w="4700"/>
            <w:tcMar>
              <w:top w:w="80" w:type="dxa"/>
              <w:bottom w:w="80" w:type="dxa"/>
              <w:start w:w="120" w:type="dxa"/>
              <w:end w:w="120" w:type="dxa"/>
            </w:tcMar>
          </w:tcPr>
          <w:p>
            <w:pPr>
              <w:pStyle w:val="TableText"/>
            </w:pPr>
            <w:r>
              <w:t>N03–N05, S03, E02–E09, hardware power path and jig.</w:t>
            </w:r>
          </w:p>
        </w:tc>
        <w:tc>
          <w:tcPr>
            <w:tcW w:type="dxa" w:w="3320"/>
            <w:tcMar>
              <w:top w:w="80" w:type="dxa"/>
              <w:bottom w:w="80" w:type="dxa"/>
              <w:start w:w="120" w:type="dxa"/>
              <w:end w:w="120" w:type="dxa"/>
            </w:tcMar>
          </w:tcPr>
          <w:p>
            <w:r>
              <w:t>Outage/reboot/OTA/consent-gating/power tests; 80–120 hours.</w:t>
            </w:r>
          </w:p>
        </w:tc>
      </w:tr>
      <w:tr>
        <w:trPr>
          <w:cantSplit/>
        </w:trPr>
        <w:tc>
          <w:tcPr>
            <w:tcW w:type="dxa" w:w="1340"/>
            <w:tcMar>
              <w:top w:w="80" w:type="dxa"/>
              <w:bottom w:w="80" w:type="dxa"/>
              <w:start w:w="120" w:type="dxa"/>
              <w:end w:w="120" w:type="dxa"/>
            </w:tcMar>
          </w:tcPr>
          <w:p>
            <w:pPr>
              <w:pStyle w:val="TableText"/>
            </w:pPr>
            <w:r>
              <w:t>5. Pilot readiness</w:t>
            </w:r>
          </w:p>
        </w:tc>
        <w:tc>
          <w:tcPr>
            <w:tcW w:type="dxa" w:w="4700"/>
            <w:tcMar>
              <w:top w:w="80" w:type="dxa"/>
              <w:bottom w:w="80" w:type="dxa"/>
              <w:start w:w="120" w:type="dxa"/>
              <w:end w:w="120" w:type="dxa"/>
            </w:tcMar>
          </w:tcPr>
          <w:p>
            <w:pPr>
              <w:pStyle w:val="TableText"/>
            </w:pPr>
            <w:r>
              <w:t>B08, T01–T03, installation and diagnostic evidence.</w:t>
            </w:r>
          </w:p>
        </w:tc>
        <w:tc>
          <w:tcPr>
            <w:tcW w:type="dxa" w:w="3320"/>
            <w:tcMar>
              <w:top w:w="80" w:type="dxa"/>
              <w:bottom w:w="80" w:type="dxa"/>
              <w:start w:w="120" w:type="dxa"/>
              <w:end w:w="120" w:type="dxa"/>
            </w:tcMar>
          </w:tcPr>
          <w:p>
            <w:pPr>
              <w:pStyle w:val="TableText"/>
            </w:pPr>
            <w:r>
              <w:t>G1 complete and G2 prepared; 40–60 hours.</w:t>
            </w:r>
          </w:p>
        </w:tc>
      </w:tr>
    </w:tbl>
    <w:p>
      <w:pPr>
        <w:pStyle w:val="TableSpacer"/>
      </w:pPr>
    </w:p>
    <w:p>
      <w:pPr>
        <w:pStyle w:val="SpecBody"/>
      </w:pPr>
      <w:r>
        <w:t>Total planning range: 280–420 focused engineering hours, approximately 19–42 weeks at 10–15 hours/week, before supplier delays, professional hardware/compliance review and extended field fixes. These are bottom-up planning estimates, not commitments. A one-room bench demo can precede complete P0; it shall not be labeled launch-ready. Two-home/ten-home observation time is an additional calendar constraint and must not be compressed into simulated success.</w:t>
      </w:r>
    </w:p>
    <w:p>
      <w:pPr>
        <w:pStyle w:val="Heading2"/>
        <w:pageBreakBefore/>
      </w:pPr>
      <w:r>
        <w:rPr>
          <w:color w:val="000000"/>
        </w:rPr>
        <w:t>Future features: preserve the boundaries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900"/>
        <w:gridCol w:w="3000"/>
        <w:gridCol w:w="5460"/>
      </w:tblGrid>
      <w:tr>
        <w:trPr>
          <w:cantSplit/>
          <w:tblHeader/>
        </w:trPr>
        <w:tc>
          <w:tcPr>
            <w:tcW w:type="dxa" w:w="900"/>
            <w:tcMar>
              <w:top w:w="80" w:type="dxa"/>
              <w:bottom w:w="80" w:type="dxa"/>
              <w:start w:w="120" w:type="dxa"/>
              <w:end w:w="120" w:type="dxa"/>
            </w:tcMar>
            <w:shd w:fill="E8EEF5"/>
          </w:tcPr>
          <w:p>
            <w:pPr>
              <w:pStyle w:val="TableText"/>
            </w:pPr>
            <w:r>
              <w:rPr>
                <w:b/>
              </w:rPr>
              <w:t>Priority</w:t>
            </w:r>
          </w:p>
        </w:tc>
        <w:tc>
          <w:tcPr>
            <w:tcW w:type="dxa" w:w="3000"/>
            <w:tcMar>
              <w:top w:w="80" w:type="dxa"/>
              <w:bottom w:w="80" w:type="dxa"/>
              <w:start w:w="120" w:type="dxa"/>
              <w:end w:w="120" w:type="dxa"/>
            </w:tcMar>
            <w:shd w:fill="E8EEF5"/>
          </w:tcPr>
          <w:p>
            <w:pPr>
              <w:pStyle w:val="TableText"/>
            </w:pPr>
            <w:r>
              <w:rPr>
                <w:b/>
              </w:rPr>
              <w:t>Candidate</w:t>
            </w:r>
          </w:p>
        </w:tc>
        <w:tc>
          <w:tcPr>
            <w:tcW w:type="dxa" w:w="5460"/>
            <w:tcMar>
              <w:top w:w="80" w:type="dxa"/>
              <w:bottom w:w="80" w:type="dxa"/>
              <w:start w:w="120" w:type="dxa"/>
              <w:end w:w="120" w:type="dxa"/>
            </w:tcMar>
            <w:shd w:fill="E8EEF5"/>
          </w:tcPr>
          <w:p>
            <w:pPr>
              <w:pStyle w:val="TableText"/>
            </w:pPr>
            <w:r>
              <w:rPr>
                <w:b/>
              </w:rPr>
              <w:t>Prerequisite / reason not P0</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Secure self-service BLE/SoftAP provisioning</w:t>
            </w:r>
          </w:p>
        </w:tc>
        <w:tc>
          <w:tcPr>
            <w:tcW w:type="dxa" w:w="5460"/>
            <w:tcMar>
              <w:top w:w="80" w:type="dxa"/>
              <w:bottom w:w="80" w:type="dxa"/>
              <w:start w:w="120" w:type="dxa"/>
              <w:end w:w="120" w:type="dxa"/>
            </w:tcMar>
          </w:tcPr>
          <w:p>
            <w:pPr>
              <w:pStyle w:val="TableText"/>
            </w:pPr>
            <w:r>
              <w:t>First prove assisted installation; reduce support without weakening ownership proof.</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Remote low-power node OTA</w:t>
            </w:r>
          </w:p>
        </w:tc>
        <w:tc>
          <w:tcPr>
            <w:tcW w:type="dxa" w:w="5460"/>
            <w:tcMar>
              <w:top w:w="80" w:type="dxa"/>
              <w:bottom w:w="80" w:type="dxa"/>
              <w:start w:w="120" w:type="dxa"/>
              <w:end w:w="120" w:type="dxa"/>
            </w:tcMar>
          </w:tcPr>
          <w:p>
            <w:pPr>
              <w:pStyle w:val="TableText"/>
            </w:pPr>
            <w:r>
              <w:t>Measured energy margin, safe receiver window, resumable signed transport and rollback/recovery.</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Leak or humidity nodes; second door</w:t>
            </w:r>
          </w:p>
        </w:tc>
        <w:tc>
          <w:tcPr>
            <w:tcW w:type="dxa" w:w="5460"/>
            <w:tcMar>
              <w:top w:w="80" w:type="dxa"/>
              <w:bottom w:w="80" w:type="dxa"/>
              <w:start w:w="120" w:type="dxa"/>
              <w:end w:w="120" w:type="dxa"/>
            </w:tcMar>
          </w:tcPr>
          <w:p>
            <w:pPr>
              <w:pStyle w:val="TableText"/>
            </w:pPr>
            <w:r>
              <w:t>A new sensor driver/contract and hazard-specific claims/testing; no automatic shutoff.</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Optional SMS/voice delivery</w:t>
            </w:r>
          </w:p>
        </w:tc>
        <w:tc>
          <w:tcPr>
            <w:tcW w:type="dxa" w:w="5460"/>
            <w:tcMar>
              <w:top w:w="80" w:type="dxa"/>
              <w:bottom w:w="80" w:type="dxa"/>
              <w:start w:w="120" w:type="dxa"/>
              <w:end w:w="120" w:type="dxa"/>
            </w:tcMar>
          </w:tcPr>
          <w:p>
            <w:pPr>
              <w:pStyle w:val="TableText"/>
            </w:pPr>
            <w:r>
              <w:t>Opt-in recipients, metered regional costs, provider status and service boundary.</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Suggested routine adaptation</w:t>
            </w:r>
          </w:p>
        </w:tc>
        <w:tc>
          <w:tcPr>
            <w:tcW w:type="dxa" w:w="5460"/>
            <w:tcMar>
              <w:top w:w="80" w:type="dxa"/>
              <w:bottom w:w="80" w:type="dxa"/>
              <w:start w:w="120" w:type="dxa"/>
              <w:end w:w="120" w:type="dxa"/>
            </w:tcMar>
          </w:tcPr>
          <w:p>
            <w:pPr>
              <w:pStyle w:val="TableText"/>
            </w:pPr>
            <w:r>
              <w:t>Labeled history, measurable advantage over rules, resident approval and explainability.</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Cellular fallback / router power bundle</w:t>
            </w:r>
          </w:p>
        </w:tc>
        <w:tc>
          <w:tcPr>
            <w:tcW w:type="dxa" w:w="5460"/>
            <w:tcMar>
              <w:top w:w="80" w:type="dxa"/>
              <w:bottom w:w="80" w:type="dxa"/>
              <w:start w:w="120" w:type="dxa"/>
              <w:end w:w="120" w:type="dxa"/>
            </w:tcMar>
          </w:tcPr>
          <w:p>
            <w:pPr>
              <w:pStyle w:val="TableText"/>
            </w:pPr>
            <w:r>
              <w:t>Power budget, SIM recurring cost, independent outage tests and maintenance.</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Care-provider/partner portal</w:t>
            </w:r>
          </w:p>
        </w:tc>
        <w:tc>
          <w:tcPr>
            <w:tcW w:type="dxa" w:w="5460"/>
            <w:tcMar>
              <w:top w:w="80" w:type="dxa"/>
              <w:bottom w:w="80" w:type="dxa"/>
              <w:start w:w="120" w:type="dxa"/>
              <w:end w:w="120" w:type="dxa"/>
            </w:tcMar>
          </w:tcPr>
          <w:p>
            <w:pPr>
              <w:pStyle w:val="TableText"/>
            </w:pPr>
            <w:r>
              <w:t>Multi-tenant team permissions, contracts, service hours and response ownership.</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Europe/US commercial expansion</w:t>
            </w:r>
          </w:p>
        </w:tc>
        <w:tc>
          <w:tcPr>
            <w:tcW w:type="dxa" w:w="5460"/>
            <w:tcMar>
              <w:top w:w="80" w:type="dxa"/>
              <w:bottom w:w="80" w:type="dxa"/>
              <w:start w:w="120" w:type="dxa"/>
              <w:end w:w="120" w:type="dxa"/>
            </w:tcMar>
          </w:tcPr>
          <w:p>
            <w:pPr>
              <w:pStyle w:val="TableText"/>
            </w:pPr>
            <w:r>
              <w:t>Regional legal/radio/battery/privacy/accessibility and service support review; no implied certification transfer.</w:t>
            </w:r>
          </w:p>
        </w:tc>
      </w:tr>
      <w:tr>
        <w:trPr>
          <w:cantSplit/>
        </w:trPr>
        <w:tc>
          <w:tcPr>
            <w:tcW w:type="dxa" w:w="900"/>
            <w:tcMar>
              <w:top w:w="80" w:type="dxa"/>
              <w:bottom w:w="80" w:type="dxa"/>
              <w:start w:w="120" w:type="dxa"/>
              <w:end w:w="120" w:type="dxa"/>
            </w:tcMar>
          </w:tcPr>
          <w:p>
            <w:pPr>
              <w:pStyle w:val="TableText"/>
            </w:pPr>
            <w:r>
              <w:t>Separate product</w:t>
            </w:r>
          </w:p>
        </w:tc>
        <w:tc>
          <w:tcPr>
            <w:tcW w:type="dxa" w:w="3000"/>
            <w:tcMar>
              <w:top w:w="80" w:type="dxa"/>
              <w:bottom w:w="80" w:type="dxa"/>
              <w:start w:w="120" w:type="dxa"/>
              <w:end w:w="120" w:type="dxa"/>
            </w:tcMar>
          </w:tcPr>
          <w:p>
            <w:pPr>
              <w:pStyle w:val="TableText"/>
            </w:pPr>
            <w:r>
              <w:t>Kids camera/chatbot/activity device</w:t>
            </w:r>
          </w:p>
        </w:tc>
        <w:tc>
          <w:tcPr>
            <w:tcW w:type="dxa" w:w="5460"/>
            <w:tcMar>
              <w:top w:w="80" w:type="dxa"/>
              <w:bottom w:w="80" w:type="dxa"/>
              <w:start w:w="120" w:type="dxa"/>
              <w:end w:w="120" w:type="dxa"/>
            </w:tcMar>
          </w:tcPr>
          <w:p>
            <w:pPr>
              <w:pStyle w:val="TableText"/>
            </w:pPr>
            <w:r>
              <w:t>Different privacy, safeguarding, AI/cloud cost and product-safety design; do not insert into Family Check-in P0.</w:t>
            </w:r>
          </w:p>
        </w:tc>
      </w:tr>
    </w:tbl>
    <w:p>
      <w:pPr>
        <w:pStyle w:val="TableSpacer"/>
      </w:pPr>
    </w:p>
    <w:p>
      <w:pPr>
        <w:pStyle w:val="SpecBody"/>
      </w:pPr>
      <w:r>
        <w:t>Market context, checked 3 September 2026: Home Assistant’s 2 September release adds security-dashboard severity/activity improvements and an experimental cloud speech option [S10]. This reinforces the hypothesis that generic dashboards and voice are weak differentiation. It does not establish sales or willingness to pay for this kit. The stronger hypotheses remain resident control, explainable uncertainty, simple installation and reliable caregiver ownership. Validate those with interviews and field evidence, not marketing attention.</w:t>
      </w:r>
    </w:p>
    <w:p>
      <w:pPr>
        <w:pStyle w:val="Heading1"/>
        <w:pageBreakBefore/>
      </w:pPr>
      <w:r>
        <w:rPr>
          <w:color w:val="000000"/>
        </w:rPr>
        <w:t>Appendix A. Implemented repository/module manifest</w:t>
      </w:r>
    </w:p>
    <w:p>
      <w:pPr>
        <w:pStyle w:val="SpecBody"/>
      </w:pPr>
      <w:r>
        <w:t>Exactly 32 logical modules remain. The accompanying reference package contains 83 tracked source, contract, test, application, tooling and operations files (excluding build output and caches). Each module has executable host logic or an explicit adapter seam; hardware- and provider-dependent work is not presented as complete.</w:t>
      </w:r>
    </w:p>
    <w:p>
      <w:pPr>
        <w:pStyle w:val="SpecBody"/>
      </w:pPr>
      <w:r>
        <w:t>Every detailed feature names its owner module IDs; this manifest resolves those IDs to exact proposed paths. Module-local tests may be added as implementation grows, without creating another deployable service. Files under ops and tools contain no committed production secrets.</w:t>
      </w:r>
    </w:p>
    <w:p>
      <w:pPr>
        <w:pStyle w:val="Heading2"/>
      </w:pPr>
      <w:r>
        <w:rPr>
          <w:color w:val="000000"/>
        </w:rPr>
        <w:t>Node firmware</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N01 — Node sensing</w:t>
              <w:br/>
              <w:t>GPIO sampling, debounce and sensor drivers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firmware/node/components/sensing/sensing.hpp</w:t>
              <w:br/>
              <w:t>sensing.cpp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N02 — Node radio</w:t>
              <w:br/>
              <w:t>Encrypted peer transport, retries and channel recovery</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firmware/node/components/radio/node_radio.hpp</w:t>
              <w:br/>
              <w:t>node_radio.cpp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N03 — Node power</w:t>
              <w:br/>
              <w:t>Sleep, wake sources, battery sampling and charge status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firmware/node/components/power/power.hpp</w:t>
              <w:br/>
              <w:t>power.cpp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N04 — Node lifecycle</w:t>
              <w:br/>
              <w:t>Provisioning, configuration and service-mode update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firmware/node/components/lifecycle/lifecycle.hpp</w:t>
              <w:br/>
              <w:t>lifecycle.cpp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N05 — Node storage</w:t>
              <w:br/>
              <w:t>Retained state and bounded event journal</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firmware/node/components/storage/node_store.hpp</w:t>
              <w:br/>
              <w:t>node_store.cpp</w:t>
            </w:r>
          </w:p>
        </w:tc>
      </w:tr>
    </w:tbl>
    <w:p>
      <w:pPr>
        <w:pStyle w:val="TableSpacer"/>
      </w:pPr>
    </w:p>
    <w:p>
      <w:pPr>
        <w:pStyle w:val="Heading2"/>
      </w:pPr>
      <w:r>
        <w:rPr>
          <w:color w:val="000000"/>
        </w:rPr>
        <w:t>Hub firmware</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H01 — Hub ingest</w:t>
              <w:br/>
              <w:t>Radio callback queue, authentication and admission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firmware/hub/components/ingest/ingest.hpp</w:t>
              <w:br/>
              <w:t>ingest.cpp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H02 — Hub persistence</w:t>
              <w:br/>
              <w:t>Journal, deduplication, replay and cloud outbox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firmware/hub/components/storage/journal.hpp</w:t>
              <w:br/>
              <w:t>journal.cpp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H03 — Hub time</w:t>
              <w:br/>
              <w:t>Clock trust, monotonic timers and window boundaries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firmware/hub/components/time/clock.hpp</w:t>
              <w:br/>
              <w:t>clock.cpp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H04 — Hub coverage</w:t>
              <w:br/>
              <w:t>Node leases, interval coverage and fault reasons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firmware/hub/components/coverage/coverage.hpp</w:t>
              <w:br/>
              <w:t>coverage.cpp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H05 — Hub rules adapter</w:t>
              <w:br/>
              <w:t>Routine state, door policy and incident generation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firmware/hub/components/rules/routine_service.hpp</w:t>
              <w:br/>
              <w:t>routine_service.cpp</w:t>
            </w:r>
          </w:p>
        </w:tc>
      </w:tr>
      <w:tr>
        <w:trPr>
          <w:cantSplit/>
          <w:cantSplit/>
        </w:trPr>
        <w:tc>
          <w:tcPr>
            <w:tcW w:type="dxa" w:w="3600"/>
            <w:tcMar>
              <w:top w:w="80" w:type="dxa"/>
              <w:bottom w:w="80" w:type="dxa"/>
              <w:start w:w="120" w:type="dxa"/>
              <w:end w:w="120" w:type="dxa"/>
            </w:tcMar>
            <w:vAlign w:val="center"/>
          </w:tcPr>
          <w:p>
            <w:r>
              <w:t>H06 — Hub resident interface</w:t>
              <w:br/>
              <w:t>Two buttons, display and fixed prompts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firmware/hub/components/ui/resident_ui.hpp</w:t>
              <w:br/>
              <w:t>resident_ui.cpp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H07 — Hub lifecycle/config</w:t>
              <w:br/>
              <w:t>Provisioning, atomic config application and update orchestration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firmware/hub/components/lifecycle/config_service.hpp</w:t>
              <w:br/>
              <w:t>config_service.cpp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H08 — Hub cloud link</w:t>
              <w:br/>
              <w:t>MQTT session, application acknowledgements and command inbox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firmware/hub/components/cloud/cloud_sync.hpp</w:t>
              <w:br/>
              <w:t>cloud_sync.cpp</w:t>
            </w:r>
          </w:p>
        </w:tc>
      </w:tr>
    </w:tbl>
    <w:p>
      <w:pPr>
        <w:pStyle w:val="TableSpacer"/>
      </w:pPr>
    </w:p>
    <w:p>
      <w:pPr>
        <w:pStyle w:val="Heading2"/>
      </w:pPr>
      <w:r>
        <w:rPr>
          <w:color w:val="000000"/>
        </w:rPr>
        <w:t>Backend</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B01 — Identity/access</w:t>
              <w:br/>
              <w:t>OIDC verification, home membership and authorization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backend/ghar_sajag/identity.py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B02 — Home/consent</w:t>
              <w:br/>
              <w:t>Household settings, resident consent and mode requests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backend/ghar_sajag/homes.py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B03 — Event ingestion</w:t>
              <w:br/>
              <w:t>Schema validation, deduplication and transactional outbox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backend/ghar_sajag/ingest.py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B04 — Incident workflow</w:t>
              <w:br/>
              <w:t>Human acknowledgement, ownership lease and resolution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backend/ghar_sajag/incidents.py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B05 — Notification routing</w:t>
              <w:br/>
              <w:t>Push adapter, retry, backup routing and summaries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backend/ghar_sajag/notifications.py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B06 — Fleet/config</w:t>
              <w:br/>
              <w:t>Device registry, desired config and signed update manifests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backend/ghar_sajag/fleet.py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B07 — Read models/API</w:t>
              <w:br/>
              <w:t>Dashboard projection, timeline, snapshots and SSE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backend/ghar_sajag/queries.py</w:t>
              <w:br/>
              <w:t>http_api.py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B08 — Operations/data</w:t>
              <w:br/>
              <w:t>Health leases, retention, exports and support audit</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backend/ghar_sajag/operations.py</w:t>
              <w:br/>
              <w:t>store.py</w:t>
            </w:r>
          </w:p>
        </w:tc>
      </w:tr>
    </w:tbl>
    <w:p>
      <w:pPr>
        <w:pStyle w:val="TableSpacer"/>
      </w:pPr>
    </w:p>
    <w:p>
      <w:pPr>
        <w:pStyle w:val="Heading2"/>
      </w:pPr>
      <w:r>
        <w:rPr>
          <w:color w:val="000000"/>
        </w:rPr>
        <w:t>Caregiver app</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A01 — App onboarding</w:t>
              <w:br/>
              <w:t>Login, consent, kit claim and installation wizard</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app/src/features/onboarding/index.mjs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A02 — App home</w:t>
              <w:br/>
              <w:t>Evidence cards, freshness, node health and timeline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app/src/features/home/index.mjs</w:t>
              <w:br/>
              <w:t>app/public/*</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A03 — App routines</w:t>
              <w:br/>
              <w:t>Schedule, away/visitor modes and desired/applied settings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app/src/features/routines/index.mjs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A04 — App incidents</w:t>
              <w:br/>
              <w:t>Alert detail, contact action, acknowledgement and resolution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app/src/features/incidents/index.mjs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A05 — App platform</w:t>
              <w:br/>
              <w:t>API client, offline cache, service worker and push setup</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app/src/platform/index.mjs</w:t>
              <w:br/>
              <w:t>app/public/service-worker.mjs</w:t>
            </w:r>
          </w:p>
        </w:tc>
      </w:tr>
    </w:tbl>
    <w:p>
      <w:pPr>
        <w:pStyle w:val="TableSpacer"/>
      </w:pPr>
    </w:p>
    <w:p>
      <w:pPr>
        <w:pStyle w:val="Heading2"/>
      </w:pPr>
      <w:r>
        <w:rPr>
          <w:color w:val="000000"/>
        </w:rPr>
        <w:t>Shared libraries/contracts</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S01 — Shared contracts</w:t>
              <w:br/>
              <w:t>Canonical wire schemas, API contract and generated types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contracts/node.schema.json</w:t>
              <w:br/>
              <w:t>cloud.schema.json</w:t>
              <w:br/>
              <w:t>config.schema.json</w:t>
              <w:br/>
              <w:t>openapi.yaml; scripts/verify_contracts.py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S02 — Deterministic rules core</w:t>
              <w:br/>
              <w:t>Pure C++ state reducer without hardware or network I/O</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shared/include/gs/rules.hpp</w:t>
              <w:br/>
              <w:t>shared/src/rules.cpp</w:t>
              <w:br/>
              <w:t>domain.hpp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S03 — Firmware security/update</w:t>
              <w:br/>
              <w:t>Credential storage, signed image validation and boot checks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firmware/common/security/security.hpp</w:t>
              <w:br/>
              <w:t>security.cpp</w:t>
            </w:r>
          </w:p>
        </w:tc>
      </w:tr>
    </w:tbl>
    <w:p>
      <w:pPr>
        <w:pStyle w:val="TableSpacer"/>
      </w:pPr>
    </w:p>
    <w:p>
      <w:pPr>
        <w:pStyle w:val="Heading2"/>
      </w:pPr>
      <w:r>
        <w:rPr>
          <w:color w:val="000000"/>
        </w:rPr>
        <w:t>Test and operations</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T01 — Simulation/CI</w:t>
              <w:br/>
              <w:t>Scenario fixtures, replay, API contract and tenant-isolation tests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Makefile</w:t>
              <w:br/>
              <w:t>tests/cpp/test_main.cpp</w:t>
              <w:br/>
              <w:t>tests/python/test_backend.py</w:t>
              <w:br/>
              <w:t>tests/js/app.test.mjs</w:t>
              <w:br/>
              <w:t>tests/scenarios.json</w:t>
              <w:br/>
              <w:t>host/simulator/main.cpp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T02 — Hardware-in-loop tools</w:t>
              <w:br/>
              <w:t>Provisioning jig, fault injection and power measurements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tools/hil/provision.py</w:t>
              <w:br/>
              <w:t>runner.py</w:t>
              <w:br/>
              <w:t>power_profile.py</w:t>
              <w:br/>
              <w:t>installation_checklist.md</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T03 — Deployment/operations</w:t>
              <w:br/>
              <w:t>Container deployment, broker ACLs, metrics and recovery runbook</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ops/compose.yaml</w:t>
              <w:br/>
              <w:t>mosquitto.conf</w:t>
              <w:br/>
              <w:t>broker_acl.conf</w:t>
              <w:br/>
              <w:t>alerts.yaml</w:t>
              <w:br/>
              <w:t>runbook.md</w:t>
            </w:r>
          </w:p>
        </w:tc>
      </w:tr>
    </w:tbl>
    <w:p>
      <w:pPr>
        <w:pStyle w:val="TableSpacer"/>
      </w:pPr>
    </w:p>
    <w:p>
      <w:pPr>
        <w:pStyle w:val="Heading2"/>
      </w:pPr>
      <w:r>
        <w:rPr>
          <w:color w:val="000000"/>
        </w:rPr>
        <w:t>Build/bootstrap file responsibilities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5370"/>
        <w:gridCol w:w="3990"/>
      </w:tblGrid>
      <w:tr>
        <w:trPr>
          <w:cantSplit/>
          <w:tblHeader/>
        </w:trPr>
        <w:tc>
          <w:tcPr>
            <w:tcW w:type="dxa" w:w="5370"/>
            <w:tcMar>
              <w:top w:w="80" w:type="dxa"/>
              <w:bottom w:w="80" w:type="dxa"/>
              <w:start w:w="120" w:type="dxa"/>
              <w:end w:w="120" w:type="dxa"/>
            </w:tcMar>
            <w:shd w:fill="E8EEF5"/>
          </w:tcPr>
          <w:p>
            <w:pPr>
              <w:pStyle w:val="TableText"/>
            </w:pPr>
            <w:r>
              <w:rPr>
                <w:b/>
              </w:rPr>
              <w:t>Files</w:t>
            </w:r>
          </w:p>
        </w:tc>
        <w:tc>
          <w:tcPr>
            <w:tcW w:type="dxa" w:w="3990"/>
            <w:tcMar>
              <w:top w:w="80" w:type="dxa"/>
              <w:bottom w:w="80" w:type="dxa"/>
              <w:start w:w="120" w:type="dxa"/>
              <w:end w:w="120" w:type="dxa"/>
            </w:tcMar>
            <w:shd w:fill="E8EEF5"/>
          </w:tcPr>
          <w:p>
            <w:pPr>
              <w:pStyle w:val="TableText"/>
            </w:pPr>
            <w:r>
              <w:rPr>
                <w:b/>
              </w:rPr>
              <w:t>Role</w:t>
            </w:r>
          </w:p>
        </w:tc>
      </w:tr>
      <w:tr>
        <w:trPr>
          <w:cantSplit/>
        </w:trPr>
        <w:tc>
          <w:tcPr>
            <w:tcW w:type="dxa" w:w="5370"/>
            <w:tcMar>
              <w:top w:w="80" w:type="dxa"/>
              <w:bottom w:w="80" w:type="dxa"/>
              <w:start w:w="120" w:type="dxa"/>
              <w:end w:w="120" w:type="dxa"/>
            </w:tcMar>
          </w:tcPr>
          <w:p>
            <w:pPr>
              <w:pStyle w:val="TableText"/>
            </w:pPr>
            <w:r>
              <w:t>README.md; CMakeLists.txt</w:t>
            </w:r>
          </w:p>
        </w:tc>
        <w:tc>
          <w:tcPr>
            <w:tcW w:type="dxa" w:w="3990"/>
            <w:tcMar>
              <w:top w:w="80" w:type="dxa"/>
              <w:bottom w:w="80" w:type="dxa"/>
              <w:start w:w="120" w:type="dxa"/>
              <w:end w:w="120" w:type="dxa"/>
            </w:tcMar>
          </w:tcPr>
          <w:p>
            <w:pPr>
              <w:pStyle w:val="TableText"/>
            </w:pPr>
            <w:r>
              <w:t>Development setup, architecture map and host rule-core build.</w:t>
            </w:r>
          </w:p>
        </w:tc>
      </w:tr>
      <w:tr>
        <w:trPr>
          <w:cantSplit/>
        </w:trPr>
        <w:tc>
          <w:tcPr>
            <w:tcW w:type="dxa" w:w="5370"/>
            <w:tcMar>
              <w:top w:w="80" w:type="dxa"/>
              <w:bottom w:w="80" w:type="dxa"/>
              <w:start w:w="120" w:type="dxa"/>
              <w:end w:w="120" w:type="dxa"/>
            </w:tcMar>
          </w:tcPr>
          <w:p>
            <w:pPr>
              <w:pStyle w:val="TableText"/>
            </w:pPr>
            <w:r>
              <w:t>firmware/{node,hub}/CMakeLists.txt; main/app_main.cpp; sdkconfig.defaults; partitions.csv</w:t>
            </w:r>
          </w:p>
        </w:tc>
        <w:tc>
          <w:tcPr>
            <w:tcW w:type="dxa" w:w="3990"/>
            <w:tcMar>
              <w:top w:w="80" w:type="dxa"/>
              <w:bottom w:w="80" w:type="dxa"/>
              <w:start w:w="120" w:type="dxa"/>
              <w:end w:w="120" w:type="dxa"/>
            </w:tcMar>
          </w:tcPr>
          <w:p>
            <w:pPr>
              <w:pStyle w:val="TableText"/>
            </w:pPr>
            <w:r>
              <w:t>Entry points, component wiring, reproducible target settings and board-verified flash layout.</w:t>
            </w:r>
          </w:p>
        </w:tc>
      </w:tr>
      <w:tr>
        <w:trPr>
          <w:cantSplit/>
        </w:trPr>
        <w:tc>
          <w:tcPr>
            <w:tcW w:type="dxa" w:w="5370"/>
            <w:tcMar>
              <w:top w:w="80" w:type="dxa"/>
              <w:bottom w:w="80" w:type="dxa"/>
              <w:start w:w="120" w:type="dxa"/>
              <w:end w:w="120" w:type="dxa"/>
            </w:tcMar>
          </w:tcPr>
          <w:p>
            <w:pPr>
              <w:pStyle w:val="TableText"/>
            </w:pPr>
            <w:r>
              <w:t>Each N01–N05 / H01–H08 directory: CMakeLists.txt</w:t>
            </w:r>
          </w:p>
        </w:tc>
        <w:tc>
          <w:tcPr>
            <w:tcW w:type="dxa" w:w="3990"/>
            <w:tcMar>
              <w:top w:w="80" w:type="dxa"/>
              <w:bottom w:w="80" w:type="dxa"/>
              <w:start w:w="120" w:type="dxa"/>
              <w:end w:w="120" w:type="dxa"/>
            </w:tcMar>
          </w:tcPr>
          <w:p>
            <w:pPr>
              <w:pStyle w:val="TableText"/>
            </w:pPr>
            <w:r>
              <w:t>13 explicit firmware component manifests; dependencies point inward to contracts/core.</w:t>
            </w:r>
          </w:p>
        </w:tc>
      </w:tr>
      <w:tr>
        <w:trPr>
          <w:cantSplit/>
        </w:trPr>
        <w:tc>
          <w:tcPr>
            <w:tcW w:type="dxa" w:w="5370"/>
            <w:tcMar>
              <w:top w:w="80" w:type="dxa"/>
              <w:bottom w:w="80" w:type="dxa"/>
              <w:start w:w="120" w:type="dxa"/>
              <w:end w:w="120" w:type="dxa"/>
            </w:tcMar>
          </w:tcPr>
          <w:p>
            <w:pPr>
              <w:pStyle w:val="TableText"/>
            </w:pPr>
            <w:r>
              <w:t>backend/pyproject.toml; uv.lock; app/main.py; app/db.py; migrations/001_initial.sql</w:t>
            </w:r>
          </w:p>
        </w:tc>
        <w:tc>
          <w:tcPr>
            <w:tcW w:type="dxa" w:w="3990"/>
            <w:tcMar>
              <w:top w:w="80" w:type="dxa"/>
              <w:bottom w:w="80" w:type="dxa"/>
              <w:start w:w="120" w:type="dxa"/>
              <w:end w:w="120" w:type="dxa"/>
            </w:tcMar>
          </w:tcPr>
          <w:p>
            <w:pPr>
              <w:pStyle w:val="TableText"/>
            </w:pPr>
            <w:r>
              <w:t>Backend dependency lock, process startup, transaction/tenant context and initial schema.</w:t>
            </w:r>
          </w:p>
        </w:tc>
      </w:tr>
      <w:tr>
        <w:trPr>
          <w:cantSplit/>
        </w:trPr>
        <w:tc>
          <w:tcPr>
            <w:tcW w:type="dxa" w:w="5370"/>
            <w:tcMar>
              <w:top w:w="80" w:type="dxa"/>
              <w:bottom w:w="80" w:type="dxa"/>
              <w:start w:w="120" w:type="dxa"/>
              <w:end w:w="120" w:type="dxa"/>
            </w:tcMar>
          </w:tcPr>
          <w:p>
            <w:pPr>
              <w:pStyle w:val="TableText"/>
            </w:pPr>
            <w:r>
              <w:t>app/package.json; package-lock.json; src/main.tsx; public/manifest.webmanifest</w:t>
            </w:r>
          </w:p>
        </w:tc>
        <w:tc>
          <w:tcPr>
            <w:tcW w:type="dxa" w:w="3990"/>
            <w:tcMar>
              <w:top w:w="80" w:type="dxa"/>
              <w:bottom w:w="80" w:type="dxa"/>
              <w:start w:w="120" w:type="dxa"/>
              <w:end w:w="120" w:type="dxa"/>
            </w:tcMar>
          </w:tcPr>
          <w:p>
            <w:pPr>
              <w:pStyle w:val="TableText"/>
            </w:pPr>
            <w:r>
              <w:t>App dependency lock, bootstrapping and installable-PWA metadata.</w:t>
            </w:r>
          </w:p>
        </w:tc>
      </w:tr>
      <w:tr>
        <w:trPr>
          <w:cantSplit/>
        </w:trPr>
        <w:tc>
          <w:tcPr>
            <w:tcW w:type="dxa" w:w="5370"/>
            <w:tcMar>
              <w:top w:w="80" w:type="dxa"/>
              <w:bottom w:w="80" w:type="dxa"/>
              <w:start w:w="120" w:type="dxa"/>
              <w:end w:w="120" w:type="dxa"/>
            </w:tcMar>
          </w:tcPr>
          <w:p>
            <w:pPr>
              <w:pStyle w:val="TableText"/>
            </w:pPr>
            <w:r>
              <w:t>.github/workflows/ci.yml</w:t>
            </w:r>
          </w:p>
        </w:tc>
        <w:tc>
          <w:tcPr>
            <w:tcW w:type="dxa" w:w="3990"/>
            <w:tcMar>
              <w:top w:w="80" w:type="dxa"/>
              <w:bottom w:w="80" w:type="dxa"/>
              <w:start w:w="120" w:type="dxa"/>
              <w:end w:w="120" w:type="dxa"/>
            </w:tcMar>
          </w:tcPr>
          <w:p>
            <w:pPr>
              <w:pStyle w:val="TableText"/>
            </w:pPr>
            <w:r>
              <w:t>Build, lint, unit/replay/contract/security tests, artifact checks and signed-release approval boundary.</w:t>
            </w:r>
          </w:p>
        </w:tc>
      </w:tr>
    </w:tbl>
    <w:p>
      <w:pPr>
        <w:pStyle w:val="TableSpacer"/>
      </w:pPr>
    </w:p>
    <w:p>
      <w:pPr>
        <w:pStyle w:val="SpecBody"/>
      </w:pPr>
      <w:r>
        <w:t>Keep board-specific GPIO mappings in an explicit profile generated/checked during G0; add its file only after the exact PCB schematic is known. Firmware UI prompt assets, translations and generated contract types are intentionally outside the core-file count. Private keys, Wi-Fi credentials and resident data shall never be committed.</w:t>
      </w:r>
    </w:p>
    <w:p>
      <w:bookmarkStart w:id="36" w:name="sources"/>
      <w:pPr>
        <w:pStyle w:val="Heading1"/>
        <w:pageBreakBefore/>
      </w:pPr>
      <w:r>
        <w:rPr>
          <w:color w:val="000000"/>
        </w:rPr>
        <w:t>Appendix B. Decisions, glossary and research sources</w:t>
      </w:r>
      <w:bookmarkEnd w:id="36"/>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3650"/>
        <w:gridCol w:w="5710"/>
      </w:tblGrid>
      <w:tr>
        <w:trPr>
          <w:cantSplit/>
          <w:tblHeader/>
        </w:trPr>
        <w:tc>
          <w:tcPr>
            <w:tcW w:type="dxa" w:w="3650"/>
            <w:tcMar>
              <w:top w:w="80" w:type="dxa"/>
              <w:bottom w:w="80" w:type="dxa"/>
              <w:start w:w="120" w:type="dxa"/>
              <w:end w:w="120" w:type="dxa"/>
            </w:tcMar>
            <w:shd w:fill="E8EEF5"/>
          </w:tcPr>
          <w:p>
            <w:pPr>
              <w:pStyle w:val="TableText"/>
            </w:pPr>
            <w:r>
              <w:rPr>
                <w:b/>
              </w:rPr>
              <w:t>Architecture decision</w:t>
            </w:r>
          </w:p>
        </w:tc>
        <w:tc>
          <w:tcPr>
            <w:tcW w:type="dxa" w:w="5710"/>
            <w:tcMar>
              <w:top w:w="80" w:type="dxa"/>
              <w:bottom w:w="80" w:type="dxa"/>
              <w:start w:w="120" w:type="dxa"/>
              <w:end w:w="120" w:type="dxa"/>
            </w:tcMar>
            <w:shd w:fill="E8EEF5"/>
          </w:tcPr>
          <w:p>
            <w:pPr>
              <w:pStyle w:val="TableText"/>
            </w:pPr>
            <w:r>
              <w:rPr>
                <w:b/>
              </w:rPr>
              <w:t>Why / consequence</w:t>
            </w:r>
          </w:p>
        </w:tc>
      </w:tr>
      <w:tr>
        <w:trPr>
          <w:cantSplit/>
        </w:trPr>
        <w:tc>
          <w:tcPr>
            <w:tcW w:type="dxa" w:w="3650"/>
            <w:tcMar>
              <w:top w:w="80" w:type="dxa"/>
              <w:bottom w:w="80" w:type="dxa"/>
              <w:start w:w="120" w:type="dxa"/>
              <w:end w:w="120" w:type="dxa"/>
            </w:tcMar>
          </w:tcPr>
          <w:p>
            <w:pPr>
              <w:pStyle w:val="TableText"/>
            </w:pPr>
            <w:r>
              <w:t>ADR-01: Local deterministic rules</w:t>
            </w:r>
          </w:p>
        </w:tc>
        <w:tc>
          <w:tcPr>
            <w:tcW w:type="dxa" w:w="5710"/>
            <w:tcMar>
              <w:top w:w="80" w:type="dxa"/>
              <w:bottom w:w="80" w:type="dxa"/>
              <w:start w:w="120" w:type="dxa"/>
              <w:end w:w="120" w:type="dxa"/>
            </w:tcMar>
          </w:tcPr>
          <w:p>
            <w:pPr>
              <w:pStyle w:val="TableText"/>
            </w:pPr>
            <w:r>
              <w:t>Works offline and is host-testable; local clock/storage correctness becomes essential.</w:t>
            </w:r>
          </w:p>
        </w:tc>
      </w:tr>
      <w:tr>
        <w:trPr>
          <w:cantSplit/>
        </w:trPr>
        <w:tc>
          <w:tcPr>
            <w:tcW w:type="dxa" w:w="3650"/>
            <w:tcMar>
              <w:top w:w="80" w:type="dxa"/>
              <w:bottom w:w="80" w:type="dxa"/>
              <w:start w:w="120" w:type="dxa"/>
              <w:end w:w="120" w:type="dxa"/>
            </w:tcMar>
          </w:tcPr>
          <w:p>
            <w:pPr>
              <w:pStyle w:val="TableText"/>
            </w:pPr>
            <w:r>
              <w:t>ADR-02: One hub authority/home</w:t>
            </w:r>
          </w:p>
        </w:tc>
        <w:tc>
          <w:tcPr>
            <w:tcW w:type="dxa" w:w="5710"/>
            <w:tcMar>
              <w:top w:w="80" w:type="dxa"/>
              <w:bottom w:w="80" w:type="dxa"/>
              <w:start w:w="120" w:type="dxa"/>
              <w:end w:w="120" w:type="dxa"/>
            </w:tcMar>
          </w:tcPr>
          <w:p>
            <w:pPr>
              <w:pStyle w:val="TableText"/>
            </w:pPr>
            <w:r>
              <w:t>Avoids duplicate routine decisions; replacement needs an epoch fence and revalidation.</w:t>
            </w:r>
          </w:p>
        </w:tc>
      </w:tr>
      <w:tr>
        <w:trPr>
          <w:cantSplit/>
        </w:trPr>
        <w:tc>
          <w:tcPr>
            <w:tcW w:type="dxa" w:w="3650"/>
            <w:tcMar>
              <w:top w:w="80" w:type="dxa"/>
              <w:bottom w:w="80" w:type="dxa"/>
              <w:start w:w="120" w:type="dxa"/>
              <w:end w:w="120" w:type="dxa"/>
            </w:tcMar>
          </w:tcPr>
          <w:p>
            <w:pPr>
              <w:pStyle w:val="TableText"/>
            </w:pPr>
            <w:r>
              <w:t>ADR-03: Modular monolith + outbox</w:t>
            </w:r>
          </w:p>
        </w:tc>
        <w:tc>
          <w:tcPr>
            <w:tcW w:type="dxa" w:w="5710"/>
            <w:tcMar>
              <w:top w:w="80" w:type="dxa"/>
              <w:bottom w:w="80" w:type="dxa"/>
              <w:start w:w="120" w:type="dxa"/>
              <w:end w:w="120" w:type="dxa"/>
            </w:tcMar>
          </w:tcPr>
          <w:p>
            <w:pPr>
              <w:pStyle w:val="TableText"/>
            </w:pPr>
            <w:r>
              <w:t>Small operational surface for one engineer; use process scaling and clear interfaces before services.</w:t>
            </w:r>
          </w:p>
        </w:tc>
      </w:tr>
      <w:tr>
        <w:trPr>
          <w:cantSplit/>
        </w:trPr>
        <w:tc>
          <w:tcPr>
            <w:tcW w:type="dxa" w:w="3650"/>
            <w:tcMar>
              <w:top w:w="80" w:type="dxa"/>
              <w:bottom w:w="80" w:type="dxa"/>
              <w:start w:w="120" w:type="dxa"/>
              <w:end w:w="120" w:type="dxa"/>
            </w:tcMar>
          </w:tcPr>
          <w:p>
            <w:pPr>
              <w:pStyle w:val="TableText"/>
            </w:pPr>
            <w:r>
              <w:t>ADR-04: At-least-once + idempotency</w:t>
            </w:r>
          </w:p>
        </w:tc>
        <w:tc>
          <w:tcPr>
            <w:tcW w:type="dxa" w:w="5710"/>
            <w:tcMar>
              <w:top w:w="80" w:type="dxa"/>
              <w:bottom w:w="80" w:type="dxa"/>
              <w:start w:w="120" w:type="dxa"/>
              <w:end w:w="120" w:type="dxa"/>
            </w:tcMar>
          </w:tcPr>
          <w:p>
            <w:pPr>
              <w:pStyle w:val="TableText"/>
            </w:pPr>
            <w:r>
              <w:t>Honest transport semantics; adds stable IDs, durable ACKs and unique constraints.</w:t>
            </w:r>
          </w:p>
        </w:tc>
      </w:tr>
      <w:tr>
        <w:trPr>
          <w:cantSplit/>
        </w:trPr>
        <w:tc>
          <w:tcPr>
            <w:tcW w:type="dxa" w:w="3650"/>
            <w:tcMar>
              <w:top w:w="80" w:type="dxa"/>
              <w:bottom w:w="80" w:type="dxa"/>
              <w:start w:w="120" w:type="dxa"/>
              <w:end w:w="120" w:type="dxa"/>
            </w:tcMar>
          </w:tcPr>
          <w:p>
            <w:pPr>
              <w:pStyle w:val="TableText"/>
            </w:pPr>
            <w:r>
              <w:t>ADR-05: Assisted provisioning + PWA</w:t>
            </w:r>
          </w:p>
        </w:tc>
        <w:tc>
          <w:tcPr>
            <w:tcW w:type="dxa" w:w="5710"/>
            <w:tcMar>
              <w:top w:w="80" w:type="dxa"/>
              <w:bottom w:w="80" w:type="dxa"/>
              <w:start w:w="120" w:type="dxa"/>
              <w:end w:w="120" w:type="dxa"/>
            </w:tcMar>
          </w:tcPr>
          <w:p>
            <w:pPr>
              <w:pStyle w:val="TableText"/>
            </w:pPr>
            <w:r>
              <w:t>Reduces first-release mobile/backend scope; installation and push-platform limitations become explicit gates.</w:t>
            </w:r>
          </w:p>
        </w:tc>
      </w:tr>
      <w:tr>
        <w:trPr>
          <w:cantSplit/>
        </w:trPr>
        <w:tc>
          <w:tcPr>
            <w:tcW w:type="dxa" w:w="3650"/>
            <w:tcMar>
              <w:top w:w="80" w:type="dxa"/>
              <w:bottom w:w="80" w:type="dxa"/>
              <w:start w:w="120" w:type="dxa"/>
              <w:end w:w="120" w:type="dxa"/>
            </w:tcMar>
          </w:tcPr>
          <w:p>
            <w:pPr>
              <w:pStyle w:val="TableText"/>
            </w:pPr>
            <w:r>
              <w:t>ADR-06: USB hub + battery backup proposal</w:t>
            </w:r>
          </w:p>
        </w:tc>
        <w:tc>
          <w:tcPr>
            <w:tcW w:type="dxa" w:w="5710"/>
            <w:tcMar>
              <w:top w:w="80" w:type="dxa"/>
              <w:bottom w:w="80" w:type="dxa"/>
              <w:start w:w="120" w:type="dxa"/>
              <w:end w:w="120" w:type="dxa"/>
            </w:tcMar>
          </w:tcPr>
          <w:p>
            <w:pPr>
              <w:pStyle w:val="TableText"/>
            </w:pPr>
            <w:r>
              <w:t>Supports an always-listening hub; battery-only preference needs a measured trade-off decision.</w:t>
            </w:r>
          </w:p>
        </w:tc>
      </w:tr>
      <w:tr>
        <w:trPr>
          <w:cantSplit/>
        </w:trPr>
        <w:tc>
          <w:tcPr>
            <w:tcW w:type="dxa" w:w="3650"/>
            <w:tcMar>
              <w:top w:w="80" w:type="dxa"/>
              <w:bottom w:w="80" w:type="dxa"/>
              <w:start w:w="120" w:type="dxa"/>
              <w:end w:w="120" w:type="dxa"/>
            </w:tcMar>
          </w:tcPr>
          <w:p>
            <w:pPr>
              <w:pStyle w:val="TableText"/>
            </w:pPr>
            <w:r>
              <w:t>ADR-07: No P0 AI inference</w:t>
            </w:r>
          </w:p>
        </w:tc>
        <w:tc>
          <w:tcPr>
            <w:tcW w:type="dxa" w:w="5710"/>
            <w:tcMar>
              <w:top w:w="80" w:type="dxa"/>
              <w:bottom w:w="80" w:type="dxa"/>
              <w:start w:w="120" w:type="dxa"/>
              <w:end w:w="120" w:type="dxa"/>
            </w:tcMar>
          </w:tcPr>
          <w:p>
            <w:pPr>
              <w:pStyle w:val="TableText"/>
            </w:pPr>
            <w:r>
              <w:t>Avoids unvalidated behavior and cloud-inference cost; differentiate through workflow and reliability.</w:t>
            </w:r>
          </w:p>
        </w:tc>
      </w:tr>
      <w:tr>
        <w:trPr>
          <w:cantSplit/>
        </w:trPr>
        <w:tc>
          <w:tcPr>
            <w:tcW w:type="dxa" w:w="3650"/>
            <w:tcMar>
              <w:top w:w="80" w:type="dxa"/>
              <w:bottom w:w="80" w:type="dxa"/>
              <w:start w:w="120" w:type="dxa"/>
              <w:end w:w="120" w:type="dxa"/>
            </w:tcMar>
          </w:tcPr>
          <w:p>
            <w:r>
              <w:t>ADR-08: Consent-withdrawal authority</w:t>
            </w:r>
          </w:p>
        </w:tc>
        <w:tc>
          <w:tcPr>
            <w:tcW w:type="dxa" w:w="5710"/>
            <w:tcMar>
              <w:top w:w="80" w:type="dxa"/>
              <w:bottom w:w="80" w:type="dxa"/>
              <w:start w:w="120" w:type="dxa"/>
              <w:end w:w="120" w:type="dxa"/>
            </w:tcMar>
          </w:tcPr>
          <w:p>
            <w:r>
              <w:t>There is no normal user-facing privacy toggle. Once authenticated withdrawal is applied at the hub, passive observation is suppressed until deliberate valid re-consent; remote mode changes cannot override that state.</w:t>
            </w:r>
          </w:p>
        </w:tc>
      </w:tr>
    </w:tbl>
    <w:p>
      <w:pPr>
        <w:pStyle w:val="TableSpacer"/>
      </w:pPr>
    </w:p>
    <w:p>
      <w:pPr>
        <w:pStyle w:val="Heading2"/>
      </w:pPr>
      <w:r>
        <w:rPr>
          <w:color w:val="000000"/>
        </w:rPr>
        <w:t>Glossary</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7010"/>
      </w:tblGrid>
      <w:tr>
        <w:trPr>
          <w:cantSplit/>
          <w:tblHeader/>
        </w:trPr>
        <w:tc>
          <w:tcPr>
            <w:tcW w:type="dxa" w:w="2350"/>
            <w:tcMar>
              <w:top w:w="80" w:type="dxa"/>
              <w:bottom w:w="80" w:type="dxa"/>
              <w:start w:w="120" w:type="dxa"/>
              <w:end w:w="120" w:type="dxa"/>
            </w:tcMar>
            <w:shd w:fill="E8EEF5"/>
          </w:tcPr>
          <w:p>
            <w:pPr>
              <w:pStyle w:val="TableText"/>
            </w:pPr>
            <w:r>
              <w:rPr>
                <w:b/>
              </w:rPr>
              <w:t>Term</w:t>
            </w:r>
          </w:p>
        </w:tc>
        <w:tc>
          <w:tcPr>
            <w:tcW w:type="dxa" w:w="7010"/>
            <w:tcMar>
              <w:top w:w="80" w:type="dxa"/>
              <w:bottom w:w="80" w:type="dxa"/>
              <w:start w:w="120" w:type="dxa"/>
              <w:end w:w="120" w:type="dxa"/>
            </w:tcMar>
            <w:shd w:fill="E8EEF5"/>
          </w:tcPr>
          <w:p>
            <w:pPr>
              <w:pStyle w:val="TableText"/>
            </w:pPr>
            <w:r>
              <w:rPr>
                <w:b/>
              </w:rPr>
              <w:t>Meaning in this specification</w:t>
            </w:r>
          </w:p>
        </w:tc>
      </w:tr>
      <w:tr>
        <w:trPr>
          <w:cantSplit/>
        </w:trPr>
        <w:tc>
          <w:tcPr>
            <w:tcW w:type="dxa" w:w="2350"/>
            <w:tcMar>
              <w:top w:w="80" w:type="dxa"/>
              <w:bottom w:w="80" w:type="dxa"/>
              <w:start w:w="120" w:type="dxa"/>
              <w:end w:w="120" w:type="dxa"/>
            </w:tcMar>
          </w:tcPr>
          <w:p>
            <w:pPr>
              <w:pStyle w:val="TableText"/>
            </w:pPr>
            <w:r>
              <w:t>P0 / P1 / P2</w:t>
            </w:r>
          </w:p>
        </w:tc>
        <w:tc>
          <w:tcPr>
            <w:tcW w:type="dxa" w:w="7010"/>
            <w:tcMar>
              <w:top w:w="80" w:type="dxa"/>
              <w:bottom w:w="80" w:type="dxa"/>
              <w:start w:w="120" w:type="dxa"/>
              <w:end w:w="120" w:type="dxa"/>
            </w:tcMar>
          </w:tcPr>
          <w:p>
            <w:pPr>
              <w:pStyle w:val="TableText"/>
            </w:pPr>
            <w:r>
              <w:t>Required first-release scope / next enhancement / later expansion.</w:t>
            </w:r>
          </w:p>
        </w:tc>
      </w:tr>
      <w:tr>
        <w:trPr>
          <w:cantSplit/>
        </w:trPr>
        <w:tc>
          <w:tcPr>
            <w:tcW w:type="dxa" w:w="2350"/>
            <w:tcMar>
              <w:top w:w="80" w:type="dxa"/>
              <w:bottom w:w="80" w:type="dxa"/>
              <w:start w:w="120" w:type="dxa"/>
              <w:end w:w="120" w:type="dxa"/>
            </w:tcMar>
          </w:tcPr>
          <w:p>
            <w:pPr>
              <w:pStyle w:val="TableText"/>
            </w:pPr>
            <w:r>
              <w:t>Evidence / coverage</w:t>
            </w:r>
          </w:p>
        </w:tc>
        <w:tc>
          <w:tcPr>
            <w:tcW w:type="dxa" w:w="7010"/>
            <w:tcMar>
              <w:top w:w="80" w:type="dxa"/>
              <w:bottom w:w="80" w:type="dxa"/>
              <w:start w:w="120" w:type="dxa"/>
              <w:end w:w="120" w:type="dxa"/>
            </w:tcMar>
          </w:tcPr>
          <w:p>
            <w:pPr>
              <w:pStyle w:val="TableText"/>
            </w:pPr>
            <w:r>
              <w:t>An observed event / the availability and limitations of the observation path.</w:t>
            </w:r>
          </w:p>
        </w:tc>
      </w:tr>
      <w:tr>
        <w:trPr>
          <w:cantSplit/>
        </w:trPr>
        <w:tc>
          <w:tcPr>
            <w:tcW w:type="dxa" w:w="2350"/>
            <w:tcMar>
              <w:top w:w="80" w:type="dxa"/>
              <w:bottom w:w="80" w:type="dxa"/>
              <w:start w:w="120" w:type="dxa"/>
              <w:end w:w="120" w:type="dxa"/>
            </w:tcMar>
          </w:tcPr>
          <w:p>
            <w:pPr>
              <w:pStyle w:val="TableText"/>
            </w:pPr>
            <w:r>
              <w:t>ACK / commit ACK</w:t>
            </w:r>
          </w:p>
        </w:tc>
        <w:tc>
          <w:tcPr>
            <w:tcW w:type="dxa" w:w="7010"/>
            <w:tcMar>
              <w:top w:w="80" w:type="dxa"/>
              <w:bottom w:w="80" w:type="dxa"/>
              <w:start w:w="120" w:type="dxa"/>
              <w:end w:w="120" w:type="dxa"/>
            </w:tcMar>
          </w:tcPr>
          <w:p>
            <w:pPr>
              <w:pStyle w:val="TableText"/>
            </w:pPr>
            <w:r>
              <w:t>Acknowledgement; commit ACK means the specified application store has durably accepted the event, not that a human acted.</w:t>
            </w:r>
          </w:p>
        </w:tc>
      </w:tr>
      <w:tr>
        <w:trPr>
          <w:cantSplit/>
        </w:trPr>
        <w:tc>
          <w:tcPr>
            <w:tcW w:type="dxa" w:w="2350"/>
            <w:tcMar>
              <w:top w:w="80" w:type="dxa"/>
              <w:bottom w:w="80" w:type="dxa"/>
              <w:start w:w="120" w:type="dxa"/>
              <w:end w:w="120" w:type="dxa"/>
            </w:tcMar>
          </w:tcPr>
          <w:p>
            <w:pPr>
              <w:pStyle w:val="TableText"/>
            </w:pPr>
            <w:r>
              <w:t>Idempotency</w:t>
            </w:r>
          </w:p>
        </w:tc>
        <w:tc>
          <w:tcPr>
            <w:tcW w:type="dxa" w:w="7010"/>
            <w:tcMar>
              <w:top w:w="80" w:type="dxa"/>
              <w:bottom w:w="80" w:type="dxa"/>
              <w:start w:w="120" w:type="dxa"/>
              <w:end w:w="120" w:type="dxa"/>
            </w:tcMar>
          </w:tcPr>
          <w:p>
            <w:pPr>
              <w:pStyle w:val="TableText"/>
            </w:pPr>
            <w:r>
              <w:t>Repeating the same operation ID has one business effect.</w:t>
            </w:r>
          </w:p>
        </w:tc>
      </w:tr>
      <w:tr>
        <w:trPr>
          <w:cantSplit/>
        </w:trPr>
        <w:tc>
          <w:tcPr>
            <w:tcW w:type="dxa" w:w="2350"/>
            <w:tcMar>
              <w:top w:w="80" w:type="dxa"/>
              <w:bottom w:w="80" w:type="dxa"/>
              <w:start w:w="120" w:type="dxa"/>
              <w:end w:w="120" w:type="dxa"/>
            </w:tcMar>
          </w:tcPr>
          <w:p>
            <w:pPr>
              <w:pStyle w:val="TableText"/>
            </w:pPr>
            <w:r>
              <w:t>Outbox / lease</w:t>
            </w:r>
          </w:p>
        </w:tc>
        <w:tc>
          <w:tcPr>
            <w:tcW w:type="dxa" w:w="7010"/>
            <w:tcMar>
              <w:top w:w="80" w:type="dxa"/>
              <w:bottom w:w="80" w:type="dxa"/>
              <w:start w:w="120" w:type="dxa"/>
              <w:end w:w="120" w:type="dxa"/>
            </w:tcMar>
          </w:tcPr>
          <w:p>
            <w:pPr>
              <w:pStyle w:val="TableText"/>
            </w:pPr>
            <w:r>
              <w:t>Durable pending message intent / time-limited ownership or reachability validity.</w:t>
            </w:r>
          </w:p>
        </w:tc>
      </w:tr>
      <w:tr>
        <w:trPr>
          <w:cantSplit/>
        </w:trPr>
        <w:tc>
          <w:tcPr>
            <w:tcW w:type="dxa" w:w="2350"/>
            <w:tcMar>
              <w:top w:w="80" w:type="dxa"/>
              <w:bottom w:w="80" w:type="dxa"/>
              <w:start w:w="120" w:type="dxa"/>
              <w:end w:w="120" w:type="dxa"/>
            </w:tcMar>
          </w:tcPr>
          <w:p>
            <w:pPr>
              <w:pStyle w:val="TableText"/>
            </w:pPr>
            <w:r>
              <w:t>RPO / RTO</w:t>
            </w:r>
          </w:p>
        </w:tc>
        <w:tc>
          <w:tcPr>
            <w:tcW w:type="dxa" w:w="7010"/>
            <w:tcMar>
              <w:top w:w="80" w:type="dxa"/>
              <w:bottom w:w="80" w:type="dxa"/>
              <w:start w:w="120" w:type="dxa"/>
              <w:end w:w="120" w:type="dxa"/>
            </w:tcMar>
          </w:tcPr>
          <w:p>
            <w:pPr>
              <w:pStyle w:val="TableText"/>
            </w:pPr>
            <w:r>
              <w:t>Maximum intended data-loss window / intended recovery time; neither is a demonstrated guarantee here.</w:t>
            </w:r>
          </w:p>
        </w:tc>
      </w:tr>
      <w:tr>
        <w:trPr>
          <w:cantSplit/>
        </w:trPr>
        <w:tc>
          <w:tcPr>
            <w:tcW w:type="dxa" w:w="2350"/>
            <w:tcMar>
              <w:top w:w="80" w:type="dxa"/>
              <w:bottom w:w="80" w:type="dxa"/>
              <w:start w:w="120" w:type="dxa"/>
              <w:end w:w="120" w:type="dxa"/>
            </w:tcMar>
          </w:tcPr>
          <w:p>
            <w:pPr>
              <w:pStyle w:val="TableText"/>
            </w:pPr>
            <w:r>
              <w:t>OIDC / RLS / SSE</w:t>
            </w:r>
          </w:p>
        </w:tc>
        <w:tc>
          <w:tcPr>
            <w:tcW w:type="dxa" w:w="7010"/>
            <w:tcMar>
              <w:top w:w="80" w:type="dxa"/>
              <w:bottom w:w="80" w:type="dxa"/>
              <w:start w:w="120" w:type="dxa"/>
              <w:end w:w="120" w:type="dxa"/>
            </w:tcMar>
          </w:tcPr>
          <w:p>
            <w:pPr>
              <w:pStyle w:val="TableText"/>
            </w:pPr>
            <w:r>
              <w:t>OpenID Connect authentication / database row-level security / server-sent foreground change events.</w:t>
            </w:r>
          </w:p>
        </w:tc>
      </w:tr>
      <w:tr>
        <w:trPr>
          <w:cantSplit/>
        </w:trPr>
        <w:tc>
          <w:tcPr>
            <w:tcW w:type="dxa" w:w="2350"/>
            <w:tcMar>
              <w:top w:w="80" w:type="dxa"/>
              <w:bottom w:w="80" w:type="dxa"/>
              <w:start w:w="120" w:type="dxa"/>
              <w:end w:w="120" w:type="dxa"/>
            </w:tcMar>
          </w:tcPr>
          <w:p>
            <w:pPr>
              <w:pStyle w:val="TableText"/>
            </w:pPr>
            <w:r>
              <w:t>Time uncertainty</w:t>
            </w:r>
          </w:p>
        </w:tc>
        <w:tc>
          <w:tcPr>
            <w:tcW w:type="dxa" w:w="7010"/>
            <w:tcMar>
              <w:top w:w="80" w:type="dxa"/>
              <w:bottom w:w="80" w:type="dxa"/>
              <w:start w:w="120" w:type="dxa"/>
              <w:end w:w="120" w:type="dxa"/>
            </w:tcMar>
          </w:tcPr>
          <w:p>
            <w:pPr>
              <w:pStyle w:val="TableText"/>
            </w:pPr>
            <w:r>
              <w:t>Bound on when an event may have occurred; not silently replaced by upload time.</w:t>
            </w:r>
          </w:p>
        </w:tc>
      </w:tr>
    </w:tbl>
    <w:p>
      <w:pPr>
        <w:pStyle w:val="TableSpacer"/>
      </w:pPr>
    </w:p>
    <w:p>
      <w:pPr>
        <w:pStyle w:val="Heading2"/>
        <w:pageBreakBefore/>
      </w:pPr>
      <w:r>
        <w:rPr>
          <w:color w:val="000000"/>
        </w:rPr>
        <w:t>Source register and research boundary</w:t>
      </w:r>
    </w:p>
    <w:p>
      <w:pPr>
        <w:pStyle w:val="SpecBody"/>
      </w:pPr>
      <w:r>
        <w:t>Technical and competitor sources checked through 7 September 2026. Numbered references support platform or competitor facts; thresholds, architecture choices, effort, capacity, pricing and battery calculations remain proposed engineering assumptions. The startup blueprint and field-layout conversation provide product context, not evidence of working hardware, clinical performance or validated demand.</w:t>
      </w:r>
    </w:p>
    <w:p>
      <w:pPr>
        <w:pStyle w:val="SpecBody"/>
      </w:pPr>
      <w:r>
        <w:rPr>
          <w:b/>
        </w:rPr>
        <w:t xml:space="preserve">[S1] </w:t>
      </w:r>
      <w:hyperlink r:id="rId12">
        <w:r>
          <w:rPr>
            <w:color w:val="2E74B5"/>
          </w:rPr>
          <w:t>Espressif — ESP-NOW, ESP32-C3</w:t>
        </w:r>
      </w:hyperlink>
    </w:p>
    <w:p>
      <w:pPr>
        <w:pStyle w:val="Micro"/>
      </w:pPr>
      <w:r>
        <w:t>Packet compatibility, encrypted peers, channels and MAC versus application acknowledgement.</w:t>
      </w:r>
    </w:p>
    <w:p>
      <w:pPr>
        <w:pStyle w:val="SpecBody"/>
      </w:pPr>
      <w:r>
        <w:rPr>
          <w:b/>
        </w:rPr>
        <w:t xml:space="preserve">[S2] </w:t>
      </w:r>
      <w:hyperlink r:id="rId13">
        <w:r>
          <w:rPr>
            <w:color w:val="2E74B5"/>
          </w:rPr>
          <w:t>Espressif — ESP-IDF OTA, ESP32</w:t>
        </w:r>
      </w:hyperlink>
    </w:p>
    <w:p>
      <w:pPr>
        <w:pStyle w:val="Micro"/>
      </w:pPr>
      <w:r>
        <w:t>Signed-image/update mechanisms and pending verification/rollback behavior.</w:t>
      </w:r>
    </w:p>
    <w:p>
      <w:pPr>
        <w:pStyle w:val="SpecBody"/>
      </w:pPr>
      <w:r>
        <w:rPr>
          <w:b/>
        </w:rPr>
        <w:t xml:space="preserve">[S3] </w:t>
      </w:r>
      <w:hyperlink r:id="rId14">
        <w:r>
          <w:rPr>
            <w:color w:val="2E74B5"/>
          </w:rPr>
          <w:t>Espressif — Non-Volatile Storage</w:t>
        </w:r>
      </w:hyperlink>
    </w:p>
    <w:p>
      <w:pPr>
        <w:pStyle w:val="Micro"/>
      </w:pPr>
      <w:r>
        <w:t>Small key-value persistence and storage behavior. The bounded host journal and ACK semantics are implemented; the ESP-IDF flash-partition adapter, CRC/commit marker, wear measurements and interrupted-write qualification remain hardware work.</w:t>
      </w:r>
    </w:p>
    <w:p>
      <w:pPr>
        <w:pStyle w:val="SpecBody"/>
      </w:pPr>
      <w:r>
        <w:rPr>
          <w:b/>
        </w:rPr>
        <w:t xml:space="preserve">[S4] </w:t>
      </w:r>
      <w:hyperlink r:id="rId15">
        <w:r>
          <w:rPr>
            <w:color w:val="2E74B5"/>
          </w:rPr>
          <w:t>WebKit — Web Push for iOS and iPadOS</w:t>
        </w:r>
      </w:hyperlink>
    </w:p>
    <w:p>
      <w:pPr>
        <w:pStyle w:val="Micro"/>
      </w:pPr>
      <w:r>
        <w:t>Home Screen web apps, user-gesture permission and platform support constraints; not a delivery SLA.</w:t>
      </w:r>
    </w:p>
    <w:p>
      <w:pPr>
        <w:pStyle w:val="SpecBody"/>
      </w:pPr>
      <w:r>
        <w:rPr>
          <w:b/>
        </w:rPr>
        <w:t xml:space="preserve">[S5] </w:t>
      </w:r>
      <w:hyperlink r:id="rId16">
        <w:r>
          <w:rPr>
            <w:color w:val="2E74B5"/>
          </w:rPr>
          <w:t>OASIS — MQTT 3.1.1 specification</w:t>
        </w:r>
      </w:hyperlink>
    </w:p>
    <w:p>
      <w:pPr>
        <w:pStyle w:val="Micro"/>
      </w:pPr>
      <w:r>
        <w:t>QoS 1, persistent sessions and Last Will; broker delivery is not a business database commit.</w:t>
      </w:r>
    </w:p>
    <w:p>
      <w:pPr>
        <w:pStyle w:val="SpecBody"/>
      </w:pPr>
      <w:r>
        <w:rPr>
          <w:b/>
        </w:rPr>
        <w:t xml:space="preserve">[S6] </w:t>
      </w:r>
      <w:hyperlink r:id="rId17">
        <w:r>
          <w:rPr>
            <w:color w:val="2E74B5"/>
          </w:rPr>
          <w:t>Espressif — ESP32 security overview</w:t>
        </w:r>
      </w:hyperlink>
    </w:p>
    <w:p>
      <w:pPr>
        <w:pStyle w:val="Micro"/>
      </w:pPr>
      <w:r>
        <w:t>Secure boot, flash encryption and development/production lifecycle considerations.</w:t>
      </w:r>
    </w:p>
    <w:p>
      <w:pPr>
        <w:pStyle w:val="SpecBody"/>
      </w:pPr>
      <w:r>
        <w:rPr>
          <w:b/>
        </w:rPr>
        <w:t xml:space="preserve">[S7] </w:t>
      </w:r>
      <w:hyperlink r:id="rId18">
        <w:r>
          <w:rPr>
            <w:color w:val="2E74B5"/>
          </w:rPr>
          <w:t>PostgreSQL — Row security policies</w:t>
        </w:r>
      </w:hyperlink>
    </w:p>
    <w:p>
      <w:pPr>
        <w:pStyle w:val="Micro"/>
      </w:pPr>
      <w:r>
        <w:t>Tenant-isolation defense in depth and role/owner bypass considerations.</w:t>
      </w:r>
    </w:p>
    <w:p>
      <w:pPr>
        <w:pStyle w:val="SpecBody"/>
      </w:pPr>
      <w:r>
        <w:rPr>
          <w:b/>
        </w:rPr>
        <w:t xml:space="preserve">[S8] </w:t>
      </w:r>
      <w:hyperlink r:id="rId19">
        <w:r>
          <w:rPr>
            <w:color w:val="2E74B5"/>
          </w:rPr>
          <w:t>Texas Instruments — TPS63020</w:t>
        </w:r>
      </w:hyperlink>
    </w:p>
    <w:p>
      <w:pPr>
        <w:pStyle w:val="Micro"/>
      </w:pPr>
      <w:r>
        <w:t>Buck-boost converter, not a charger; IC specifications do not validate an unknown purchased module.</w:t>
      </w:r>
    </w:p>
    <w:p>
      <w:pPr>
        <w:pStyle w:val="SpecBody"/>
      </w:pPr>
      <w:r>
        <w:rPr>
          <w:b/>
        </w:rPr>
        <w:t xml:space="preserve">[S9] </w:t>
      </w:r>
      <w:hyperlink r:id="rId20">
        <w:r>
          <w:rPr>
            <w:color w:val="2E74B5"/>
          </w:rPr>
          <w:t>Texas Instruments — BQ24074</w:t>
        </w:r>
      </w:hyperlink>
    </w:p>
    <w:p>
      <w:pPr>
        <w:pStyle w:val="Micro"/>
      </w:pPr>
      <w:r>
        <w:t>Example single-cell charger with power-path management; candidate, not an approved battery BOM.</w:t>
      </w:r>
    </w:p>
    <w:p>
      <w:pPr>
        <w:pStyle w:val="SpecBody"/>
      </w:pPr>
      <w:r>
        <w:rPr>
          <w:b/>
        </w:rPr>
        <w:t xml:space="preserve">[S10] </w:t>
      </w:r>
      <w:hyperlink r:id="rId21">
        <w:r>
          <w:rPr>
            <w:color w:val="2E74B5"/>
          </w:rPr>
          <w:t>Home Assistant — 2026.9 release, 2 September 2026</w:t>
        </w:r>
      </w:hyperlink>
    </w:p>
    <w:p>
      <w:pPr>
        <w:pStyle w:val="Micro"/>
      </w:pPr>
      <w:r>
        <w:t>Current smart-home software context; not demand or sales evidence for this proposed product.</w:t>
      </w:r>
    </w:p>
    <w:p>
      <w:r>
        <w:rPr>
          <w:b/>
          <w:color w:val="1F4D78"/>
        </w:rPr>
        <w:t>[S11] Nomo Smart Care — Essential Care Kit, FAQs, app and privacy policy</w:t>
      </w:r>
    </w:p>
    <w:p>
      <w:r>
        <w:t>Reference for hub/satellite/tag packaging, caregiver workflow, routine goals, installation/test expectations and claim/privacy boundaries. Hardware and service facts are competitor evidence, not proof of Ghar Sajag demand.</w:t>
      </w:r>
    </w:p>
    <w:p>
      <w:pPr>
        <w:spacing w:after="100"/>
      </w:pPr>
      <w:r>
        <w:rPr>
          <w:color w:val="2E74B5"/>
          <w:sz w:val="18"/>
        </w:rPr>
        <w:t>https://nomosmartcare.com/products/essential-care-kit | https://nomosmartcare.com/pages/faqs | https://nomosmartcare.com/pages/the-nomo-app | https://nomosmartcare.com/pages/privacy-policy</w:t>
      </w:r>
    </w:p>
    <w:p>
      <w:r>
        <w:rPr>
          <w:b/>
          <w:color w:val="1F4D78"/>
        </w:rPr>
        <w:t>[S12] I’m Alive — Personal Safety &amp; Fall Detection App</w:t>
      </w:r>
    </w:p>
    <w:p>
      <w:r>
        <w:t>Reference for phone/app-only check-in positioning. It is a software-led competitor and does not establish distributed household sensing or recipient independence.</w:t>
      </w:r>
    </w:p>
    <w:p>
      <w:pPr>
        <w:spacing w:after="100"/>
      </w:pPr>
      <w:r>
        <w:rPr>
          <w:color w:val="2E74B5"/>
          <w:sz w:val="18"/>
        </w:rPr>
        <w:t>https://imalive.co/</w:t>
      </w:r>
    </w:p>
    <w:p>
      <w:pPr>
        <w:pStyle w:val="SpecBody"/>
      </w:pPr>
      <w:r>
        <w:t>Research limits: competitor websites describe marketed behavior and pricing, not verified sales, clinical accuracy or sustained household outcomes. No exact battery-pack specification, supplier BOM quotation, installed-phone performance, measured radio/battery profile, implemented software, security audit, clinical validation or paid-demand data was available for this specification. Do not treat a reference-board, IC or competitor claim as verification of a purchased module or Ghar Sajag capability. All implementation and release tests remain to be executed.</w:t>
      </w:r>
    </w:p>
    <w:p>
      <w:pPr>
        <w:pStyle w:val="SpecBody"/>
      </w:pPr>
      <w:r>
        <w:t>Next engineering action: complete the contract-driven one-event vertical slice with one ESP32 DevKit V1 hub and one C3+PIR node, then add the remaining nodes and run the v1.1 Test alert drill on a real caregiver phone. Do not begin fall detection, medicine claims, custom PCBs or professional-response integration before the P0 evidence and coverage semantics pass the release-delta tests above.</w:t>
      </w:r>
    </w:p>
    <w:p>
      <w:pPr>
        <w:pStyle w:val="Heading1"/>
      </w:pPr>
      <w:r>
        <w:rPr>
          <w:color w:val="000000"/>
        </w:rPr>
        <w:t>Appendix C. v1.2 implementation handoff</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4D78"/>
                <w:sz w:val="19"/>
              </w:rPr>
              <w:t>Delivered boundary: host-executable reference implementation for all 32 module responsibilities. Not delivered: hardware-qualified ESP-IDF firmware, production cryptography, durable PostgreSQL deployment, real OIDC/Web Push integrations or field evidence.</w:t>
            </w:r>
          </w:p>
        </w:tc>
      </w:tr>
    </w:tbl>
    <w:p>
      <w:pPr>
        <w:pStyle w:val="Heading2"/>
      </w:pPr>
      <w:r>
        <w:rPr>
          <w:color w:val="000000"/>
        </w:rPr>
        <w:t>Verification evidence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800"/>
        <w:gridCol w:w="2700"/>
        <w:gridCol w:w="4860"/>
      </w:tblGrid>
      <w:tr>
        <w:trPr>
          <w:cantSplit/>
          <w:tblHeader w:val="true"/>
        </w:trPr>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Check</w:t>
            </w:r>
          </w:p>
        </w:tc>
        <w:tc>
          <w:tcPr>
            <w:tcW w:type="dxa" w:w="2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Result on 7 September 2026</w:t>
            </w:r>
          </w:p>
        </w:tc>
        <w:tc>
          <w:tcPr>
            <w:tcW w:type="dxa" w:w="48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Contracts</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3 JSON schemas + OpenAPI surface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Required fields/version boundary are structurally present.</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Portable C++</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Strict C++17 build; 52 assertions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Node/hub/shared algorithms and runtime composition executed on host.</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Simulator</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1 motion event persisted/replayed; no false missing incident</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One local-first vertical slice executed without hardware.</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Backend</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10 Python unittest cases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Roles, consent, idempotency, incident/routing, summary and projections executed.</w:t>
            </w:r>
          </w:p>
        </w:tc>
      </w:tr>
      <w:tr>
        <w:trPr>
          <w:cantSplit/>
        </w:trPr>
        <w:tc>
          <w:tcPr>
            <w:tcW w:type="dxa" w:w="1800"/>
            <w:tcMar>
              <w:top w:w="80" w:type="dxa"/>
              <w:start w:w="120" w:type="dxa"/>
              <w:bottom w:w="80" w:type="dxa"/>
              <w:end w:w="120" w:type="dxa"/>
            </w:tcMar>
            <w:vAlign w:val="center"/>
          </w:tcPr>
          <w:p>
            <w:pPr>
              <w:spacing w:before="0" w:after="60" w:line="240" w:lineRule="auto"/>
            </w:pPr>
            <w:r>
              <w:rPr>
                <w:rFonts w:ascii="Calibri" w:hAnsi="Calibri"/>
                <w:sz w:val="17"/>
              </w:rPr>
              <w:t>App domain</w:t>
            </w:r>
          </w:p>
        </w:tc>
        <w:tc>
          <w:tcPr>
            <w:tcW w:type="dxa" w:w="2700"/>
            <w:tcMar>
              <w:top w:w="80" w:type="dxa"/>
              <w:start w:w="120" w:type="dxa"/>
              <w:bottom w:w="80" w:type="dxa"/>
              <w:end w:w="120" w:type="dxa"/>
            </w:tcMar>
            <w:vAlign w:val="center"/>
          </w:tcPr>
          <w:p>
            <w:pPr>
              <w:spacing w:before="0" w:after="60" w:line="240" w:lineRule="auto"/>
            </w:pPr>
            <w:r>
              <w:rPr>
                <w:rFonts w:ascii="Calibri" w:hAnsi="Calibri"/>
                <w:sz w:val="17"/>
              </w:rPr>
              <w:t>6 Node.js tests passed</w:t>
            </w:r>
          </w:p>
        </w:tc>
        <w:tc>
          <w:tcPr>
            <w:tcW w:type="dxa" w:w="4860"/>
            <w:tcMar>
              <w:top w:w="80" w:type="dxa"/>
              <w:start w:w="120" w:type="dxa"/>
              <w:bottom w:w="80" w:type="dxa"/>
              <w:end w:w="120" w:type="dxa"/>
            </w:tcMar>
            <w:vAlign w:val="center"/>
          </w:tcPr>
          <w:p>
            <w:pPr>
              <w:spacing w:before="0" w:after="60" w:line="240" w:lineRule="auto"/>
            </w:pPr>
            <w:r>
              <w:rPr>
                <w:rFonts w:ascii="Calibri" w:hAnsi="Calibri"/>
                <w:sz w:val="17"/>
              </w:rPr>
              <w:t>Validation, evidence/status display, actions, cache and push state executed.</w:t>
            </w:r>
          </w:p>
        </w:tc>
      </w:tr>
    </w:tbl>
    <w:p>
      <w:pPr>
        <w:pStyle w:val="Heading2"/>
      </w:pPr>
      <w:r>
        <w:rPr>
          <w:color w:val="000000"/>
        </w:rPr>
        <w:t>Development flow from this baseline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2900"/>
        <w:gridCol w:w="57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Order</w:t>
            </w:r>
          </w:p>
        </w:tc>
        <w:tc>
          <w:tcPr>
            <w:tcW w:type="dxa" w:w="2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Work package</w:t>
            </w:r>
          </w:p>
        </w:tc>
        <w:tc>
          <w:tcPr>
            <w:tcW w:type="dxa" w:w="57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Exit before moving 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1</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Run/understand host suite</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Another engineer runs make verify and traces one event through NodeRuntime, HubRuntime, backend and app view.</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2</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ESP-IDF skeleton and board profiles</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Pinned toolchain builds for exact DevKit V1/C3 variants; GPIO/power constraints documented.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3</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One real motion vertical slice</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PIR → C3 journal → ESP-NOW → hub flash → dashboard; power loss and duplicate injection pass.</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4</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Local routine + resident controls</w:t>
            </w:r>
          </w:p>
        </w:tc>
        <w:tc>
          <w:tcPr>
            <w:tcW w:type="dxa" w:w="5760"/>
            <w:tcMar>
              <w:top w:w="80" w:type="dxa"/>
              <w:start w:w="120" w:type="dxa"/>
              <w:bottom w:w="80" w:type="dxa"/>
              <w:end w:w="120" w:type="dxa"/>
            </w:tcMar>
            <w:vAlign w:val="center"/>
          </w:tcPr>
          <w:p>
            <w:r>
              <w:t>Trusted time, coverage, OK/Call, consent gating and offline behavior pass on bench.</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5</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Real caregiver path</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OIDC, PostgreSQL, MQTT/TLS and Web Push pass primary/backup and failure-visibility tests.</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7"/>
              </w:rPr>
              <w:t>6</w:t>
            </w:r>
          </w:p>
        </w:tc>
        <w:tc>
          <w:tcPr>
            <w:tcW w:type="dxa" w:w="2900"/>
            <w:tcMar>
              <w:top w:w="80" w:type="dxa"/>
              <w:start w:w="120" w:type="dxa"/>
              <w:bottom w:w="80" w:type="dxa"/>
              <w:end w:w="120" w:type="dxa"/>
            </w:tcMar>
            <w:vAlign w:val="center"/>
          </w:tcPr>
          <w:p>
            <w:pPr>
              <w:spacing w:before="0" w:after="60" w:line="240" w:lineRule="auto"/>
            </w:pPr>
            <w:r>
              <w:rPr>
                <w:rFonts w:ascii="Calibri" w:hAnsi="Calibri"/>
                <w:sz w:val="17"/>
              </w:rPr>
              <w:t>Four-node installed-home gate</w:t>
            </w:r>
          </w:p>
        </w:tc>
        <w:tc>
          <w:tcPr>
            <w:tcW w:type="dxa" w:w="5760"/>
            <w:tcMar>
              <w:top w:w="80" w:type="dxa"/>
              <w:start w:w="120" w:type="dxa"/>
              <w:bottom w:w="80" w:type="dxa"/>
              <w:end w:w="120" w:type="dxa"/>
            </w:tcMar>
            <w:vAlign w:val="center"/>
          </w:tcPr>
          <w:p>
            <w:pPr>
              <w:spacing w:before="0" w:after="60" w:line="240" w:lineRule="auto"/>
            </w:pPr>
            <w:r>
              <w:rPr>
                <w:rFonts w:ascii="Calibri" w:hAnsi="Calibri"/>
                <w:sz w:val="17"/>
              </w:rPr>
              <w:t>Every source, power transition, 72-hour WAN outage, recovery and TEST drill has recorded evidence.</w:t>
            </w:r>
          </w:p>
        </w:tc>
      </w:tr>
    </w:tbl>
    <w:p>
      <w:pPr>
        <w:pStyle w:val="Heading2"/>
      </w:pPr>
      <w:r>
        <w:rPr>
          <w:color w:val="000000"/>
        </w:rPr>
        <w:t>Implementation package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Root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ghar_sajag_reference/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Build</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verify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Status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IMPLEMENTATION_STATUS.md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Evidence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VERIFICATION_REPORT.md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FreeRTOS binding</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firmware/hub/runtime/FREERTOS_BINDING.md</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Detailed code design</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Ghar_Sajag_Hardware_Independent_Low_Level_Design_v1.0.docx</w:t>
            </w:r>
          </w:p>
        </w:tc>
      </w:tr>
    </w:tbl>
    <w:p>
      <w:r>
        <w:br w:type="page"/>
      </w:r>
    </w:p>
    <w:p>
      <w:pPr>
        <w:pStyle w:val="Heading1"/>
      </w:pPr>
      <w:r>
        <w:rPr>
          <w:color w:val="000000"/>
        </w:rPr>
        <w:t>Diagnostic logging requirements and implementation status</w:t>
      </w:r>
    </w:p>
    <w:p>
      <w:r>
        <w:t>Version 1.3 addendum · 8 September 2026</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ID</w:t>
            </w:r>
          </w:p>
        </w:tc>
        <w:tc>
          <w:tcPr>
            <w:tcW w:type="dxa" w:w="3120"/>
            <w:shd w:fill="D9EAF7"/>
          </w:tcPr>
          <w:p>
            <w:r>
              <w:rPr>
                <w:b/>
              </w:rPr>
              <w:t>P0 requirement</w:t>
            </w:r>
          </w:p>
        </w:tc>
        <w:tc>
          <w:tcPr>
            <w:tcW w:type="dxa" w:w="3120"/>
            <w:shd w:fill="D9EAF7"/>
          </w:tcPr>
          <w:p>
            <w:r>
              <w:rPr>
                <w:b/>
              </w:rPr>
              <w:t>Status / evidence</w:t>
            </w:r>
          </w:p>
        </w:tc>
      </w:tr>
      <w:tr>
        <w:tc>
          <w:tcPr>
            <w:tcW w:type="dxa" w:w="3120"/>
          </w:tcPr>
          <w:p>
            <w:r>
              <w:t>L01</w:t>
            </w:r>
          </w:p>
        </w:tc>
        <w:tc>
          <w:tcPr>
            <w:tcW w:type="dxa" w:w="3120"/>
          </w:tcPr>
          <w:p>
            <w:r>
              <w:t>ERROR logging shall remain available in commercial builds.</w:t>
            </w:r>
          </w:p>
        </w:tc>
        <w:tc>
          <w:tcPr>
            <w:tcW w:type="dxa" w:w="3120"/>
          </w:tcPr>
          <w:p>
            <w:r>
              <w:t>Implemented; production test confirms ERROR output.</w:t>
            </w:r>
          </w:p>
        </w:tc>
      </w:tr>
      <w:tr>
        <w:tc>
          <w:tcPr>
            <w:tcW w:type="dxa" w:w="3120"/>
          </w:tcPr>
          <w:p>
            <w:r>
              <w:t>L02</w:t>
            </w:r>
          </w:p>
        </w:tc>
        <w:tc>
          <w:tcPr>
            <w:tcW w:type="dxa" w:w="3120"/>
          </w:tcPr>
          <w:p>
            <w:r>
              <w:t>TRACE logging shall be disabled by default and build/deployment configurable.</w:t>
            </w:r>
          </w:p>
        </w:tc>
        <w:tc>
          <w:tcPr>
            <w:tcW w:type="dxa" w:w="3120"/>
          </w:tcPr>
          <w:p>
            <w:r>
              <w:t>Implemented; C++ compile gate, backend setting and app build flag.</w:t>
            </w:r>
          </w:p>
        </w:tc>
      </w:tr>
      <w:tr>
        <w:tc>
          <w:tcPr>
            <w:tcW w:type="dxa" w:w="3120"/>
          </w:tcPr>
          <w:p>
            <w:r>
              <w:t>L03</w:t>
            </w:r>
          </w:p>
        </w:tc>
        <w:tc>
          <w:tcPr>
            <w:tcW w:type="dxa" w:w="3120"/>
          </w:tcPr>
          <w:p>
            <w:r>
              <w:t>ERROR shall be reserved for critical flow breaks, not expected household states.</w:t>
            </w:r>
          </w:p>
        </w:tc>
        <w:tc>
          <w:tcPr>
            <w:tcW w:type="dxa" w:w="3120"/>
          </w:tcPr>
          <w:p>
            <w:r>
              <w:t>Implemented in selected capacity, authorization, credential and service failure paths.</w:t>
            </w:r>
          </w:p>
        </w:tc>
      </w:tr>
      <w:tr>
        <w:tc>
          <w:tcPr>
            <w:tcW w:type="dxa" w:w="3120"/>
          </w:tcPr>
          <w:p>
            <w:r>
              <w:t>L04</w:t>
            </w:r>
          </w:p>
        </w:tc>
        <w:tc>
          <w:tcPr>
            <w:tcW w:type="dxa" w:w="3120"/>
          </w:tcPr>
          <w:p>
            <w:r>
              <w:t>Records shall identify level, category, module, event and bounded detail.</w:t>
            </w:r>
          </w:p>
        </w:tc>
        <w:tc>
          <w:tcPr>
            <w:tcW w:type="dxa" w:w="3120"/>
          </w:tcPr>
          <w:p>
            <w:r>
              <w:t>Implemented with one-line text contract.</w:t>
            </w:r>
          </w:p>
        </w:tc>
      </w:tr>
      <w:tr>
        <w:tc>
          <w:tcPr>
            <w:tcW w:type="dxa" w:w="3120"/>
          </w:tcPr>
          <w:p>
            <w:r>
              <w:t>L05</w:t>
            </w:r>
          </w:p>
        </w:tc>
        <w:tc>
          <w:tcPr>
            <w:tcW w:type="dxa" w:w="3120"/>
          </w:tcPr>
          <w:p>
            <w:r>
              <w:t>Diagnostic storage shall be bounded.</w:t>
            </w:r>
          </w:p>
        </w:tc>
        <w:tc>
          <w:tcPr>
            <w:tcW w:type="dxa" w:w="3120"/>
          </w:tcPr>
          <w:p>
            <w:r>
              <w:t>Host/backend rotation and browser ring implemented; ESP32 sink pending.</w:t>
            </w:r>
          </w:p>
        </w:tc>
      </w:tr>
      <w:tr>
        <w:tc>
          <w:tcPr>
            <w:tcW w:type="dxa" w:w="3120"/>
          </w:tcPr>
          <w:p>
            <w:r>
              <w:t>L06</w:t>
            </w:r>
          </w:p>
        </w:tc>
        <w:tc>
          <w:tcPr>
            <w:tcW w:type="dxa" w:w="3120"/>
          </w:tcPr>
          <w:p>
            <w:r>
              <w:t>A logging failure shall not stop safety-related product logic.</w:t>
            </w:r>
          </w:p>
        </w:tc>
        <w:tc>
          <w:tcPr>
            <w:tcW w:type="dxa" w:w="3120"/>
          </w:tcPr>
          <w:p>
            <w:r>
              <w:t>Implemented by noexcept/best-effort C++ sink design; hardware fault-injection pending.</w:t>
            </w:r>
          </w:p>
        </w:tc>
      </w:tr>
      <w:tr>
        <w:tc>
          <w:tcPr>
            <w:tcW w:type="dxa" w:w="3120"/>
          </w:tcPr>
          <w:p>
            <w:r>
              <w:t>L07</w:t>
            </w:r>
          </w:p>
        </w:tc>
        <w:tc>
          <w:tcPr>
            <w:tcW w:type="dxa" w:w="3120"/>
          </w:tcPr>
          <w:p>
            <w:r>
              <w:t>Logs shall exclude secrets and resident activity payloads.</w:t>
            </w:r>
          </w:p>
        </w:tc>
        <w:tc>
          <w:tcPr>
            <w:tcW w:type="dxa" w:w="3120"/>
          </w:tcPr>
          <w:p>
            <w:r>
              <w:t>Policy implemented; release review remains mandatory.</w:t>
            </w:r>
          </w:p>
        </w:tc>
      </w:tr>
      <w:tr>
        <w:tc>
          <w:tcPr>
            <w:tcW w:type="dxa" w:w="3120"/>
          </w:tcPr>
          <w:p>
            <w:r>
              <w:t>L08</w:t>
            </w:r>
          </w:p>
        </w:tc>
        <w:tc>
          <w:tcPr>
            <w:tcW w:type="dxa" w:w="3120"/>
          </w:tcPr>
          <w:p>
            <w:r>
              <w:t>Development traces shall show module call flow.</w:t>
            </w:r>
          </w:p>
        </w:tc>
        <w:tc>
          <w:tcPr>
            <w:tcW w:type="dxa" w:w="3120"/>
          </w:tcPr>
          <w:p>
            <w:r>
              <w:t>Implemented across N, H, S, B and A module groups.</w:t>
            </w:r>
          </w:p>
        </w:tc>
      </w:tr>
      <w:tr>
        <w:tc>
          <w:tcPr>
            <w:tcW w:type="dxa" w:w="3120"/>
          </w:tcPr>
          <w:p>
            <w:r>
              <w:t>L09</w:t>
            </w:r>
          </w:p>
        </w:tc>
        <w:tc>
          <w:tcPr>
            <w:tcW w:type="dxa" w:w="3120"/>
          </w:tcPr>
          <w:p>
            <w:r>
              <w:t>Memory faults shall be tested with dedicated runtime tooling.</w:t>
            </w:r>
          </w:p>
        </w:tc>
        <w:tc>
          <w:tcPr>
            <w:tcW w:type="dxa" w:w="3120"/>
          </w:tcPr>
          <w:p>
            <w:r>
              <w:t>Host ASan/UBSan passed; ESP-IDF coredump/panic binding pending.</w:t>
            </w:r>
          </w:p>
        </w:tc>
      </w:tr>
      <w:tr>
        <w:tc>
          <w:tcPr>
            <w:tcW w:type="dxa" w:w="3120"/>
          </w:tcPr>
          <w:p>
            <w:r>
              <w:t>L10</w:t>
            </w:r>
          </w:p>
        </w:tc>
        <w:tc>
          <w:tcPr>
            <w:tcW w:type="dxa" w:w="3120"/>
          </w:tcPr>
          <w:p>
            <w:r>
              <w:t>Operators shall be able to export/analyse text diagnostics.</w:t>
            </w:r>
          </w:p>
        </w:tc>
        <w:tc>
          <w:tcPr>
            <w:tcW w:type="dxa" w:w="3120"/>
          </w:tcPr>
          <w:p>
            <w:r>
              <w:t>Analyzer and browser text export implemented.</w:t>
            </w:r>
          </w:p>
        </w:tc>
      </w:tr>
    </w:tbl>
    <w:p>
      <w:pPr>
        <w:pStyle w:val="Heading2"/>
      </w:pPr>
      <w:r>
        <w:rPr>
          <w:color w:val="000000"/>
        </w:rPr>
        <w:t>Requirement-to-module mapping</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Requirements</w:t>
            </w:r>
          </w:p>
        </w:tc>
        <w:tc>
          <w:tcPr>
            <w:tcW w:type="dxa" w:w="3120"/>
            <w:shd w:fill="D9EAF7"/>
          </w:tcPr>
          <w:p>
            <w:r>
              <w:rPr>
                <w:b/>
              </w:rPr>
              <w:t>Modules</w:t>
            </w:r>
          </w:p>
        </w:tc>
        <w:tc>
          <w:tcPr>
            <w:tcW w:type="dxa" w:w="3120"/>
            <w:shd w:fill="D9EAF7"/>
          </w:tcPr>
          <w:p>
            <w:r>
              <w:rPr>
                <w:b/>
              </w:rPr>
              <w:t>Rationale</w:t>
            </w:r>
          </w:p>
        </w:tc>
      </w:tr>
      <w:tr>
        <w:tc>
          <w:tcPr>
            <w:tcW w:type="dxa" w:w="3120"/>
          </w:tcPr>
          <w:p>
            <w:r>
              <w:t>L01–L04</w:t>
            </w:r>
          </w:p>
        </w:tc>
        <w:tc>
          <w:tcPr>
            <w:tcW w:type="dxa" w:w="3120"/>
          </w:tcPr>
          <w:p>
            <w:r>
              <w:t>N00–N05, H00–H08, S01–S03, B01–B08, A01–A05</w:t>
            </w:r>
          </w:p>
        </w:tc>
        <w:tc>
          <w:tcPr>
            <w:tcW w:type="dxa" w:w="3120"/>
          </w:tcPr>
          <w:p>
            <w:r>
              <w:t>Uniform severity, category and stable event identity.</w:t>
            </w:r>
          </w:p>
        </w:tc>
      </w:tr>
      <w:tr>
        <w:tc>
          <w:tcPr>
            <w:tcW w:type="dxa" w:w="3120"/>
          </w:tcPr>
          <w:p>
            <w:r>
              <w:t>L05–L06</w:t>
            </w:r>
          </w:p>
        </w:tc>
        <w:tc>
          <w:tcPr>
            <w:tcW w:type="dxa" w:w="3120"/>
          </w:tcPr>
          <w:p>
            <w:r>
              <w:t>T01 file sink, backend logging_config, A05 app logger</w:t>
            </w:r>
          </w:p>
        </w:tc>
        <w:tc>
          <w:tcPr>
            <w:tcW w:type="dxa" w:w="3120"/>
          </w:tcPr>
          <w:p>
            <w:r>
              <w:t>Bounded storage and best-effort failure isolation.</w:t>
            </w:r>
          </w:p>
        </w:tc>
      </w:tr>
      <w:tr>
        <w:tc>
          <w:tcPr>
            <w:tcW w:type="dxa" w:w="3120"/>
          </w:tcPr>
          <w:p>
            <w:r>
              <w:t>L07</w:t>
            </w:r>
          </w:p>
        </w:tc>
        <w:tc>
          <w:tcPr>
            <w:tcW w:type="dxa" w:w="3120"/>
          </w:tcPr>
          <w:p>
            <w:r>
              <w:t>All modules and release review</w:t>
            </w:r>
          </w:p>
        </w:tc>
        <w:tc>
          <w:tcPr>
            <w:tcW w:type="dxa" w:w="3120"/>
          </w:tcPr>
          <w:p>
            <w:r>
              <w:t>Privacy applies at every call site, not only at the sink.</w:t>
            </w:r>
          </w:p>
        </w:tc>
      </w:tr>
      <w:tr>
        <w:tc>
          <w:tcPr>
            <w:tcW w:type="dxa" w:w="3120"/>
          </w:tcPr>
          <w:p>
            <w:r>
              <w:t>L08</w:t>
            </w:r>
          </w:p>
        </w:tc>
        <w:tc>
          <w:tcPr>
            <w:tcW w:type="dxa" w:w="3120"/>
          </w:tcPr>
          <w:p>
            <w:r>
              <w:t>All implemented functional modules</w:t>
            </w:r>
          </w:p>
        </w:tc>
        <w:tc>
          <w:tcPr>
            <w:tcW w:type="dxa" w:w="3120"/>
          </w:tcPr>
          <w:p>
            <w:r>
              <w:t>Development-only entry/exit or transition visibility.</w:t>
            </w:r>
          </w:p>
        </w:tc>
      </w:tr>
      <w:tr>
        <w:tc>
          <w:tcPr>
            <w:tcW w:type="dxa" w:w="3120"/>
          </w:tcPr>
          <w:p>
            <w:r>
              <w:t>L09</w:t>
            </w:r>
          </w:p>
        </w:tc>
        <w:tc>
          <w:tcPr>
            <w:tcW w:type="dxa" w:w="3120"/>
          </w:tcPr>
          <w:p>
            <w:r>
              <w:t>Build/test pipeline and future ESP-IDF platform layer</w:t>
            </w:r>
          </w:p>
        </w:tc>
        <w:tc>
          <w:tcPr>
            <w:tcW w:type="dxa" w:w="3120"/>
          </w:tcPr>
          <w:p>
            <w:r>
              <w:t>Memory corruption detection is separate from ordinary logs.</w:t>
            </w:r>
          </w:p>
        </w:tc>
      </w:tr>
      <w:tr>
        <w:tc>
          <w:tcPr>
            <w:tcW w:type="dxa" w:w="3120"/>
          </w:tcPr>
          <w:p>
            <w:r>
              <w:t>L10</w:t>
            </w:r>
          </w:p>
        </w:tc>
        <w:tc>
          <w:tcPr>
            <w:tcW w:type="dxa" w:w="3120"/>
          </w:tcPr>
          <w:p>
            <w:r>
              <w:t>tools/logs and A05</w:t>
            </w:r>
          </w:p>
        </w:tc>
        <w:tc>
          <w:tcPr>
            <w:tcW w:type="dxa" w:w="3120"/>
          </w:tcPr>
          <w:p>
            <w:r>
              <w:t>Text validation, summary and support export.</w:t>
            </w:r>
          </w:p>
        </w:tc>
      </w:tr>
    </w:tbl>
    <w:p>
      <w:pPr>
        <w:pStyle w:val="Heading2"/>
      </w:pPr>
      <w:r>
        <w:rPr>
          <w:color w:val="000000"/>
        </w:rPr>
        <w:t>Acceptance criteria</w:t>
      </w:r>
    </w:p>
    <w:p>
      <w:pPr>
        <w:pStyle w:val="ListBullet"/>
      </w:pPr>
      <w:r>
        <w:t>Production build emits no TRACE records and preserves a forced ERROR record.</w:t>
      </w:r>
    </w:p>
    <w:p>
      <w:pPr>
        <w:pStyle w:val="ListBullet"/>
      </w:pPr>
      <w:r>
        <w:t>Development build provides trace evidence for every implemented module group.</w:t>
      </w:r>
    </w:p>
    <w:p>
      <w:pPr>
        <w:pStyle w:val="ListBullet"/>
      </w:pPr>
      <w:r>
        <w:t>Malformed or multiline application detail cannot create a second forged log line.</w:t>
      </w:r>
    </w:p>
    <w:p>
      <w:pPr>
        <w:pStyle w:val="ListBullet"/>
      </w:pPr>
      <w:r>
        <w:t>Log storage remains within configured bounds during a soak test.</w:t>
      </w:r>
    </w:p>
    <w:p>
      <w:pPr>
        <w:pStyle w:val="ListBullet"/>
      </w:pPr>
      <w:r>
        <w:t>Logger/sink failure does not alter event durability, acknowledgement or escalation decisions.</w:t>
      </w:r>
    </w:p>
    <w:p>
      <w:pPr>
        <w:pStyle w:val="ListBullet"/>
      </w:pPr>
      <w:r>
        <w:t>No household event payload, resident name, token, Wi-Fi secret or credential value is present in release logs.</w:t>
      </w:r>
    </w:p>
    <w:p>
      <w:pPr>
        <w:pStyle w:val="Heading2"/>
      </w:pPr>
      <w:r>
        <w:rPr>
          <w:color w:val="000000"/>
        </w:rPr>
        <w:t>P0 status impact</w:t>
      </w:r>
    </w:p>
    <w:p>
      <w:r>
        <w:t>The hardware-independent diagnostic layer is implemented and host-verified. This improves diagnosability but does not change the product claim: the repository is not yet production firmware. P0 cannot exit until physical ESP32-C3/ESP32 hub tests demonstrate bounded RAM/flash use, safe concurrent writes, brown-out recovery, storage wear behaviour, watchdog/panic capture and support-log retrieval.</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2.2 preserves the supplied baseline and future AI session design while updating Base P0 implementation status through reference code 1.5.4 plus Parivar Sathi PWA/RoutineConfig v3.3.2. The current host baseline includes the generic-event rule engine, configurable morning/night/door/inactivity policies, typed node↔hub protocol, relational data-model contract, Device Schedules PWA behavior and the expanded validation framework with 85 connected scenarios. Host/browser/software evidence remains distinct from real-board, provider and field acceptance.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Ghar Sajag | Documentation 2.2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Ghar Sajag | Documentation 2.2 | Reference code 1.5.4 + PWA/RoutineConfig v3.3.2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lvlJc w:val="left"/>
      <w:pPr>
        <w:ind w:left="540" w:hanging="271"/>
        <w:tabs>
          <w:tab w:val="num" w:pos="540"/>
        </w:tabs>
        <w:spacing w:before="0" w:after="80" w:line="300" w:lineRule="auto"/>
      </w:pPr>
    </w:lvl>
  </w:abstractNum>
  <w:num w:numId="50">
    <w:abstractNumId w:val="50"/>
  </w:num>
  <w:abstractNum w:abstractNumId="51">
    <w:lvl w:ilvl="0">
      <w:start w:val="1"/>
      <w:numFmt w:val="decimal"/>
      <w:lvlText w:val="%1."/>
      <w:lvlJc w:val="left"/>
      <w:pPr>
        <w:ind w:left="540" w:hanging="271"/>
        <w:tabs>
          <w:tab w:val="num" w:pos="540"/>
        </w:tabs>
        <w:spacing w:before="0" w:after="80" w:line="300" w:lineRule="auto"/>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64" w:lineRule="auto"/>
    </w:pPr>
    <w:rPr>
      <w:rFonts w:ascii="Calibri" w:hAnsi="Calibri"/>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265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265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Calibri" w:hAnsi="Calibri"/>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52" w:lineRule="auto" w:before="0"/>
      <w:contextualSpacing/>
    </w:pPr>
    <w:rPr>
      <w:rFonts w:ascii="Calibri" w:hAnsi="Calibri"/>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Calibri" w:hAnsi="Calibr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i w:val="0"/>
      <w:color w:val="1726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b w:val="0"/>
      <w:i w:val="0"/>
      <w:color w:val="1726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ody">
    <w:name w:val="SpecBody"/>
    <w:pPr>
      <w:widowControl/>
      <w:spacing w:before="0" w:after="100" w:line="264" w:lineRule="auto"/>
    </w:pPr>
    <w:rPr>
      <w:rFonts w:ascii="Calibri" w:hAnsi="Calibri"/>
      <w:b w:val="0"/>
      <w:i w:val="0"/>
      <w:color w:val="172635"/>
      <w:sz w:val="21"/>
    </w:rPr>
  </w:style>
  <w:style w:type="paragraph" w:customStyle="1" w:styleId="TableText">
    <w:name w:val="TableText"/>
    <w:pPr>
      <w:widowControl/>
      <w:spacing w:before="0" w:after="40" w:line="240" w:lineRule="auto"/>
    </w:pPr>
    <w:rPr>
      <w:rFonts w:ascii="Calibri" w:hAnsi="Calibri"/>
      <w:b w:val="0"/>
      <w:i w:val="0"/>
      <w:color w:val="172635"/>
      <w:sz w:val="18"/>
    </w:rPr>
  </w:style>
  <w:style w:type="paragraph" w:customStyle="1" w:styleId="Micro">
    <w:name w:val="Micro"/>
    <w:pPr>
      <w:widowControl/>
      <w:spacing w:before="0" w:after="80" w:line="264" w:lineRule="auto"/>
    </w:pPr>
    <w:rPr>
      <w:rFonts w:ascii="Calibri" w:hAnsi="Calibri"/>
      <w:b w:val="0"/>
      <w:i w:val="0"/>
      <w:color w:val="526578"/>
      <w:sz w:val="18"/>
    </w:rPr>
  </w:style>
  <w:style w:type="paragraph" w:customStyle="1" w:styleId="Code">
    <w:name w:val="Code"/>
    <w:pPr>
      <w:widowControl/>
      <w:spacing w:before="0" w:after="100" w:line="252" w:lineRule="auto"/>
    </w:pPr>
    <w:rPr>
      <w:rFonts w:ascii="DejaVu Sans Mono" w:hAnsi="DejaVu Sans Mono"/>
      <w:b w:val="0"/>
      <w:i w:val="0"/>
      <w:color w:val="26394A"/>
      <w:sz w:val="17"/>
    </w:rPr>
  </w:style>
  <w:style w:type="paragraph" w:customStyle="1" w:styleId="TableSpacer">
    <w:name w:val="TableSpacer"/>
    <w:pPr>
      <w:widowControl/>
      <w:spacing w:before="0" w:after="60" w:line="240" w:lineRule="auto"/>
    </w:pPr>
    <w:rPr>
      <w:rFonts w:ascii="Calibri" w:hAnsi="Calibri"/>
      <w:b w:val="0"/>
      <w:i w:val="0"/>
      <w:color w:val="172635"/>
      <w:sz w:val="2"/>
    </w:rPr>
  </w:style>
  <w:style w:type="paragraph" w:customStyle="1" w:styleId="Contents">
    <w:name w:val="Contents"/>
    <w:pPr>
      <w:widowControl/>
      <w:spacing w:before="0" w:after="120" w:line="276" w:lineRule="auto"/>
    </w:pPr>
    <w:rPr>
      <w:rFonts w:ascii="Calibri" w:hAnsi="Calibri"/>
      <w:b w:val="0"/>
      <w:i w:val="0"/>
      <w:color w:val="172635"/>
      <w:sz w:val="21"/>
    </w:rPr>
  </w:style>
  <w:style w:type="paragraph" w:customStyle="1" w:styleId="TableCitation">
    <w:name w:val="TableCitation"/>
    <w:pPr>
      <w:widowControl/>
      <w:spacing w:before="80" w:after="80" w:line="264" w:lineRule="auto"/>
    </w:pPr>
    <w:rPr>
      <w:rFonts w:ascii="Calibri" w:hAnsi="Calibri"/>
      <w:b w:val="0"/>
      <w:i w:val="0"/>
      <w:color w:val="5265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espressif.com/projects/esp-idf/en/stable/esp32c3/api-reference/network/esp_now.html" TargetMode="External"/><Relationship Id="rId13" Type="http://schemas.openxmlformats.org/officeDocument/2006/relationships/hyperlink" Target="https://docs.espressif.com/projects/esp-idf/en/stable/esp32/api-reference/system/ota.html" TargetMode="External"/><Relationship Id="rId14" Type="http://schemas.openxmlformats.org/officeDocument/2006/relationships/hyperlink" Target="https://docs.espressif.com/projects/esp-idf/en/stable/esp32/api-reference/storage/nvs_flash.html" TargetMode="External"/><Relationship Id="rId15" Type="http://schemas.openxmlformats.org/officeDocument/2006/relationships/hyperlink" Target="https://webkit.org/blog/13878/web-push-for-web-apps-on-ios-and-ipados/" TargetMode="External"/><Relationship Id="rId16" Type="http://schemas.openxmlformats.org/officeDocument/2006/relationships/hyperlink" Target="https://docs.oasis-open.org/mqtt/mqtt/v3.1.1/os/mqtt-v3.1.1-os.html" TargetMode="External"/><Relationship Id="rId17" Type="http://schemas.openxmlformats.org/officeDocument/2006/relationships/hyperlink" Target="https://docs.espressif.com/projects/esp-idf/en/stable/esp32/security/security.html" TargetMode="External"/><Relationship Id="rId18" Type="http://schemas.openxmlformats.org/officeDocument/2006/relationships/hyperlink" Target="https://www.postgresql.org/docs/current/ddl-rowsecurity.html" TargetMode="External"/><Relationship Id="rId19" Type="http://schemas.openxmlformats.org/officeDocument/2006/relationships/hyperlink" Target="https://www.ti.com/product/TPS63020" TargetMode="External"/><Relationship Id="rId20" Type="http://schemas.openxmlformats.org/officeDocument/2006/relationships/hyperlink" Target="https://www.ti.com/product/BQ24074" TargetMode="External"/><Relationship Id="rId21" Type="http://schemas.openxmlformats.org/officeDocument/2006/relationships/hyperlink" Target="https://www.home-assistant.io/blog/2026/09/02/release-20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P0 Requirements and Software Design v2.1</dc:title>
  <dc:subject>Ghar Sajag Documentation 2.1 / Reference code 1.5.4 corrected</dc:subject>
  <dc:creator>Prepared for Rahul Rathor</dc:creator>
  <cp:keywords/>
  <dc:description>Version 1.1, revised 7 September 2026</dc:description>
  <cp:lastModifiedBy/>
  <cp:revision>1</cp:revision>
  <dcterms:created xsi:type="dcterms:W3CDTF">2013-12-23T23:15:00Z</dcterms:created>
  <dcterms:modified xsi:type="dcterms:W3CDTF">2013-12-23T23:15:00Z</dcterms:modified>
  <cp:category/>
  <cp:version>1.0</cp:version>
</cp:coreProperties>
</file>