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Calibri" w:hAnsi="Calibri"/>
          <w:b/>
          <w:color w:val="000000"/>
          <w:sz w:val="46"/>
        </w:rPr>
        <w:t>SOFTWARE REQUIREMENTS DOCUMENT</w:t>
      </w:r>
    </w:p>
    <w:p>
      <w:pPr>
        <w:spacing w:after="320"/>
      </w:pPr>
      <w:r>
        <w:rPr>
          <w:color w:val="464646"/>
          <w:sz w:val="30"/>
        </w:rPr>
        <w:t>Ghar Sajag — Family Check-in &amp; Home Risk Awareness</w:t>
      </w:r>
    </w:p>
    <w:tbl>
      <w:tblPr>
        <w:tblW w:type="dxa" w:w="9360"/>
        <w:jc w:val="left"/>
        <w:tblLayout w:type="fixed"/>
        <w:tblLook w:firstColumn="1" w:firstRow="1" w:lastColumn="0" w:lastRow="0" w:noHBand="0" w:noVBand="1" w:val="04A0"/>
        <w:tblInd w:w="120" w:type="dxa"/>
      </w:tblPr>
      <w:tblGrid>
        <w:gridCol w:w="2232"/>
        <w:gridCol w:w="7128"/>
      </w:tblGrid>
      <w:tr>
        <w:tc>
          <w:tcPr>
            <w:tcW w:type="dxa" w:w="2232"/>
            <w:vAlign w:val="top"/>
            <w:shd w:fill="E8EEF5"/>
            <w:tcMar>
              <w:top w:w="80" w:type="dxa"/>
              <w:bottom w:w="80" w:type="dxa"/>
              <w:start w:w="120" w:type="dxa"/>
              <w:end w:w="120" w:type="dxa"/>
            </w:tcMar>
          </w:tcPr>
          <w:p>
            <w:pPr>
              <w:spacing w:after="40"/>
            </w:pPr>
            <w:r>
              <w:rPr>
                <w:rFonts w:ascii="Calibri" w:hAnsi="Calibri"/>
                <w:b/>
                <w:sz w:val="19"/>
              </w:rPr>
              <w:t>Document item</w:t>
            </w:r>
          </w:p>
        </w:tc>
        <w:tc>
          <w:tcPr>
            <w:tcW w:type="dxa" w:w="7128"/>
            <w:vAlign w:val="top"/>
            <w:shd w:fill="E8EEF5"/>
            <w:tcMar>
              <w:top w:w="80" w:type="dxa"/>
              <w:bottom w:w="80" w:type="dxa"/>
              <w:start w:w="120" w:type="dxa"/>
              <w:end w:w="120" w:type="dxa"/>
            </w:tcMar>
          </w:tcPr>
          <w:p>
            <w:pPr>
              <w:spacing w:after="40"/>
            </w:pPr>
            <w:r>
              <w:rPr>
                <w:rFonts w:ascii="Calibri" w:hAnsi="Calibri"/>
                <w:b/>
                <w:sz w:val="19"/>
              </w:rPr>
              <w:t>Value</w:t>
            </w:r>
          </w:p>
        </w:tc>
      </w:tr>
      <w:tr>
        <w:tc>
          <w:tcPr>
            <w:tcW w:type="dxa" w:w="2232"/>
            <w:vAlign w:val="top"/>
            <w:tcMar>
              <w:top w:w="80" w:type="dxa"/>
              <w:bottom w:w="80" w:type="dxa"/>
              <w:start w:w="120" w:type="dxa"/>
              <w:end w:w="120" w:type="dxa"/>
            </w:tcMar>
          </w:tcPr>
          <w:p>
            <w:pPr>
              <w:spacing w:after="40"/>
            </w:pPr>
            <w:r>
              <w:rPr>
                <w:rFonts w:ascii="Calibri" w:hAnsi="Calibri"/>
                <w:b w:val="0"/>
                <w:sz w:val="19"/>
              </w:rPr>
              <w:t>Product</w:t>
            </w:r>
          </w:p>
        </w:tc>
        <w:tc>
          <w:tcPr>
            <w:tcW w:type="dxa" w:w="7128"/>
            <w:vAlign w:val="top"/>
            <w:tcMar>
              <w:top w:w="80" w:type="dxa"/>
              <w:bottom w:w="80" w:type="dxa"/>
              <w:start w:w="120" w:type="dxa"/>
              <w:end w:w="120" w:type="dxa"/>
            </w:tcMar>
          </w:tcPr>
          <w:p>
            <w:pPr>
              <w:spacing w:after="40"/>
            </w:pPr>
            <w:r>
              <w:rPr>
                <w:rFonts w:ascii="Calibri" w:hAnsi="Calibri"/>
                <w:b w:val="0"/>
                <w:sz w:val="19"/>
              </w:rPr>
              <w:t>Ghar Sajag</w:t>
            </w:r>
          </w:p>
        </w:tc>
      </w:tr>
      <w:tr>
        <w:tc>
          <w:tcPr>
            <w:tcW w:type="dxa" w:w="2232"/>
            <w:vAlign w:val="top"/>
            <w:tcMar>
              <w:top w:w="80" w:type="dxa"/>
              <w:bottom w:w="80" w:type="dxa"/>
              <w:start w:w="120" w:type="dxa"/>
              <w:end w:w="120" w:type="dxa"/>
            </w:tcMar>
          </w:tcPr>
          <w:p>
            <w:pPr>
              <w:spacing w:after="40"/>
            </w:pPr>
            <w:r>
              <w:rPr>
                <w:rFonts w:ascii="Calibri" w:hAnsi="Calibri"/>
                <w:b w:val="0"/>
                <w:sz w:val="19"/>
              </w:rPr>
              <w:t>Document type</w:t>
            </w:r>
          </w:p>
        </w:tc>
        <w:tc>
          <w:tcPr>
            <w:tcW w:type="dxa" w:w="7128"/>
            <w:vAlign w:val="top"/>
            <w:tcMar>
              <w:top w:w="80" w:type="dxa"/>
              <w:bottom w:w="80" w:type="dxa"/>
              <w:start w:w="120" w:type="dxa"/>
              <w:end w:w="120" w:type="dxa"/>
            </w:tcMar>
          </w:tcPr>
          <w:p>
            <w:pPr>
              <w:spacing w:after="40"/>
            </w:pPr>
            <w:r>
              <w:rPr>
                <w:rFonts w:ascii="Calibri" w:hAnsi="Calibri"/>
                <w:b w:val="0"/>
                <w:sz w:val="19"/>
              </w:rPr>
              <w:t>Software Requirements Document (SRD)</w:t>
            </w:r>
          </w:p>
        </w:tc>
      </w:tr>
      <w:tr>
        <w:tc>
          <w:tcPr>
            <w:tcW w:type="dxa" w:w="2232"/>
            <w:vAlign w:val="top"/>
            <w:tcMar>
              <w:top w:w="80" w:type="dxa"/>
              <w:bottom w:w="80" w:type="dxa"/>
              <w:start w:w="120" w:type="dxa"/>
              <w:end w:w="120" w:type="dxa"/>
            </w:tcMar>
          </w:tcPr>
          <w:p>
            <w:pPr>
              <w:spacing w:after="40"/>
            </w:pPr>
            <w:r>
              <w:rPr>
                <w:rFonts w:ascii="Calibri" w:hAnsi="Calibri"/>
                <w:b w:val="0"/>
                <w:sz w:val="19"/>
              </w:rPr>
              <w:t>Version / date</w:t>
            </w:r>
          </w:p>
        </w:tc>
        <w:tc>
          <w:tcPr>
            <w:tcW w:type="dxa" w:w="7128"/>
            <w:vAlign w:val="top"/>
            <w:tcMar>
              <w:top w:w="80" w:type="dxa"/>
              <w:bottom w:w="80" w:type="dxa"/>
              <w:start w:w="120" w:type="dxa"/>
              <w:end w:w="120" w:type="dxa"/>
            </w:tcMar>
          </w:tcPr>
          <w:p>
            <w:r>
              <w:t>2.3 / 13 September 2026; reference code 1.5.4 + Parivar Sathi PWA/BatteryAnalytics v3.4.2</w:t>
            </w:r>
          </w:p>
        </w:tc>
      </w:tr>
      <w:tr>
        <w:tc>
          <w:tcPr>
            <w:tcW w:type="dxa" w:w="2232"/>
            <w:vAlign w:val="top"/>
            <w:tcMar>
              <w:top w:w="80" w:type="dxa"/>
              <w:bottom w:w="80" w:type="dxa"/>
              <w:start w:w="120" w:type="dxa"/>
              <w:end w:w="120" w:type="dxa"/>
            </w:tcMar>
          </w:tcPr>
          <w:p>
            <w:pPr>
              <w:spacing w:after="40"/>
            </w:pPr>
            <w:r>
              <w:rPr>
                <w:rFonts w:ascii="Calibri" w:hAnsi="Calibri"/>
                <w:b w:val="0"/>
                <w:sz w:val="19"/>
              </w:rPr>
              <w:t>Audience</w:t>
            </w:r>
          </w:p>
        </w:tc>
        <w:tc>
          <w:tcPr>
            <w:tcW w:type="dxa" w:w="7128"/>
            <w:vAlign w:val="top"/>
            <w:tcMar>
              <w:top w:w="80" w:type="dxa"/>
              <w:bottom w:w="80" w:type="dxa"/>
              <w:start w:w="120" w:type="dxa"/>
              <w:end w:w="120" w:type="dxa"/>
            </w:tcMar>
          </w:tcPr>
          <w:p>
            <w:pPr>
              <w:spacing w:after="40"/>
            </w:pPr>
            <w:r>
              <w:rPr>
                <w:rFonts w:ascii="Calibri" w:hAnsi="Calibri"/>
                <w:b w:val="0"/>
                <w:sz w:val="19"/>
              </w:rPr>
              <w:t>Product owner, firmware/backend/app engineers, QA, installation and support teams</w:t>
            </w:r>
          </w:p>
        </w:tc>
      </w:tr>
      <w:tr>
        <w:tc>
          <w:tcPr>
            <w:tcW w:type="dxa" w:w="2232"/>
            <w:vAlign w:val="top"/>
            <w:tcMar>
              <w:top w:w="80" w:type="dxa"/>
              <w:bottom w:w="80" w:type="dxa"/>
              <w:start w:w="120" w:type="dxa"/>
              <w:end w:w="120" w:type="dxa"/>
            </w:tcMar>
          </w:tcPr>
          <w:p>
            <w:pPr>
              <w:spacing w:after="40"/>
            </w:pPr>
            <w:r>
              <w:rPr>
                <w:rFonts w:ascii="Calibri" w:hAnsi="Calibri"/>
                <w:b w:val="0"/>
                <w:sz w:val="19"/>
              </w:rPr>
              <w:t>Status</w:t>
            </w:r>
          </w:p>
        </w:tc>
        <w:tc>
          <w:tcPr>
            <w:tcW w:type="dxa" w:w="7128"/>
            <w:vAlign w:val="top"/>
            <w:tcMar>
              <w:top w:w="80" w:type="dxa"/>
              <w:bottom w:w="80" w:type="dxa"/>
              <w:start w:w="120" w:type="dxa"/>
              <w:end w:w="120" w:type="dxa"/>
            </w:tcMar>
          </w:tcPr>
          <w:p>
            <w:r>
              <w:t>P0 software baseline aligned to the current validated v3.4.2 host/PWA implementation; physical prototype, HIL and field acceptance remain pending</w:t>
            </w:r>
          </w:p>
        </w:tc>
      </w:tr>
      <w:tr>
        <w:tc>
          <w:tcPr>
            <w:tcW w:type="dxa" w:w="2232"/>
            <w:vAlign w:val="top"/>
            <w:tcMar>
              <w:top w:w="80" w:type="dxa"/>
              <w:bottom w:w="80" w:type="dxa"/>
              <w:start w:w="120" w:type="dxa"/>
              <w:end w:w="120" w:type="dxa"/>
            </w:tcMar>
          </w:tcPr>
          <w:p>
            <w:pPr>
              <w:spacing w:after="40"/>
            </w:pPr>
            <w:r>
              <w:rPr>
                <w:rFonts w:ascii="Calibri" w:hAnsi="Calibri"/>
                <w:b w:val="0"/>
                <w:sz w:val="19"/>
              </w:rPr>
              <w:t>Normative language</w:t>
            </w:r>
          </w:p>
        </w:tc>
        <w:tc>
          <w:tcPr>
            <w:tcW w:type="dxa" w:w="7128"/>
            <w:vAlign w:val="top"/>
            <w:tcMar>
              <w:top w:w="80" w:type="dxa"/>
              <w:bottom w:w="80" w:type="dxa"/>
              <w:start w:w="120" w:type="dxa"/>
              <w:end w:w="120" w:type="dxa"/>
            </w:tcMar>
          </w:tcPr>
          <w:p>
            <w:pPr>
              <w:spacing w:after="40"/>
            </w:pPr>
            <w:r>
              <w:rPr>
                <w:rFonts w:ascii="Calibri" w:hAnsi="Calibri"/>
                <w:b w:val="0"/>
                <w:sz w:val="19"/>
              </w:rPr>
              <w:t>“Shall” is mandatory for P0 acceptance; “should” is a target; “future” is outside this release.</w:t>
            </w:r>
          </w:p>
        </w:tc>
      </w:tr>
    </w:tbl>
    <w:p>
      <w:pPr>
        <w:spacing w:after="40"/>
      </w:pPr>
    </w:p>
    <w:p>
      <w:pPr>
        <w:spacing w:after="160"/>
      </w:pPr>
      <w:r>
        <w:t>Purpose. This SRD defines the observable software behaviour and quality gates for the first Ghar Sajag product: a camera-free, consent-based household check-in system for one or two older residents, using an ESP32 hub, ESP32-C3 sensor nodes, a backend and a caregiver web/PWA interface.</w:t>
      </w:r>
    </w:p>
    <w:p>
      <w:pPr>
        <w:pStyle w:val="Heading1"/>
      </w:pPr>
      <w:r>
        <w:t>Edition 2.3 reading guide</w:t>
      </w:r>
    </w:p>
    <w:p>
      <w:r>
        <w:t>This edition is written for an engineer joining the project now or returning after a year. It expands the uploaded baseline with reasons, concrete household examples, execution order, failure cases and implementation boundaries. The original detailed chapters, tables and figures are retained. Their target designs are interpreted using the current status notes in this edition.</w:t>
      </w:r>
    </w:p>
    <w:p>
      <w:r>
        <w:t>The immediate product is Ghar Sajag Parivar Saathi with Base P0. P1 is a future development stage or optional add-on decision, not a promised third product. Sarthi AI is a future interaction offering using the shared monitoring core. Base monitoring does not depend on a model, microphone or cloud inference.</w:t>
      </w:r>
    </w:p>
    <w:p>
      <w:r>
        <w:t>Documentation edition 2.3 accompanies reference code 1.5.4 with the validated Parivar Sathi PWA/BatteryAnalytics v3.4.2 patch line. The source base remains 1.5.4. v3.3.x added configurable household routines and the current caregiver PWA behavior; v3.4.0 added battery-use analytics and remaining-life prediction; v3.4.1/v3.4.2 hardened browser and release-gate execution without changing the product rules. The current release candidate therefore combines the generic event/rule engine, versioned Device Schedules, backend-driven PWA state, device-health analytics and mandatory desktop/mobile browser validation.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rPr>
          <w:tblHeader/>
        </w:trPr>
        <w:tc>
          <w:tcPr>
            <w:tcW w:type="dxa" w:w="1584"/>
            <w:tcMar>
              <w:top w:w="100" w:type="dxa"/>
              <w:left w:w="100" w:type="dxa"/>
              <w:bottom w:w="100" w:type="dxa"/>
              <w:right w:w="100" w:type="dxa"/>
            </w:tcMar>
            <w:shd w:fill="E7EDF4"/>
          </w:tcPr>
          <w:p>
            <w:pPr>
              <w:spacing w:after="80" w:before="60"/>
            </w:pPr>
            <w:r>
              <w:rPr>
                <w:b/>
                <w:sz w:val="18"/>
              </w:rPr>
              <w:t>Term</w:t>
            </w:r>
          </w:p>
        </w:tc>
        <w:tc>
          <w:tcPr>
            <w:tcW w:type="dxa" w:w="7776"/>
            <w:tcMar>
              <w:top w:w="100" w:type="dxa"/>
              <w:left w:w="100" w:type="dxa"/>
              <w:bottom w:w="100" w:type="dxa"/>
              <w:right w:w="100" w:type="dxa"/>
            </w:tcMar>
            <w:shd w:fill="E7EDF4"/>
          </w:tcPr>
          <w:p>
            <w:pPr>
              <w:spacing w:after="80" w:before="60"/>
            </w:pPr>
            <w:r>
              <w:rPr>
                <w:b/>
                <w:sz w:val="18"/>
              </w:rPr>
              <w:t>How to interpret it</w:t>
            </w:r>
          </w:p>
        </w:tc>
      </w:tr>
      <w:tr>
        <w:tc>
          <w:tcPr>
            <w:tcW w:type="dxa" w:w="1584"/>
            <w:tcMar>
              <w:top w:w="100" w:type="dxa"/>
              <w:left w:w="100" w:type="dxa"/>
              <w:bottom w:w="100" w:type="dxa"/>
              <w:right w:w="100" w:type="dxa"/>
            </w:tcMar>
          </w:tcPr>
          <w:p>
            <w:pPr>
              <w:spacing w:after="80" w:before="60"/>
            </w:pPr>
            <w:r>
              <w:rPr>
                <w:b w:val="0"/>
                <w:sz w:val="18"/>
              </w:rPr>
              <w:t>Required</w:t>
            </w:r>
          </w:p>
        </w:tc>
        <w:tc>
          <w:tcPr>
            <w:tcW w:type="dxa" w:w="7776"/>
            <w:tcMar>
              <w:top w:w="100" w:type="dxa"/>
              <w:left w:w="100" w:type="dxa"/>
              <w:bottom w:w="100" w:type="dxa"/>
              <w:right w:w="100" w:type="dxa"/>
            </w:tcMar>
          </w:tcPr>
          <w:p>
            <w:pPr>
              <w:spacing w:after="80" w:before="60"/>
            </w:pPr>
            <w:r>
              <w:rPr>
                <w:b w:val="0"/>
                <w:sz w:val="18"/>
              </w:rPr>
              <w:t>An acceptance obligation from the SRD. It can remain unimplemented.</w:t>
            </w:r>
          </w:p>
        </w:tc>
      </w:tr>
      <w:tr>
        <w:tc>
          <w:tcPr>
            <w:tcW w:type="dxa" w:w="1584"/>
            <w:tcMar>
              <w:top w:w="100" w:type="dxa"/>
              <w:left w:w="100" w:type="dxa"/>
              <w:bottom w:w="100" w:type="dxa"/>
              <w:right w:w="100" w:type="dxa"/>
            </w:tcMar>
          </w:tcPr>
          <w:p>
            <w:pPr>
              <w:spacing w:after="80" w:before="60"/>
            </w:pPr>
            <w:r>
              <w:rPr>
                <w:b w:val="0"/>
                <w:sz w:val="18"/>
              </w:rPr>
              <w:t>Implemented reference</w:t>
            </w:r>
          </w:p>
        </w:tc>
        <w:tc>
          <w:tcPr>
            <w:tcW w:type="dxa" w:w="7776"/>
            <w:tcMar>
              <w:top w:w="100" w:type="dxa"/>
              <w:left w:w="100" w:type="dxa"/>
              <w:bottom w:w="100" w:type="dxa"/>
              <w:right w:w="100" w:type="dxa"/>
            </w:tcMar>
          </w:tcPr>
          <w:p>
            <w:pPr>
              <w:spacing w:after="80" w:before="60"/>
            </w:pPr>
            <w:r>
              <w:rPr>
                <w:b w:val="0"/>
                <w:sz w:val="18"/>
              </w:rPr>
              <w:t>A host-language component exists; it may use volatile stores or fake adapters.</w:t>
            </w:r>
          </w:p>
        </w:tc>
      </w:tr>
      <w:tr>
        <w:tc>
          <w:tcPr>
            <w:tcW w:type="dxa" w:w="1584"/>
            <w:tcMar>
              <w:top w:w="100" w:type="dxa"/>
              <w:left w:w="100" w:type="dxa"/>
              <w:bottom w:w="100" w:type="dxa"/>
              <w:right w:w="100" w:type="dxa"/>
            </w:tcMar>
          </w:tcPr>
          <w:p>
            <w:pPr>
              <w:spacing w:after="80" w:before="60"/>
            </w:pPr>
            <w:r>
              <w:rPr>
                <w:b w:val="0"/>
                <w:sz w:val="18"/>
              </w:rPr>
              <w:t>Verified host checkpoint</w:t>
            </w:r>
          </w:p>
        </w:tc>
        <w:tc>
          <w:tcPr>
            <w:tcW w:type="dxa" w:w="7776"/>
            <w:tcMar>
              <w:top w:w="100" w:type="dxa"/>
              <w:left w:w="100" w:type="dxa"/>
              <w:bottom w:w="100" w:type="dxa"/>
              <w:right w:w="100" w:type="dxa"/>
            </w:tcMar>
          </w:tcPr>
          <w:p>
            <w:pPr>
              <w:spacing w:after="80" w:before="60"/>
            </w:pPr>
            <w:r>
              <w:rPr>
                <w:b w:val="0"/>
                <w:sz w:val="18"/>
              </w:rPr>
              <w:t>The specific assertion ran on the development host. It is not full requirement coverage.</w:t>
            </w:r>
          </w:p>
        </w:tc>
      </w:tr>
      <w:tr>
        <w:tc>
          <w:tcPr>
            <w:tcW w:type="dxa" w:w="1584"/>
            <w:tcMar>
              <w:top w:w="100" w:type="dxa"/>
              <w:left w:w="100" w:type="dxa"/>
              <w:bottom w:w="100" w:type="dxa"/>
              <w:right w:w="100" w:type="dxa"/>
            </w:tcMar>
          </w:tcPr>
          <w:p>
            <w:pPr>
              <w:spacing w:after="80" w:before="60"/>
            </w:pPr>
            <w:r>
              <w:rPr>
                <w:b w:val="0"/>
                <w:sz w:val="18"/>
              </w:rPr>
              <w:t>Target integration pending</w:t>
            </w:r>
          </w:p>
        </w:tc>
        <w:tc>
          <w:tcPr>
            <w:tcW w:type="dxa" w:w="7776"/>
            <w:tcMar>
              <w:top w:w="100" w:type="dxa"/>
              <w:left w:w="100" w:type="dxa"/>
              <w:bottom w:w="100" w:type="dxa"/>
              <w:right w:w="100" w:type="dxa"/>
            </w:tcMar>
          </w:tcPr>
          <w:p>
            <w:pPr>
              <w:spacing w:after="80" w:before="60"/>
            </w:pPr>
            <w:r>
              <w:rPr>
                <w:b w:val="0"/>
                <w:sz w:val="18"/>
              </w:rPr>
              <w:t>GPIO, FreeRTOS, radio, flash, server/provider or full UI work still needs implementation and evidence.</w:t>
            </w:r>
          </w:p>
        </w:tc>
      </w:tr>
      <w:tr>
        <w:tc>
          <w:tcPr>
            <w:tcW w:type="dxa" w:w="1584"/>
            <w:tcMar>
              <w:top w:w="100" w:type="dxa"/>
              <w:left w:w="100" w:type="dxa"/>
              <w:bottom w:w="100" w:type="dxa"/>
              <w:right w:w="100" w:type="dxa"/>
            </w:tcMar>
          </w:tcPr>
          <w:p>
            <w:pPr>
              <w:spacing w:after="80" w:before="60"/>
            </w:pPr>
            <w:r>
              <w:rPr>
                <w:b w:val="0"/>
                <w:sz w:val="18"/>
              </w:rPr>
              <w:t>Future AI</w:t>
            </w:r>
          </w:p>
        </w:tc>
        <w:tc>
          <w:tcPr>
            <w:tcW w:type="dxa" w:w="7776"/>
            <w:tcMar>
              <w:top w:w="100" w:type="dxa"/>
              <w:left w:w="100" w:type="dxa"/>
              <w:bottom w:w="100" w:type="dxa"/>
              <w:right w:w="100" w:type="dxa"/>
            </w:tcMar>
          </w:tcPr>
          <w:p>
            <w:pPr>
              <w:spacing w:after="80" w:before="60"/>
            </w:pPr>
            <w:r>
              <w:rPr>
                <w:b w:val="0"/>
                <w:sz w:val="18"/>
              </w:rPr>
              <w:t>An extension excluded from the immediate Base P0 build scope.</w:t>
            </w:r>
          </w:p>
        </w:tc>
      </w:tr>
      <w:tr>
        <w:tc>
          <w:tcPr>
            <w:tcW w:type="dxa" w:w="4680"/>
          </w:tcPr>
          <w:p>
            <w:r>
              <w:t>Host validated</w:t>
            </w:r>
          </w:p>
        </w:tc>
        <w:tc>
          <w:tcPr>
            <w:tcW w:type="dxa" w:w="4680"/>
          </w:tcPr>
          <w:p>
            <w:r>
              <w:t>The implemented reference behavior has current host release-gate evidence. It does not imply hardware/pilot acceptance.</w:t>
            </w:r>
          </w:p>
        </w:tc>
      </w:tr>
      <w:tr>
        <w:tc>
          <w:tcPr>
            <w:tcW w:type="dxa" w:w="4680"/>
          </w:tcPr>
          <w:p>
            <w:r>
              <w:t>Browser automated / release qualified</w:t>
            </w:r>
          </w:p>
        </w:tc>
        <w:tc>
          <w:tcPr>
            <w:tcW w:type="dxa" w:w="4680"/>
          </w:tcPr>
          <w:p>
            <w:r>
              <w:t>Superseded for the current v3.4.2 baseline. The final release target now includes mandatory Playwright/Chromium automation and the validated native-WSL run passes all 22 desktop/mobile checks. Manual UI checks remain useful as complementary exploratory evidence, not a substitute for the automated gate.</w:t>
            </w:r>
          </w:p>
        </w:tc>
      </w:tr>
      <w:tr>
        <w:tc>
          <w:tcPr>
            <w:tcW w:type="dxa" w:w="4680"/>
          </w:tcPr>
          <w:p>
            <w:r>
              <w:t>Physical/HIL pending</w:t>
            </w:r>
          </w:p>
        </w:tc>
        <w:tc>
          <w:tcPr>
            <w:tcW w:type="dxa" w:w="4680"/>
          </w:tcPr>
          <w:p>
            <w:r>
              <w:t>Real GPIO/RF/power/flash/OTA/provider/installed-home evidence is still required before unattended pilot claims.</w:t>
            </w:r>
          </w:p>
        </w:tc>
      </w:tr>
      <w:tr>
        <w:tc>
          <w:tcPr>
            <w:tcW w:type="dxa" w:w="4680"/>
          </w:tcPr>
          <w:p>
            <w:r>
              <w:t>Morning sequence</w:t>
            </w:r>
          </w:p>
        </w:tc>
        <w:tc>
          <w:tcPr>
            <w:tcW w:type="dxa" w:w="4680"/>
          </w:tcPr>
          <w:p>
            <w:r>
              <w:t>Optional configured household routine: the configured bedroom event starts the sequence; subsequent configured bathroom and kitchen activity within the applied window completes it. It is not person identification.</w:t>
            </w:r>
          </w:p>
        </w:tc>
      </w:tr>
      <w:tr>
        <w:tc>
          <w:tcPr>
            <w:tcW w:type="dxa" w:w="4680"/>
          </w:tcPr>
          <w:p>
            <w:r>
              <w:t>Night visit</w:t>
            </w:r>
          </w:p>
        </w:tc>
        <w:tc>
          <w:tcPr>
            <w:tcW w:type="dxa" w:w="4680"/>
          </w:tcPr>
          <w:p>
            <w:r>
              <w:t>A distinct configured-location activity visit counted inside the applied night window after merging repeated PIR edges within the configured merge interval.</w:t>
            </w:r>
          </w:p>
        </w:tc>
      </w:tr>
      <w:tr>
        <w:tc>
          <w:tcPr>
            <w:tcW w:type="dxa" w:w="4680"/>
          </w:tcPr>
          <w:p>
            <w:r>
              <w:t>Post-door inactivity</w:t>
            </w:r>
          </w:p>
        </w:tc>
        <w:tc>
          <w:tcPr>
            <w:tcW w:type="dxa" w:w="4680"/>
          </w:tcPr>
          <w:p>
            <w:r>
              <w:t>Rule state armed after a configured door close; qualifying indoor motion cancels it, otherwise the applied timeout may create a concern event.</w:t>
            </w:r>
          </w:p>
        </w:tc>
      </w:tr>
      <w:tr>
        <w:tc>
          <w:tcPr>
            <w:tcW w:type="dxa" w:w="4680"/>
          </w:tcPr>
          <w:p>
            <w:r>
              <w:t>Routine pending</w:t>
            </w:r>
          </w:p>
        </w:tc>
        <w:tc>
          <w:tcPr>
            <w:tcW w:type="dxa" w:w="4680"/>
          </w:tcPr>
          <w:p>
            <w:r>
              <w:t>A configured routine has not yet completed but no missing-activity concern has fired. Pending state alone must not drive the care-alert banner.</w:t>
            </w:r>
          </w:p>
        </w:tc>
      </w:tr>
      <w:tr>
        <w:tc>
          <w:tcPr>
            <w:tcW w:type="dxa" w:w="4680"/>
          </w:tcPr>
          <w:p>
            <w:r>
              <w:t>Battery analytics</w:t>
            </w:r>
          </w:p>
        </w:tc>
        <w:tc>
          <w:tcPr>
            <w:tcW w:type="dxa" w:w="4680"/>
          </w:tcPr>
          <w:p>
            <w:r>
              <w:t>Host/reference calculation of state-of-charge, recent mAh/day, predicted remaining life, confidence and abnormal drain using voltage plus cumulative power/activity counters and a calibrated device profile.</w:t>
            </w:r>
          </w:p>
        </w:tc>
      </w:tr>
      <w:tr>
        <w:tc>
          <w:tcPr>
            <w:tcW w:type="dxa" w:w="4680"/>
          </w:tcPr>
          <w:p>
            <w:r>
              <w:t>Prediction confidence</w:t>
            </w:r>
          </w:p>
        </w:tc>
        <w:tc>
          <w:tcPr>
            <w:tcW w:type="dxa" w:w="4680"/>
          </w:tcPr>
          <w:p>
            <w:r>
              <w:t>LOW/MEDIUM/HIGH indication of how much usable history supports the remaining-life estimate. LOW confidence must be shown as uncertain/calculating rather than as a precise promise.</w:t>
            </w:r>
          </w:p>
        </w:tc>
      </w:tr>
      <w:tr>
        <w:tc>
          <w:tcPr>
            <w:tcW w:type="dxa" w:w="4680"/>
          </w:tcPr>
          <w:p>
            <w:r>
              <w:t>Device Health</w:t>
            </w:r>
          </w:p>
        </w:tc>
        <w:tc>
          <w:tcPr>
            <w:tcW w:type="dxa" w:w="4680"/>
          </w:tcPr>
          <w:p>
            <w:r>
              <w:t>Technical status for node/hub condition such as battery, drain, connectivity and faults. Device-health-only problems must not turn the household care banner red.</w:t>
            </w:r>
          </w:p>
        </w:tc>
      </w:tr>
    </w:tbl>
    <w:p>
      <w:r>
        <w:t>Read START_HERE.md for the full document order. Use Requirement_Traceability.csv and Code_Traceability.csv to move from a requirement to module, source file and existing test. A comment such as @requirements F05, E02 is a responsibility link, not a claim that those requirements are fully complete.</w:t>
      </w:r>
    </w:p>
    <w:p>
      <w:r>
        <w:t>Source baseline: Ghar_Sajag_Software_Requirements_Document_SRD_v1.0(1).docx. The original upload is also included under reference_baselines. The preservation report records original and revised word/table/figure counts and heading retention. Market prices and supplier availability are historical inputs unless explicitly dated as rechecked; this edition does not refresh market research.</w:t>
      </w:r>
    </w:p>
    <w:p>
      <w:pPr>
        <w:pStyle w:val="Heading1"/>
      </w:pPr>
      <w:r>
        <w:t>Documentation 2.3 current implementation overlay</w:t>
      </w:r>
    </w:p>
    <w:p>
      <w:r>
        <w:t>Authority. This 2.3 overlay updates implementation status and approved P0 decisions against reference code 1.5.4 plus the validated Parivar Sathi PWA/BatteryAnalytics v3.4.2 line. Where retained Edition 2.0/2.1/2.2 status text or historical diagrams conflict with this overlay or the current validation evidence, this 2.3 overlay governs implementation status. Requirement IDs remain stable unless explicitly revised below.</w:t>
      </w:r>
    </w:p>
    <w:tbl>
      <w:tblPr>
        <w:tblW w:type="auto" w:w="0"/>
        <w:tblLook w:firstColumn="1" w:firstRow="1" w:lastColumn="0" w:lastRow="0" w:noHBand="0" w:noVBand="1" w:val="04A0"/>
      </w:tblPr>
      <w:tblGrid>
        <w:gridCol w:w="4680"/>
        <w:gridCol w:w="4680"/>
      </w:tblGrid>
      <w:tr>
        <w:tc>
          <w:tcPr>
            <w:tcW w:type="dxa" w:w="4680"/>
            <w:shd w:fill="D9EAD3"/>
          </w:tcPr>
          <w:p>
            <w:r>
              <w:rPr>
                <w:b/>
              </w:rPr>
              <w:t>Area</w:t>
            </w:r>
          </w:p>
        </w:tc>
        <w:tc>
          <w:tcPr>
            <w:tcW w:type="dxa" w:w="4680"/>
            <w:shd w:fill="D9EAD3"/>
          </w:tcPr>
          <w:p>
            <w:r>
              <w:t>Current 2.3 baseline</w:t>
            </w:r>
          </w:p>
        </w:tc>
      </w:tr>
      <w:tr>
        <w:tc>
          <w:tcPr>
            <w:tcW w:type="dxa" w:w="4680"/>
          </w:tcPr>
          <w:p>
            <w:r>
              <w:t>Rules and settings</w:t>
            </w:r>
          </w:p>
        </w:tc>
        <w:tc>
          <w:tcPr>
            <w:tcW w:type="dxa" w:w="4680"/>
          </w:tcPr>
          <w:p>
            <w:r>
              <w:t>The C++ RulesCore consumes generic DomainEvent inputs, not GPIO/RF frames. Connected rules cover missing morning, quiet-hours door, configurable door-left-open, daytime inactivity, configurable morning sequence, night bathroom/common-room visit thresholds with PIR-burst merging, and post-door-close inactivity. Household behavior policy is versioned per home through Device Schedules. The configurable low-battery alert threshold is also household policy; transport retry/heartbeat constants and the calibrated electrical power profile remain engineering-owned.</w:t>
            </w:r>
          </w:p>
        </w:tc>
      </w:tr>
      <w:tr>
        <w:tc>
          <w:tcPr>
            <w:tcW w:type="dxa" w:w="4680"/>
          </w:tcPr>
          <w:p>
            <w:r>
              <w:t>Consent/privacy</w:t>
            </w:r>
          </w:p>
        </w:tc>
        <w:tc>
          <w:tcPr>
            <w:tcW w:type="dxa" w:w="4680"/>
          </w:tcPr>
          <w:p>
            <w:r>
              <w:t>There is no normal user-facing Privacy ON/OFF setting or physical privacy switch in the current P0 UI/hardware plan. Consent withdrawal is still authoritative: once an authenticated withdrawal is applied, the system enters an internal privacy-enforcement state that suppresses configured passive collection. Re-observation requires deliberate valid consent.</w:t>
            </w:r>
          </w:p>
        </w:tc>
      </w:tr>
      <w:tr>
        <w:tc>
          <w:tcPr>
            <w:tcW w:type="dxa" w:w="4680"/>
          </w:tcPr>
          <w:p>
            <w:r>
              <w:t>Node to hub protocol</w:t>
            </w:r>
          </w:p>
        </w:tc>
        <w:tc>
          <w:tcPr>
            <w:tcW w:type="dxa" w:w="4680"/>
          </w:tcPr>
          <w:p>
            <w:r>
              <w:t>Typed NodeMessage/NodeAck contracts define node_id, session_id, sequence_number, sensor/event type, location, monotonic/occurrence time, battery and hub-observed RSSI. Default heartbeat is 60 s; offline/coverage-unknown is 190 s; retry is 200/600/1800/10000 ms then capped at 10 s. Durable ACK and duplicate suppression use the stable node/session/sequence identity.</w:t>
            </w:r>
          </w:p>
        </w:tc>
      </w:tr>
      <w:tr>
        <w:tc>
          <w:tcPr>
            <w:tcW w:type="dxa" w:w="4680"/>
          </w:tcPr>
          <w:p>
            <w:r>
              <w:t>Persistent data model</w:t>
            </w:r>
          </w:p>
        </w:tc>
        <w:tc>
          <w:tcPr>
            <w:tcW w:type="dxa" w:w="4680"/>
          </w:tcPr>
          <w:p>
            <w:r>
              <w:t>The relational schema/migration covers household, rooms, caregivers, hub/nodes, events, routines/windows, alerts, acknowledgements, notification jobs, configurations, audit, device power profiles and battery-usage history. The connected simulator intentionally uses deterministic/in-memory runtime stores in several paths; physical flash and production repository wiring remain pending.</w:t>
            </w:r>
          </w:p>
        </w:tc>
      </w:tr>
      <w:tr>
        <w:tc>
          <w:tcPr>
            <w:tcW w:type="dxa" w:w="4680"/>
          </w:tcPr>
          <w:p>
            <w:r>
              <w:t>Caregiver/family experience</w:t>
            </w:r>
          </w:p>
        </w:tc>
        <w:tc>
          <w:tcPr>
            <w:tcW w:type="dxa" w:w="4680"/>
          </w:tcPr>
          <w:p>
            <w:r>
              <w:t>The same authorised PWA serves family/caregiver roles; authorization controls actions. The overall banner is household-care status only. Routine cards appear below it in this order: Morning Routine, I am OK, Main Door, Night Activity, Device Health. A real care concern can turn the banner light red while the specific problem is shown in the affected card. Device-health-only battery/drain problems never change the care banner. Device Schedules remains open during background polling through explicit editor lifecycle state and saves backend-confirmed versioned values.</w:t>
            </w:r>
          </w:p>
        </w:tc>
      </w:tr>
      <w:tr>
        <w:tc>
          <w:tcPr>
            <w:tcW w:type="dxa" w:w="4680"/>
          </w:tcPr>
          <w:p>
            <w:r>
              <w:t>Validation</w:t>
            </w:r>
          </w:p>
        </w:tc>
        <w:tc>
          <w:tcPr>
            <w:tcW w:type="dxa" w:w="4680"/>
          </w:tcPr>
          <w:p>
            <w:r>
              <w:t>Current validated v3.4.2 evidence: validation coverage PASS for all F01-F14/E01-E10; contract verification PASS; 94 C++ checks; 31 Python tests; 11 JavaScript tests; Base/AI and feature-profile gates PASS; 5/5 dummy streams; 92/92 canonical connected scenarios; 16/16 HTTP integration; 9 PWA bridge checks; PWA API/frontend semantic checks PASS; sanitizer and trace profiles PASS; legacy browser-e2e PASS. Mandatory Playwright/Chromium gate passes 22/22 tests (11 logical checks on desktop and mobile) in the native WSL release environment. Physical/HIL/provider/field acceptance remains pending.</w:t>
            </w:r>
          </w:p>
        </w:tc>
      </w:tr>
      <w:tr>
        <w:tc>
          <w:tcPr>
            <w:tcW w:type="dxa" w:w="4680"/>
          </w:tcPr>
          <w:p>
            <w:r>
              <w:t>Routine/PWA/Battery line v3.4.2</w:t>
            </w:r>
          </w:p>
        </w:tc>
        <w:tc>
          <w:tcPr>
            <w:tcW w:type="dxa" w:w="4680"/>
          </w:tcPr>
          <w:p>
            <w:r>
              <w:t>v3.3.x introduced configurable routine rules, pending-vs-missing separation, stable Device Schedules editing and the final banner/card hierarchy. v3.4.0 added node power telemetry, battery history, state-of-charge, mAh/day, remaining-life prediction, confidence, high-drain detection and low-battery threshold configuration. v3.4.1/v3.4.2 are release/test stability patches; they do not change the product rules or the 92-case catalog.</w:t>
            </w:r>
          </w:p>
        </w:tc>
      </w:tr>
      <w:tr>
        <w:tc>
          <w:tcPr>
            <w:tcW w:type="dxa" w:w="4680"/>
          </w:tcPr>
          <w:p>
            <w:r>
              <w:t>Battery analytics</w:t>
            </w:r>
          </w:p>
        </w:tc>
        <w:tc>
          <w:tcPr>
            <w:tcW w:type="dxa" w:w="4680"/>
          </w:tcPr>
          <w:p>
            <w:r>
              <w:t>NodeMessage can carry cumulative power/activity counters including deep-sleep, awake, sensor-active, radio TX/RX, packet/retry, wake, heartbeat, boot and brownout counts. The backend combines these with a calibrated power profile and non-linear voltage-to-SOC model to estimate consumption and remaining life. Counter reset/reboot is handled safely. Real-board current, ADC/voltage and usable-capacity calibration are mandatory before field accuracy is claimed.</w:t>
            </w:r>
          </w:p>
        </w:tc>
      </w:tr>
    </w:tbl>
    <w:p>
      <w:pPr/>
      <w:r>
        <w:t>Historical-diagram note. Retained Edition 2.0 figures may show earlier trial labels (for example three C3 nodes or a physical privacy switch). The current one-home baseline is one ESP32 DevKit V1 hub plus four ESP32-C3 nodes, two resident action buttons, and no user-facing privacy ON/OFF switch.</w:t>
      </w:r>
    </w:p>
    <w:p>
      <w:pPr>
        <w:pStyle w:val="Heading2"/>
      </w:pPr>
      <w:r>
        <w:rPr>
          <w:color w:val="000000"/>
        </w:rPr>
        <w:t>Current decisions that resolve earlier ambiguity</w:t>
      </w:r>
    </w:p>
    <w:p>
      <w:r>
        <w:t>Routine evidence. RulesCore consumes generic DomainEvent records, so GPIO/RF adapters do not own business logic. In addition to missing-morning, quiet-hours door, door-left-open and daytime-inactivity rules, the applied household policy can enable a morning sequence, night bathroom/common-room monitoring and post-door-close inactivity. The current morning sequence starts only after motion at the configured bedroom location; subsequent configured bathroom and kitchen motion may occur in either order, but both must follow the start and fall within the configured sequence window before MORNING_ROUTINE_COMPLETED is emitted. This is household/location evidence, never resident identity.</w:t>
      </w:r>
    </w:p>
    <w:p>
      <w:r>
        <w:t>Coverage. Current lease/offline state and device health are separated from resident activity, with a 60-second heartbeat and 190-second offline/coverage-unknown threshold. Full historical coverage intervals across a complete routine window are still an open production gap. Missing activity must never be presented as a wellbeing or medical conclusion.</w:t>
      </w:r>
    </w:p>
    <w:p>
      <w:r>
        <w:t>Timing. Transport constants remain engineering-controlled: 60-second heartbeat, 190-second offline threshold, and bounded retry at 200 ms, 600 ms, 1800 ms and 10000 ms before the 10-second cap. Household behavior policy is versioned per home. Current seed defaults are quiet-hours 01:00-05:00, door-left-open 2 hours, daytime monitoring 08:00-21:00 with 3-hour inactivity, morning-sequence 06:00-11:00 with a 4-hour sequence window, night monitoring 22:00-06:00 with bathroom/common allowed-visit thresholds of 4 and a 5-minute PIR visit-merge interval, and post-door inactivity at 2 hours. These are starting values only; authorised household Settings may change them. Battery alert threshold is also configurable; electrical capacity/current calibration remains an engineering device profile, not a family routine setting.</w:t>
      </w:r>
    </w:p>
    <w:p>
      <w:r>
        <w:t>Persistence. DURABLE remains the application-ACK meaning. A concrete relational schema/migration now defines durable backend entities and identities, including routine-window and notification idempotency state. The connected simulator still uses deterministic in-memory runtime stores, so power-loss flash persistence, journal compaction and production database repository wiring remain open integration work.</w:t>
      </w:r>
    </w:p>
    <w:p>
      <w:r>
        <w:t>Modules. The 32 baseline P0 logical responsibilities remain the core architecture. S04 product profile, H09 interaction and S05 diagnostics are catalogued additions, while H10/H11/B09/A06 remain future/planned. Current source/contract/test traceability is maintained in the v1.5.4 tracker rather than inferred from historical module counts.</w:t>
      </w:r>
    </w:p>
    <w:p>
      <w:r>
        <w:t>Logs. Structured ERROR and build-gated TRACE paths, the host log analyzer, sanitizer profiles and simulated diagnostic codes are host-tested in v1.5.4. Logging remains best-effort and must never block product logic. ESP-IDF concurrent sinks, flash wear, brown-out/watchdog/panic and coredump retrieval still require board validation.</w:t>
      </w:r>
    </w:p>
    <w:p>
      <w:pPr/>
      <w:r>
        <w:t>PWA/routine/battery status through v3.4.2. Device Schedules exposes family-specific routine policy through the versioned configuration path. The editor uses explicit scheduleEditorOpen lifecycle state so a two-second background refresh cannot detach the form. Morning pending/not-completed-yet is distinct from MISSING_MORNING_ACTIVITY, and the main care banner follows backend/rule-engine care.alert only. The dashboard hierarchy is overall banner, then Morning Routine, I am OK, Main Door, Night Activity and Device Health. Battery analytics now adds state-of-charge, mAh/day, remaining-life/confidence and high-drain status under Device Health only. Run-all and Playwright cleanup restore Reset/PASS so synthetic validation state is not left visible.</w:t>
      </w:r>
    </w:p>
    <w:p>
      <w:pPr/>
      <w:r>
        <w:t>Battery prediction boundary. The estimator is implemented and validated with synthetic/reference calibration, but it is not yet a field-accuracy claim. Before a commercial prototype relies on the displayed runtime, measure deep-sleep, awake, sensor, radio-TX/RX and regulator currents on the selected ESP32-C3 hardware, calibrate battery voltage and usable capacity, then feed those measured profile values into the same estimator. A low-confidence estimate must remain visibly uncertain.</w:t>
      </w:r>
    </w:p>
    <w:p>
      <w:pPr/>
      <w:r>
        <w:t>Current release qualification. The validated native-WSL source tree passes make release-gate-final, including the legacy browser E2E stage and the mandatory Playwright/Chromium PWA gate with 22/22 desktop/mobile tests. This is software qualification only; GPIO/RF/flash/power/OTA/provider and installed-home evidence remain separate gates.</w:t>
      </w:r>
    </w:p>
    <w:p>
      <w:pPr>
        <w:pStyle w:val="Heading2"/>
        <w:pageBreakBefore w:val="0"/>
      </w:pPr>
      <w:r>
        <w:rPr>
          <w:color w:val="000000"/>
        </w:rPr>
        <w:t>Retained detailed baseline with edition 2 explanations</w:t>
      </w:r>
    </w:p>
    <w:p>
      <w:r>
        <w:t>The chapters below retain the uploaded detail. New explanatory paragraphs are placed at the relevant requirement/module headings. Historical implementation counts and future-state diagrams must be read with the current boundaries and open-work register above.</w:t>
      </w:r>
    </w:p>
    <w:p>
      <w:pPr>
        <w:pStyle w:val="Heading1"/>
      </w:pPr>
      <w:r>
        <w:rPr>
          <w:color w:val="000000"/>
        </w:rPr>
        <w:t>1. Product objective and scope</w:t>
      </w:r>
    </w:p>
    <w:p>
      <w:r>
        <w:t>Ghar Sajag gives a family clearer information when a routine check-in is expected, a resident asks for help, or the sensing system itself cannot provide reliable coverage. It is a family-awareness and communication aid, not a medical device, fall detector, emergency dispatch service or substitute for human judgement.</w:t>
      </w:r>
    </w:p>
    <w:p>
      <w:pPr>
        <w:pStyle w:val="Heading2"/>
      </w:pPr>
      <w:r>
        <w:rPr>
          <w:color w:val="000000"/>
        </w:rPr>
        <w:t>In scope for P0</w:t>
      </w:r>
    </w:p>
    <w:p>
      <w:pPr>
        <w:pStyle w:val="ListBullet"/>
        <w:spacing w:after="80"/>
      </w:pPr>
      <w:r>
        <w:t>One household with one or two consenting residents.</w:t>
      </w:r>
    </w:p>
    <w:p>
      <w:pPr>
        <w:pStyle w:val="ListBullet"/>
        <w:spacing w:after="80"/>
      </w:pPr>
      <w:r>
        <w:t>One ESP32 DevKit V1 hub and up to four ESP32-C3 nodes using motion and door/button inputs.</w:t>
      </w:r>
    </w:p>
    <w:p>
      <w:pPr>
        <w:pStyle w:val="ListBullet"/>
        <w:spacing w:after="80"/>
      </w:pPr>
      <w:r>
        <w:t>A configurable morning routine and optional morning sequence, explicit resident check-in, family-call request, main-door history, quiet/night/post-door activity rules, modes, caregiver acknowledgement and backup routing.</w:t>
      </w:r>
    </w:p>
    <w:p>
      <w:pPr>
        <w:pStyle w:val="ListBullet"/>
        <w:spacing w:after="80"/>
      </w:pPr>
      <w:r>
        <w:t>Local operation during WAN failure while hub power, trusted configuration and time remain usable.</w:t>
      </w:r>
    </w:p>
    <w:p>
      <w:pPr>
        <w:pStyle w:val="ListBullet"/>
        <w:spacing w:after="80"/>
      </w:pPr>
      <w:r>
        <w:t>Backend persistence, caregiver dashboard/PWA, versioned Device Schedules, notification delivery state, device-health/battery analytics, OTA policy and diagnostic logging.</w:t>
      </w:r>
    </w:p>
    <w:p>
      <w:pPr>
        <w:pStyle w:val="Heading2"/>
      </w:pPr>
      <w:r>
        <w:rPr>
          <w:color w:val="000000"/>
        </w:rPr>
        <w:t>Out of scope for P0</w:t>
      </w:r>
    </w:p>
    <w:p>
      <w:r>
        <w:t>Fall detection, vital signs, sleep quality, indoor cameras, always-on audio or speech recognition, automatic emergency dispatch, professional home visits, location tracking, automatic routine learning, and cloud-dependent AI inference are excluded. They may be evaluated as separately consented P1/P2 work.</w:t>
      </w:r>
    </w:p>
    <w:p>
      <w:pPr>
        <w:pStyle w:val="Heading1"/>
      </w:pPr>
      <w:r>
        <w:rPr>
          <w:color w:val="000000"/>
        </w:rPr>
        <w:t>2. Actors and operating assumptions</w:t>
      </w:r>
    </w:p>
    <w:tbl>
      <w:tblPr>
        <w:tblW w:type="dxa" w:w="9360"/>
        <w:jc w:val="left"/>
        <w:tblLayout w:type="fixed"/>
        <w:tblLook w:firstColumn="1" w:firstRow="1" w:lastColumn="0" w:lastRow="0" w:noHBand="0" w:noVBand="1" w:val="04A0"/>
        <w:tblInd w:w="120" w:type="dxa"/>
      </w:tblPr>
      <w:tblGrid>
        <w:gridCol w:w="2088"/>
        <w:gridCol w:w="7272"/>
      </w:tblGrid>
      <w:tr>
        <w:tc>
          <w:tcPr>
            <w:tcW w:type="dxa" w:w="2088"/>
            <w:vAlign w:val="top"/>
            <w:shd w:fill="E8EEF5"/>
            <w:tcMar>
              <w:top w:w="80" w:type="dxa"/>
              <w:bottom w:w="80" w:type="dxa"/>
              <w:start w:w="120" w:type="dxa"/>
              <w:end w:w="120" w:type="dxa"/>
            </w:tcMar>
          </w:tcPr>
          <w:p>
            <w:pPr>
              <w:spacing w:after="40"/>
            </w:pPr>
            <w:r>
              <w:rPr>
                <w:rFonts w:ascii="Calibri" w:hAnsi="Calibri"/>
                <w:b/>
                <w:sz w:val="19"/>
              </w:rPr>
              <w:t>Actor</w:t>
            </w:r>
          </w:p>
        </w:tc>
        <w:tc>
          <w:tcPr>
            <w:tcW w:type="dxa" w:w="7272"/>
            <w:vAlign w:val="top"/>
            <w:shd w:fill="E8EEF5"/>
            <w:tcMar>
              <w:top w:w="80" w:type="dxa"/>
              <w:bottom w:w="80" w:type="dxa"/>
              <w:start w:w="120" w:type="dxa"/>
              <w:end w:w="120" w:type="dxa"/>
            </w:tcMar>
          </w:tcPr>
          <w:p>
            <w:pPr>
              <w:spacing w:after="40"/>
            </w:pPr>
            <w:r>
              <w:rPr>
                <w:rFonts w:ascii="Calibri" w:hAnsi="Calibri"/>
                <w:b/>
                <w:sz w:val="19"/>
              </w:rPr>
              <w:t>Responsibility / permissions</w:t>
            </w:r>
          </w:p>
        </w:tc>
      </w:tr>
      <w:tr>
        <w:tc>
          <w:tcPr>
            <w:tcW w:type="dxa" w:w="2088"/>
            <w:vAlign w:val="top"/>
            <w:tcMar>
              <w:top w:w="80" w:type="dxa"/>
              <w:bottom w:w="80" w:type="dxa"/>
              <w:start w:w="120" w:type="dxa"/>
              <w:end w:w="120" w:type="dxa"/>
            </w:tcMar>
          </w:tcPr>
          <w:p>
            <w:pPr>
              <w:spacing w:after="40"/>
            </w:pPr>
            <w:r>
              <w:rPr>
                <w:rFonts w:ascii="Calibri" w:hAnsi="Calibri"/>
                <w:b w:val="0"/>
                <w:sz w:val="19"/>
              </w:rPr>
              <w:t>Resident</w:t>
            </w:r>
          </w:p>
        </w:tc>
        <w:tc>
          <w:tcPr>
            <w:tcW w:type="dxa" w:w="7272"/>
            <w:vAlign w:val="top"/>
            <w:tcMar>
              <w:top w:w="80" w:type="dxa"/>
              <w:bottom w:w="80" w:type="dxa"/>
              <w:start w:w="120" w:type="dxa"/>
              <w:end w:w="120" w:type="dxa"/>
            </w:tcMar>
          </w:tcPr>
          <w:p>
            <w:r>
              <w:t>Consents, uses I’m OK and Call family, may request/withdraw consent through the explicit consent workflow, and receives local feedback. No normal Privacy ON/OFF toggle is provided.</w:t>
            </w:r>
          </w:p>
        </w:tc>
      </w:tr>
      <w:tr>
        <w:tc>
          <w:tcPr>
            <w:tcW w:type="dxa" w:w="2088"/>
            <w:vAlign w:val="top"/>
            <w:tcMar>
              <w:top w:w="80" w:type="dxa"/>
              <w:bottom w:w="80" w:type="dxa"/>
              <w:start w:w="120" w:type="dxa"/>
              <w:end w:w="120" w:type="dxa"/>
            </w:tcMar>
          </w:tcPr>
          <w:p>
            <w:pPr>
              <w:spacing w:after="40"/>
            </w:pPr>
            <w:r>
              <w:rPr>
                <w:rFonts w:ascii="Calibri" w:hAnsi="Calibri"/>
                <w:b w:val="0"/>
                <w:sz w:val="19"/>
              </w:rPr>
              <w:t>Primary caregiver</w:t>
            </w:r>
          </w:p>
        </w:tc>
        <w:tc>
          <w:tcPr>
            <w:tcW w:type="dxa" w:w="7272"/>
            <w:vAlign w:val="top"/>
            <w:tcMar>
              <w:top w:w="80" w:type="dxa"/>
              <w:bottom w:w="80" w:type="dxa"/>
              <w:start w:w="120" w:type="dxa"/>
              <w:end w:w="120" w:type="dxa"/>
            </w:tcMar>
          </w:tcPr>
          <w:p>
            <w:pPr>
              <w:spacing w:after="40"/>
            </w:pPr>
            <w:r>
              <w:rPr>
                <w:rFonts w:ascii="Calibri" w:hAnsi="Calibri"/>
                <w:b w:val="0"/>
                <w:sz w:val="19"/>
              </w:rPr>
              <w:t>Owns household setup, receives first notification, claims/acknowledges/resolves incidents, may configure routines.</w:t>
            </w:r>
          </w:p>
        </w:tc>
      </w:tr>
      <w:tr>
        <w:tc>
          <w:tcPr>
            <w:tcW w:type="dxa" w:w="2088"/>
            <w:vAlign w:val="top"/>
            <w:tcMar>
              <w:top w:w="80" w:type="dxa"/>
              <w:bottom w:w="80" w:type="dxa"/>
              <w:start w:w="120" w:type="dxa"/>
              <w:end w:w="120" w:type="dxa"/>
            </w:tcMar>
          </w:tcPr>
          <w:p>
            <w:pPr>
              <w:spacing w:after="40"/>
            </w:pPr>
            <w:r>
              <w:rPr>
                <w:rFonts w:ascii="Calibri" w:hAnsi="Calibri"/>
                <w:b w:val="0"/>
                <w:sz w:val="19"/>
              </w:rPr>
              <w:t>Backup caregiver</w:t>
            </w:r>
          </w:p>
        </w:tc>
        <w:tc>
          <w:tcPr>
            <w:tcW w:type="dxa" w:w="7272"/>
            <w:vAlign w:val="top"/>
            <w:tcMar>
              <w:top w:w="80" w:type="dxa"/>
              <w:bottom w:w="80" w:type="dxa"/>
              <w:start w:w="120" w:type="dxa"/>
              <w:end w:w="120" w:type="dxa"/>
            </w:tcMar>
          </w:tcPr>
          <w:p>
            <w:pPr>
              <w:spacing w:after="40"/>
            </w:pPr>
            <w:r>
              <w:rPr>
                <w:rFonts w:ascii="Calibri" w:hAnsi="Calibri"/>
                <w:b w:val="0"/>
                <w:sz w:val="19"/>
              </w:rPr>
              <w:t>Receives escalation after the configured delay and can acknowledge or resolve.</w:t>
            </w:r>
          </w:p>
        </w:tc>
      </w:tr>
      <w:tr>
        <w:tc>
          <w:tcPr>
            <w:tcW w:type="dxa" w:w="2088"/>
            <w:vAlign w:val="top"/>
            <w:tcMar>
              <w:top w:w="80" w:type="dxa"/>
              <w:bottom w:w="80" w:type="dxa"/>
              <w:start w:w="120" w:type="dxa"/>
              <w:end w:w="120" w:type="dxa"/>
            </w:tcMar>
          </w:tcPr>
          <w:p>
            <w:pPr>
              <w:spacing w:after="40"/>
            </w:pPr>
            <w:r>
              <w:rPr>
                <w:rFonts w:ascii="Calibri" w:hAnsi="Calibri"/>
                <w:b w:val="0"/>
                <w:sz w:val="19"/>
              </w:rPr>
              <w:t>Installer/support</w:t>
            </w:r>
          </w:p>
        </w:tc>
        <w:tc>
          <w:tcPr>
            <w:tcW w:type="dxa" w:w="7272"/>
            <w:vAlign w:val="top"/>
            <w:tcMar>
              <w:top w:w="80" w:type="dxa"/>
              <w:bottom w:w="80" w:type="dxa"/>
              <w:start w:w="120" w:type="dxa"/>
              <w:end w:w="120" w:type="dxa"/>
            </w:tcMar>
          </w:tcPr>
          <w:p>
            <w:pPr>
              <w:spacing w:after="40"/>
            </w:pPr>
            <w:r>
              <w:rPr>
                <w:rFonts w:ascii="Calibri" w:hAnsi="Calibri"/>
                <w:b w:val="0"/>
                <w:sz w:val="19"/>
              </w:rPr>
              <w:t>Performs assisted provisioning, placement, coverage and notification drills; must not view unnecessary household data.</w:t>
            </w:r>
          </w:p>
        </w:tc>
      </w:tr>
      <w:tr>
        <w:tc>
          <w:tcPr>
            <w:tcW w:type="dxa" w:w="2088"/>
            <w:vAlign w:val="top"/>
            <w:tcMar>
              <w:top w:w="80" w:type="dxa"/>
              <w:bottom w:w="80" w:type="dxa"/>
              <w:start w:w="120" w:type="dxa"/>
              <w:end w:w="120" w:type="dxa"/>
            </w:tcMar>
          </w:tcPr>
          <w:p>
            <w:pPr>
              <w:spacing w:after="40"/>
            </w:pPr>
            <w:r>
              <w:rPr>
                <w:rFonts w:ascii="Calibri" w:hAnsi="Calibri"/>
                <w:b w:val="0"/>
                <w:sz w:val="19"/>
              </w:rPr>
              <w:t>Hub / nodes</w:t>
            </w:r>
          </w:p>
        </w:tc>
        <w:tc>
          <w:tcPr>
            <w:tcW w:type="dxa" w:w="7272"/>
            <w:vAlign w:val="top"/>
            <w:tcMar>
              <w:top w:w="80" w:type="dxa"/>
              <w:bottom w:w="80" w:type="dxa"/>
              <w:start w:w="120" w:type="dxa"/>
              <w:end w:w="120" w:type="dxa"/>
            </w:tcMar>
          </w:tcPr>
          <w:p>
            <w:pPr>
              <w:spacing w:after="40"/>
            </w:pPr>
            <w:r>
              <w:rPr>
                <w:rFonts w:ascii="Calibri" w:hAnsi="Calibri"/>
                <w:b w:val="0"/>
                <w:sz w:val="19"/>
              </w:rPr>
              <w:t>Sense, authenticate, persist, transport, provide local prompts and report health.</w:t>
            </w:r>
          </w:p>
        </w:tc>
      </w:tr>
      <w:tr>
        <w:tc>
          <w:tcPr>
            <w:tcW w:type="dxa" w:w="2088"/>
            <w:vAlign w:val="top"/>
            <w:tcMar>
              <w:top w:w="80" w:type="dxa"/>
              <w:bottom w:w="80" w:type="dxa"/>
              <w:start w:w="120" w:type="dxa"/>
              <w:end w:w="120" w:type="dxa"/>
            </w:tcMar>
          </w:tcPr>
          <w:p>
            <w:pPr>
              <w:spacing w:after="40"/>
            </w:pPr>
            <w:r>
              <w:rPr>
                <w:rFonts w:ascii="Calibri" w:hAnsi="Calibri"/>
                <w:b w:val="0"/>
                <w:sz w:val="19"/>
              </w:rPr>
              <w:t>Backend / notification provider</w:t>
            </w:r>
          </w:p>
        </w:tc>
        <w:tc>
          <w:tcPr>
            <w:tcW w:type="dxa" w:w="7272"/>
            <w:vAlign w:val="top"/>
            <w:tcMar>
              <w:top w:w="80" w:type="dxa"/>
              <w:bottom w:w="80" w:type="dxa"/>
              <w:start w:w="120" w:type="dxa"/>
              <w:end w:w="120" w:type="dxa"/>
            </w:tcMar>
          </w:tcPr>
          <w:p>
            <w:pPr>
              <w:spacing w:after="40"/>
            </w:pPr>
            <w:r>
              <w:rPr>
                <w:rFonts w:ascii="Calibri" w:hAnsi="Calibri"/>
                <w:b w:val="0"/>
                <w:sz w:val="19"/>
              </w:rPr>
              <w:t>Stores authorised records, computes read models, routes notifications and exposes delivery state.</w:t>
            </w:r>
          </w:p>
        </w:tc>
      </w:tr>
    </w:tbl>
    <w:p>
      <w:pPr>
        <w:spacing w:after="40"/>
      </w:pPr>
    </w:p>
    <w:p>
      <w:pPr>
        <w:pStyle w:val="Heading2"/>
      </w:pPr>
      <w:r>
        <w:rPr>
          <w:color w:val="000000"/>
        </w:rPr>
        <w:t>Assumptions and constraints</w:t>
      </w:r>
    </w:p>
    <w:p>
      <w:pPr>
        <w:pStyle w:val="ListBullet"/>
        <w:spacing w:after="80"/>
      </w:pPr>
      <w:r>
        <w:t>India-first assisted installation; local time zone is configured per household.</w:t>
      </w:r>
    </w:p>
    <w:p>
      <w:pPr>
        <w:pStyle w:val="ListBullet"/>
        <w:spacing w:after="80"/>
      </w:pPr>
      <w:r>
        <w:t>2.4 GHz Wi-Fi is available for hub-to-backend access; node-to-hub transport is encrypted and authenticated.</w:t>
      </w:r>
    </w:p>
    <w:p>
      <w:pPr>
        <w:pStyle w:val="ListBullet"/>
        <w:spacing w:after="80"/>
      </w:pPr>
      <w:r>
        <w:t>The product must remain useful without a camera and without a microphone.</w:t>
      </w:r>
    </w:p>
    <w:p>
      <w:pPr>
        <w:pStyle w:val="ListBullet"/>
        <w:spacing w:after="80"/>
      </w:pPr>
      <w:r>
        <w:t>Physical power, sensor placement, battery/UPS and radio coverage are installation responsibilities covered by separate hardware gates.</w:t>
      </w:r>
    </w:p>
    <w:p>
      <w:pPr>
        <w:pStyle w:val="ListBullet"/>
        <w:spacing w:after="80"/>
      </w:pPr>
      <w:r>
        <w:t>Software must distinguish “no activity observed” from “observation unavailable”.</w:t>
      </w:r>
    </w:p>
    <w:p>
      <w:pPr>
        <w:pStyle w:val="Heading1"/>
      </w:pPr>
      <w:r>
        <w:rPr>
          <w:color w:val="000000"/>
        </w:rPr>
        <w:t>3. System context and software boundaries</w:t>
      </w:r>
    </w:p>
    <w:p>
      <w:r>
        <w:t>The hub is the local state owner for node events, coverage, routine evaluation and resident interaction. The backend is the remote system of record for authorised household data, incidents, notification attempts and caregiver read models. The app is a review-and-command client; it must not invent wellbeing conclusions from missing data.</w:t>
      </w:r>
    </w:p>
    <w:tbl>
      <w:tblPr>
        <w:tblW w:type="dxa" w:w="9360"/>
        <w:jc w:val="left"/>
        <w:tblLayout w:type="fixed"/>
        <w:tblLook w:firstColumn="1" w:firstRow="1" w:lastColumn="0" w:lastRow="0" w:noHBand="0" w:noVBand="1" w:val="04A0"/>
        <w:tblInd w:w="120" w:type="dxa"/>
      </w:tblPr>
      <w:tblGrid>
        <w:gridCol w:w="2088"/>
        <w:gridCol w:w="4608"/>
        <w:gridCol w:w="2664"/>
      </w:tblGrid>
      <w:tr>
        <w:tc>
          <w:tcPr>
            <w:tcW w:type="dxa" w:w="2088"/>
            <w:vAlign w:val="top"/>
            <w:shd w:fill="E8EEF5"/>
            <w:tcMar>
              <w:top w:w="80" w:type="dxa"/>
              <w:bottom w:w="80" w:type="dxa"/>
              <w:start w:w="120" w:type="dxa"/>
              <w:end w:w="120" w:type="dxa"/>
            </w:tcMar>
          </w:tcPr>
          <w:p>
            <w:pPr>
              <w:spacing w:after="40"/>
            </w:pPr>
            <w:r>
              <w:rPr>
                <w:rFonts w:ascii="Calibri" w:hAnsi="Calibri"/>
                <w:b/>
                <w:sz w:val="19"/>
              </w:rPr>
              <w:t>Boundary</w:t>
            </w:r>
          </w:p>
        </w:tc>
        <w:tc>
          <w:tcPr>
            <w:tcW w:type="dxa" w:w="4608"/>
            <w:vAlign w:val="top"/>
            <w:shd w:fill="E8EEF5"/>
            <w:tcMar>
              <w:top w:w="80" w:type="dxa"/>
              <w:bottom w:w="80" w:type="dxa"/>
              <w:start w:w="120" w:type="dxa"/>
              <w:end w:w="120" w:type="dxa"/>
            </w:tcMar>
          </w:tcPr>
          <w:p>
            <w:pPr>
              <w:spacing w:after="40"/>
            </w:pPr>
            <w:r>
              <w:rPr>
                <w:rFonts w:ascii="Calibri" w:hAnsi="Calibri"/>
                <w:b/>
                <w:sz w:val="19"/>
              </w:rPr>
              <w:t>Interface</w:t>
            </w:r>
          </w:p>
        </w:tc>
        <w:tc>
          <w:tcPr>
            <w:tcW w:type="dxa" w:w="2664"/>
            <w:vAlign w:val="top"/>
            <w:shd w:fill="E8EEF5"/>
            <w:tcMar>
              <w:top w:w="80" w:type="dxa"/>
              <w:bottom w:w="80" w:type="dxa"/>
              <w:start w:w="120" w:type="dxa"/>
              <w:end w:w="120" w:type="dxa"/>
            </w:tcMar>
          </w:tcPr>
          <w:p>
            <w:pPr>
              <w:spacing w:after="40"/>
            </w:pPr>
            <w:r>
              <w:rPr>
                <w:rFonts w:ascii="Calibri" w:hAnsi="Calibri"/>
                <w:b/>
                <w:sz w:val="19"/>
              </w:rPr>
              <w:t>Owner / dependency</w:t>
            </w:r>
          </w:p>
        </w:tc>
      </w:tr>
      <w:tr>
        <w:tc>
          <w:tcPr>
            <w:tcW w:type="dxa" w:w="2088"/>
            <w:vAlign w:val="top"/>
            <w:tcMar>
              <w:top w:w="80" w:type="dxa"/>
              <w:bottom w:w="80" w:type="dxa"/>
              <w:start w:w="120" w:type="dxa"/>
              <w:end w:w="120" w:type="dxa"/>
            </w:tcMar>
          </w:tcPr>
          <w:p>
            <w:pPr>
              <w:spacing w:after="40"/>
            </w:pPr>
            <w:r>
              <w:rPr>
                <w:rFonts w:ascii="Calibri" w:hAnsi="Calibri"/>
                <w:b w:val="0"/>
                <w:sz w:val="19"/>
              </w:rPr>
              <w:t>Node → hub</w:t>
            </w:r>
          </w:p>
        </w:tc>
        <w:tc>
          <w:tcPr>
            <w:tcW w:type="dxa" w:w="4608"/>
            <w:vAlign w:val="top"/>
            <w:tcMar>
              <w:top w:w="80" w:type="dxa"/>
              <w:bottom w:w="80" w:type="dxa"/>
              <w:start w:w="120" w:type="dxa"/>
              <w:end w:w="120" w:type="dxa"/>
            </w:tcMar>
          </w:tcPr>
          <w:p>
            <w:pPr>
              <w:spacing w:after="40"/>
            </w:pPr>
            <w:r>
              <w:rPr>
                <w:rFonts w:ascii="Calibri" w:hAnsi="Calibri"/>
                <w:b w:val="0"/>
                <w:sz w:val="19"/>
              </w:rPr>
              <w:t>Authenticated encrypted event envelope; unique source/session/sequence; application ACK</w:t>
            </w:r>
          </w:p>
        </w:tc>
        <w:tc>
          <w:tcPr>
            <w:tcW w:type="dxa" w:w="2664"/>
            <w:vAlign w:val="top"/>
            <w:tcMar>
              <w:top w:w="80" w:type="dxa"/>
              <w:bottom w:w="80" w:type="dxa"/>
              <w:start w:w="120" w:type="dxa"/>
              <w:end w:w="120" w:type="dxa"/>
            </w:tcMar>
          </w:tcPr>
          <w:p>
            <w:pPr>
              <w:spacing w:after="40"/>
            </w:pPr>
            <w:r>
              <w:rPr>
                <w:rFonts w:ascii="Calibri" w:hAnsi="Calibri"/>
                <w:b w:val="0"/>
                <w:sz w:val="19"/>
              </w:rPr>
              <w:t>N02/N05; hub H01/H02</w:t>
            </w:r>
          </w:p>
        </w:tc>
      </w:tr>
      <w:tr>
        <w:tc>
          <w:tcPr>
            <w:tcW w:type="dxa" w:w="2088"/>
            <w:vAlign w:val="top"/>
            <w:tcMar>
              <w:top w:w="80" w:type="dxa"/>
              <w:bottom w:w="80" w:type="dxa"/>
              <w:start w:w="120" w:type="dxa"/>
              <w:end w:w="120" w:type="dxa"/>
            </w:tcMar>
          </w:tcPr>
          <w:p>
            <w:pPr>
              <w:spacing w:after="40"/>
            </w:pPr>
            <w:r>
              <w:rPr>
                <w:rFonts w:ascii="Calibri" w:hAnsi="Calibri"/>
                <w:b w:val="0"/>
                <w:sz w:val="19"/>
              </w:rPr>
              <w:t>Hub → backend</w:t>
            </w:r>
          </w:p>
        </w:tc>
        <w:tc>
          <w:tcPr>
            <w:tcW w:type="dxa" w:w="4608"/>
            <w:vAlign w:val="top"/>
            <w:tcMar>
              <w:top w:w="80" w:type="dxa"/>
              <w:bottom w:w="80" w:type="dxa"/>
              <w:start w:w="120" w:type="dxa"/>
              <w:end w:w="120" w:type="dxa"/>
            </w:tcMar>
          </w:tcPr>
          <w:p>
            <w:pPr>
              <w:spacing w:after="40"/>
            </w:pPr>
            <w:r>
              <w:rPr>
                <w:rFonts w:ascii="Calibri" w:hAnsi="Calibri"/>
                <w:b w:val="0"/>
                <w:sz w:val="19"/>
              </w:rPr>
              <w:t>TLS API/MQTT-style outbox replay; configuration and incident intents</w:t>
            </w:r>
          </w:p>
        </w:tc>
        <w:tc>
          <w:tcPr>
            <w:tcW w:type="dxa" w:w="2664"/>
            <w:vAlign w:val="top"/>
            <w:tcMar>
              <w:top w:w="80" w:type="dxa"/>
              <w:bottom w:w="80" w:type="dxa"/>
              <w:start w:w="120" w:type="dxa"/>
              <w:end w:w="120" w:type="dxa"/>
            </w:tcMar>
          </w:tcPr>
          <w:p>
            <w:pPr>
              <w:spacing w:after="40"/>
            </w:pPr>
            <w:r>
              <w:rPr>
                <w:rFonts w:ascii="Calibri" w:hAnsi="Calibri"/>
                <w:b w:val="0"/>
                <w:sz w:val="19"/>
              </w:rPr>
              <w:t>H08; backend B03/B06</w:t>
            </w:r>
          </w:p>
        </w:tc>
      </w:tr>
      <w:tr>
        <w:tc>
          <w:tcPr>
            <w:tcW w:type="dxa" w:w="2088"/>
            <w:vAlign w:val="top"/>
            <w:tcMar>
              <w:top w:w="80" w:type="dxa"/>
              <w:bottom w:w="80" w:type="dxa"/>
              <w:start w:w="120" w:type="dxa"/>
              <w:end w:w="120" w:type="dxa"/>
            </w:tcMar>
          </w:tcPr>
          <w:p>
            <w:pPr>
              <w:spacing w:after="40"/>
            </w:pPr>
            <w:r>
              <w:rPr>
                <w:rFonts w:ascii="Calibri" w:hAnsi="Calibri"/>
                <w:b w:val="0"/>
                <w:sz w:val="19"/>
              </w:rPr>
              <w:t>Backend → app</w:t>
            </w:r>
          </w:p>
        </w:tc>
        <w:tc>
          <w:tcPr>
            <w:tcW w:type="dxa" w:w="4608"/>
            <w:vAlign w:val="top"/>
            <w:tcMar>
              <w:top w:w="80" w:type="dxa"/>
              <w:bottom w:w="80" w:type="dxa"/>
              <w:start w:w="120" w:type="dxa"/>
              <w:end w:w="120" w:type="dxa"/>
            </w:tcMar>
          </w:tcPr>
          <w:p>
            <w:pPr>
              <w:spacing w:after="40"/>
            </w:pPr>
            <w:r>
              <w:rPr>
                <w:rFonts w:ascii="Calibri" w:hAnsi="Calibri"/>
                <w:b w:val="0"/>
                <w:sz w:val="19"/>
              </w:rPr>
              <w:t>Authenticated REST/JSON API; idempotency keys; freshness metadata</w:t>
            </w:r>
          </w:p>
        </w:tc>
        <w:tc>
          <w:tcPr>
            <w:tcW w:type="dxa" w:w="2664"/>
            <w:vAlign w:val="top"/>
            <w:tcMar>
              <w:top w:w="80" w:type="dxa"/>
              <w:bottom w:w="80" w:type="dxa"/>
              <w:start w:w="120" w:type="dxa"/>
              <w:end w:w="120" w:type="dxa"/>
            </w:tcMar>
          </w:tcPr>
          <w:p>
            <w:pPr>
              <w:spacing w:after="40"/>
            </w:pPr>
            <w:r>
              <w:rPr>
                <w:rFonts w:ascii="Calibri" w:hAnsi="Calibri"/>
                <w:b w:val="0"/>
                <w:sz w:val="19"/>
              </w:rPr>
              <w:t>B07/B08; A05</w:t>
            </w:r>
          </w:p>
        </w:tc>
      </w:tr>
      <w:tr>
        <w:tc>
          <w:tcPr>
            <w:tcW w:type="dxa" w:w="2088"/>
            <w:vAlign w:val="top"/>
            <w:tcMar>
              <w:top w:w="80" w:type="dxa"/>
              <w:bottom w:w="80" w:type="dxa"/>
              <w:start w:w="120" w:type="dxa"/>
              <w:end w:w="120" w:type="dxa"/>
            </w:tcMar>
          </w:tcPr>
          <w:p>
            <w:pPr>
              <w:spacing w:after="40"/>
            </w:pPr>
            <w:r>
              <w:rPr>
                <w:rFonts w:ascii="Calibri" w:hAnsi="Calibri"/>
                <w:b w:val="0"/>
                <w:sz w:val="19"/>
              </w:rPr>
              <w:t>Hub → resident</w:t>
            </w:r>
          </w:p>
        </w:tc>
        <w:tc>
          <w:tcPr>
            <w:tcW w:type="dxa" w:w="4608"/>
            <w:vAlign w:val="top"/>
            <w:tcMar>
              <w:top w:w="80" w:type="dxa"/>
              <w:bottom w:w="80" w:type="dxa"/>
              <w:start w:w="120" w:type="dxa"/>
              <w:end w:w="120" w:type="dxa"/>
            </w:tcMar>
          </w:tcPr>
          <w:p>
            <w:r>
              <w:t>Local display/LED/buzzer and two resident action buttons; no user-facing privacy switch</w:t>
            </w:r>
          </w:p>
        </w:tc>
        <w:tc>
          <w:tcPr>
            <w:tcW w:type="dxa" w:w="2664"/>
            <w:vAlign w:val="top"/>
            <w:tcMar>
              <w:top w:w="80" w:type="dxa"/>
              <w:bottom w:w="80" w:type="dxa"/>
              <w:start w:w="120" w:type="dxa"/>
              <w:end w:w="120" w:type="dxa"/>
            </w:tcMar>
          </w:tcPr>
          <w:p>
            <w:pPr>
              <w:spacing w:after="40"/>
            </w:pPr>
            <w:r>
              <w:rPr>
                <w:rFonts w:ascii="Calibri" w:hAnsi="Calibri"/>
                <w:b w:val="0"/>
                <w:sz w:val="19"/>
              </w:rPr>
              <w:t>H06; physical I/O adapter</w:t>
            </w:r>
          </w:p>
        </w:tc>
      </w:tr>
      <w:tr>
        <w:tc>
          <w:tcPr>
            <w:tcW w:type="dxa" w:w="2088"/>
            <w:vAlign w:val="top"/>
            <w:tcMar>
              <w:top w:w="80" w:type="dxa"/>
              <w:bottom w:w="80" w:type="dxa"/>
              <w:start w:w="120" w:type="dxa"/>
              <w:end w:w="120" w:type="dxa"/>
            </w:tcMar>
          </w:tcPr>
          <w:p>
            <w:pPr>
              <w:spacing w:after="40"/>
            </w:pPr>
            <w:r>
              <w:rPr>
                <w:rFonts w:ascii="Calibri" w:hAnsi="Calibri"/>
                <w:b w:val="0"/>
                <w:sz w:val="19"/>
              </w:rPr>
              <w:t>Backend → caregiver</w:t>
            </w:r>
          </w:p>
        </w:tc>
        <w:tc>
          <w:tcPr>
            <w:tcW w:type="dxa" w:w="4608"/>
            <w:vAlign w:val="top"/>
            <w:tcMar>
              <w:top w:w="80" w:type="dxa"/>
              <w:bottom w:w="80" w:type="dxa"/>
              <w:start w:w="120" w:type="dxa"/>
              <w:end w:w="120" w:type="dxa"/>
            </w:tcMar>
          </w:tcPr>
          <w:p>
            <w:pPr>
              <w:spacing w:after="40"/>
            </w:pPr>
            <w:r>
              <w:rPr>
                <w:rFonts w:ascii="Calibri" w:hAnsi="Calibri"/>
                <w:b w:val="0"/>
                <w:sz w:val="19"/>
              </w:rPr>
              <w:t>Push/SMS/voice provider adapter with delivery state</w:t>
            </w:r>
          </w:p>
        </w:tc>
        <w:tc>
          <w:tcPr>
            <w:tcW w:type="dxa" w:w="2664"/>
            <w:vAlign w:val="top"/>
            <w:tcMar>
              <w:top w:w="80" w:type="dxa"/>
              <w:bottom w:w="80" w:type="dxa"/>
              <w:start w:w="120" w:type="dxa"/>
              <w:end w:w="120" w:type="dxa"/>
            </w:tcMar>
          </w:tcPr>
          <w:p>
            <w:pPr>
              <w:spacing w:after="40"/>
            </w:pPr>
            <w:r>
              <w:rPr>
                <w:rFonts w:ascii="Calibri" w:hAnsi="Calibri"/>
                <w:b w:val="0"/>
                <w:sz w:val="19"/>
              </w:rPr>
              <w:t>B05; external provider</w:t>
            </w:r>
          </w:p>
        </w:tc>
      </w:tr>
    </w:tbl>
    <w:p>
      <w:pPr>
        <w:spacing w:after="40"/>
      </w:pPr>
    </w:p>
    <w:p>
      <w:pPr>
        <w:pStyle w:val="Heading1"/>
      </w:pPr>
      <w:r>
        <w:rPr>
          <w:color w:val="000000"/>
        </w:rPr>
        <w:t>4. Functional requirements — household and routine</w:t>
      </w:r>
    </w:p>
    <w:p>
      <w:pPr>
        <w:pStyle w:val="Heading1"/>
      </w:pPr>
      <w:r>
        <w:rPr>
          <w:color w:val="000000"/>
        </w:rPr>
        <w:t>4.1 Household, consent and installation</w:t>
      </w:r>
    </w:p>
    <w:tbl>
      <w:tblPr>
        <w:tblW w:type="dxa" w:w="9360"/>
        <w:jc w:val="left"/>
        <w:tblLayout w:type="fixed"/>
        <w:tblLook w:firstColumn="1" w:firstRow="1" w:lastColumn="0" w:lastRow="0" w:noHBand="0" w:noVBand="1" w:val="04A0"/>
        <w:tblInd w:w="120" w:type="dxa"/>
      </w:tblPr>
      <w:tblGrid>
        <w:gridCol w:w="1036"/>
        <w:gridCol w:w="4968"/>
        <w:gridCol w:w="3355"/>
      </w:tblGrid>
      <w:tr>
        <w:tc>
          <w:tcPr>
            <w:tcW w:type="dxa" w:w="1036"/>
            <w:vAlign w:val="top"/>
            <w:shd w:fill="E8EEF5"/>
            <w:tcMar>
              <w:top w:w="80" w:type="dxa"/>
              <w:bottom w:w="80" w:type="dxa"/>
              <w:start w:w="120" w:type="dxa"/>
              <w:end w:w="120" w:type="dxa"/>
            </w:tcMar>
          </w:tcPr>
          <w:p>
            <w:pPr>
              <w:spacing w:after="40"/>
            </w:pPr>
            <w:r>
              <w:rPr>
                <w:rFonts w:ascii="Calibri" w:hAnsi="Calibri"/>
                <w:b/>
                <w:sz w:val="19"/>
              </w:rPr>
              <w:t>ID</w:t>
            </w:r>
          </w:p>
        </w:tc>
        <w:tc>
          <w:tcPr>
            <w:tcW w:type="dxa" w:w="4968"/>
            <w:vAlign w:val="top"/>
            <w:shd w:fill="E8EEF5"/>
            <w:tcMar>
              <w:top w:w="80" w:type="dxa"/>
              <w:bottom w:w="80" w:type="dxa"/>
              <w:start w:w="120" w:type="dxa"/>
              <w:end w:w="120" w:type="dxa"/>
            </w:tcMar>
          </w:tcPr>
          <w:p>
            <w:pPr>
              <w:spacing w:after="40"/>
            </w:pPr>
            <w:r>
              <w:rPr>
                <w:rFonts w:ascii="Calibri" w:hAnsi="Calibri"/>
                <w:b/>
                <w:sz w:val="19"/>
              </w:rPr>
              <w:t>Software requirement</w:t>
            </w:r>
          </w:p>
        </w:tc>
        <w:tc>
          <w:tcPr>
            <w:tcW w:type="dxa" w:w="3355"/>
            <w:vAlign w:val="top"/>
            <w:shd w:fill="E8EEF5"/>
            <w:tcMar>
              <w:top w:w="80" w:type="dxa"/>
              <w:bottom w:w="80" w:type="dxa"/>
              <w:start w:w="120" w:type="dxa"/>
              <w:end w:w="120" w:type="dxa"/>
            </w:tcMar>
          </w:tcPr>
          <w:p>
            <w:pPr>
              <w:spacing w:after="40"/>
            </w:pPr>
            <w:r>
              <w:rPr>
                <w:rFonts w:ascii="Calibri" w:hAnsi="Calibri"/>
                <w:b/>
                <w:sz w:val="19"/>
              </w:rPr>
              <w:t>Acceptance / verification</w:t>
            </w:r>
          </w:p>
        </w:tc>
      </w:tr>
      <w:tr>
        <w:tc>
          <w:tcPr>
            <w:tcW w:type="dxa" w:w="1036"/>
            <w:vAlign w:val="top"/>
            <w:tcMar>
              <w:top w:w="80" w:type="dxa"/>
              <w:bottom w:w="80" w:type="dxa"/>
              <w:start w:w="120" w:type="dxa"/>
              <w:end w:w="120" w:type="dxa"/>
            </w:tcMar>
          </w:tcPr>
          <w:p>
            <w:pPr>
              <w:spacing w:after="40"/>
            </w:pPr>
            <w:r>
              <w:rPr>
                <w:rFonts w:ascii="Calibri" w:hAnsi="Calibri"/>
                <w:b w:val="0"/>
                <w:sz w:val="19"/>
              </w:rPr>
              <w:t>F01</w:t>
            </w:r>
          </w:p>
        </w:tc>
        <w:tc>
          <w:tcPr>
            <w:tcW w:type="dxa" w:w="4968"/>
            <w:vAlign w:val="top"/>
            <w:tcMar>
              <w:top w:w="80" w:type="dxa"/>
              <w:bottom w:w="80" w:type="dxa"/>
              <w:start w:w="120" w:type="dxa"/>
              <w:end w:w="120" w:type="dxa"/>
            </w:tcMar>
          </w:tcPr>
          <w:p>
            <w:pPr>
              <w:spacing w:after="40"/>
            </w:pPr>
            <w:r>
              <w:rPr>
                <w:rFonts w:ascii="Calibri" w:hAnsi="Calibri"/>
                <w:b w:val="0"/>
                <w:sz w:val="19"/>
              </w:rPr>
              <w:t>The system shall create one household profile with display name, IANA time zone, preferred language, one or two resident profiles, a primary caregiver and a distinct backup caregiver.</w:t>
            </w:r>
          </w:p>
        </w:tc>
        <w:tc>
          <w:tcPr>
            <w:tcW w:type="dxa" w:w="3355"/>
            <w:vAlign w:val="top"/>
            <w:tcMar>
              <w:top w:w="80" w:type="dxa"/>
              <w:bottom w:w="80" w:type="dxa"/>
              <w:start w:w="120" w:type="dxa"/>
              <w:end w:w="120" w:type="dxa"/>
            </w:tcMar>
          </w:tcPr>
          <w:p>
            <w:pPr>
              <w:spacing w:after="40"/>
            </w:pPr>
            <w:r>
              <w:rPr>
                <w:rFonts w:ascii="Calibri" w:hAnsi="Calibri"/>
                <w:b w:val="0"/>
                <w:sz w:val="19"/>
              </w:rPr>
              <w:t>Create-home tests reject missing consent, duplicate caregiver roles and cross-house access.</w:t>
            </w:r>
          </w:p>
        </w:tc>
      </w:tr>
      <w:tr>
        <w:tc>
          <w:tcPr>
            <w:tcW w:type="dxa" w:w="1036"/>
            <w:vAlign w:val="top"/>
            <w:tcMar>
              <w:top w:w="80" w:type="dxa"/>
              <w:bottom w:w="80" w:type="dxa"/>
              <w:start w:w="120" w:type="dxa"/>
              <w:end w:w="120" w:type="dxa"/>
            </w:tcMar>
          </w:tcPr>
          <w:p>
            <w:pPr>
              <w:spacing w:after="40"/>
            </w:pPr>
            <w:r>
              <w:rPr>
                <w:rFonts w:ascii="Calibri" w:hAnsi="Calibri"/>
                <w:b w:val="0"/>
                <w:sz w:val="19"/>
              </w:rPr>
              <w:t>F02</w:t>
            </w:r>
          </w:p>
        </w:tc>
        <w:tc>
          <w:tcPr>
            <w:tcW w:type="dxa" w:w="4968"/>
            <w:vAlign w:val="top"/>
            <w:tcMar>
              <w:top w:w="80" w:type="dxa"/>
              <w:bottom w:w="80" w:type="dxa"/>
              <w:start w:w="120" w:type="dxa"/>
              <w:end w:w="120" w:type="dxa"/>
            </w:tcMar>
          </w:tcPr>
          <w:p>
            <w:pPr>
              <w:spacing w:after="40"/>
            </w:pPr>
            <w:r>
              <w:rPr>
                <w:rFonts w:ascii="Calibri" w:hAnsi="Calibri"/>
                <w:b w:val="0"/>
                <w:sz w:val="19"/>
              </w:rPr>
              <w:t>The system shall present the signals collected, purpose, recipients, limitations and retention in the configured language; record consent version, method, time and actor; and honour withdrawal.</w:t>
            </w:r>
          </w:p>
        </w:tc>
        <w:tc>
          <w:tcPr>
            <w:tcW w:type="dxa" w:w="3355"/>
            <w:vAlign w:val="top"/>
            <w:tcMar>
              <w:top w:w="80" w:type="dxa"/>
              <w:bottom w:w="80" w:type="dxa"/>
              <w:start w:w="120" w:type="dxa"/>
              <w:end w:w="120" w:type="dxa"/>
            </w:tcMar>
          </w:tcPr>
          <w:p>
            <w:r>
              <w:t>Consent withdrawal creates an auditable desired state; once the hub reports it applied, internal privacy enforcement stops configured passive observation. No normal Privacy ON/OFF control exists; re-observation requires deliberate valid re-consent.</w:t>
            </w:r>
          </w:p>
        </w:tc>
      </w:tr>
      <w:tr>
        <w:tc>
          <w:tcPr>
            <w:tcW w:type="dxa" w:w="1036"/>
            <w:vAlign w:val="top"/>
            <w:tcMar>
              <w:top w:w="80" w:type="dxa"/>
              <w:bottom w:w="80" w:type="dxa"/>
              <w:start w:w="120" w:type="dxa"/>
              <w:end w:w="120" w:type="dxa"/>
            </w:tcMar>
          </w:tcPr>
          <w:p>
            <w:pPr>
              <w:spacing w:after="40"/>
            </w:pPr>
            <w:r>
              <w:rPr>
                <w:rFonts w:ascii="Calibri" w:hAnsi="Calibri"/>
                <w:b w:val="0"/>
                <w:sz w:val="19"/>
              </w:rPr>
              <w:t>F03</w:t>
            </w:r>
          </w:p>
        </w:tc>
        <w:tc>
          <w:tcPr>
            <w:tcW w:type="dxa" w:w="4968"/>
            <w:vAlign w:val="top"/>
            <w:tcMar>
              <w:top w:w="80" w:type="dxa"/>
              <w:bottom w:w="80" w:type="dxa"/>
              <w:start w:w="120" w:type="dxa"/>
              <w:end w:w="120" w:type="dxa"/>
            </w:tcMar>
          </w:tcPr>
          <w:p>
            <w:pPr>
              <w:spacing w:after="40"/>
            </w:pPr>
            <w:r>
              <w:rPr>
                <w:rFonts w:ascii="Calibri" w:hAnsi="Calibri"/>
                <w:b w:val="0"/>
                <w:sz w:val="19"/>
              </w:rPr>
              <w:t>The system shall provision/bind the hub and nodes, validate firmware/board/capabilities, verify placement and radio coverage, and run a caregiver delivery drill before unattended use.</w:t>
            </w:r>
          </w:p>
        </w:tc>
        <w:tc>
          <w:tcPr>
            <w:tcW w:type="dxa" w:w="3355"/>
            <w:vAlign w:val="top"/>
            <w:tcMar>
              <w:top w:w="80" w:type="dxa"/>
              <w:bottom w:w="80" w:type="dxa"/>
              <w:start w:w="120" w:type="dxa"/>
              <w:end w:w="120" w:type="dxa"/>
            </w:tcMar>
          </w:tcPr>
          <w:p>
            <w:r>
              <w:t>Installation gate enumerates every missing node, resident button, consent-state, coverage and notification check.</w:t>
            </w:r>
          </w:p>
        </w:tc>
      </w:tr>
      <w:tr>
        <w:tc>
          <w:tcPr>
            <w:tcW w:type="dxa" w:w="1036"/>
            <w:vAlign w:val="top"/>
            <w:tcMar>
              <w:top w:w="80" w:type="dxa"/>
              <w:bottom w:w="80" w:type="dxa"/>
              <w:start w:w="120" w:type="dxa"/>
              <w:end w:w="120" w:type="dxa"/>
            </w:tcMar>
          </w:tcPr>
          <w:p>
            <w:pPr>
              <w:spacing w:after="40"/>
            </w:pPr>
            <w:r>
              <w:rPr>
                <w:rFonts w:ascii="Calibri" w:hAnsi="Calibri"/>
                <w:b w:val="0"/>
                <w:sz w:val="19"/>
              </w:rPr>
              <w:t>F04</w:t>
            </w:r>
          </w:p>
        </w:tc>
        <w:tc>
          <w:tcPr>
            <w:tcW w:type="dxa" w:w="4968"/>
            <w:vAlign w:val="top"/>
            <w:tcMar>
              <w:top w:w="80" w:type="dxa"/>
              <w:bottom w:w="80" w:type="dxa"/>
              <w:start w:w="120" w:type="dxa"/>
              <w:end w:w="120" w:type="dxa"/>
            </w:tcMar>
          </w:tcPr>
          <w:p>
            <w:r>
              <w:t>The system shall support one daily morning routine plus versioned per-household activity rules for quiet hours, door-left-open timeout, daytime inactivity, optional morning sequence, night bathroom/common-room visit monitoring and post-door-close inactivity. Morning sequence shall start only from the configured bedroom location and shall complete only after both configured bathroom and kitchen activity occur subsequently within the configured sequence window. Configuration shall be considered active only after applied acknowledgement. The household may configure its low-battery warning threshold; electrical power-profile calibration is engineering-owned.</w:t>
            </w:r>
          </w:p>
        </w:tc>
        <w:tc>
          <w:tcPr>
            <w:tcW w:type="dxa" w:w="3355"/>
            <w:vAlign w:val="top"/>
            <w:tcMar>
              <w:top w:w="80" w:type="dxa"/>
              <w:bottom w:w="80" w:type="dxa"/>
              <w:start w:w="120" w:type="dxa"/>
              <w:end w:w="120" w:type="dxa"/>
            </w:tcMar>
          </w:tcPr>
          <w:p>
            <w:r>
              <w:t>Stale/invalid versions are rejected; desired/applied versions remain visible. Tests cover configurable locations/windows, bathroom-before-bedroom negative order, bathroom/kitchen order after start, night threshold equality vs exceedance, PIR-visit merging, post-door motion cancellation, low-battery threshold save/reload and schedule-editor stability across polling cycles.</w:t>
            </w:r>
          </w:p>
        </w:tc>
      </w:tr>
      <w:tr>
        <w:tc>
          <w:tcPr>
            <w:tcW w:type="dxa" w:w="1036"/>
            <w:vAlign w:val="top"/>
            <w:tcMar>
              <w:top w:w="80" w:type="dxa"/>
              <w:bottom w:w="80" w:type="dxa"/>
              <w:start w:w="120" w:type="dxa"/>
              <w:end w:w="120" w:type="dxa"/>
            </w:tcMar>
          </w:tcPr>
          <w:p>
            <w:pPr>
              <w:spacing w:after="40"/>
            </w:pPr>
            <w:r>
              <w:rPr>
                <w:rFonts w:ascii="Calibri" w:hAnsi="Calibri"/>
                <w:b w:val="0"/>
                <w:sz w:val="19"/>
              </w:rPr>
              <w:t>F05</w:t>
            </w:r>
          </w:p>
        </w:tc>
        <w:tc>
          <w:tcPr>
            <w:tcW w:type="dxa" w:w="4968"/>
            <w:vAlign w:val="top"/>
            <w:tcMar>
              <w:top w:w="80" w:type="dxa"/>
              <w:bottom w:w="80" w:type="dxa"/>
              <w:start w:w="120" w:type="dxa"/>
              <w:end w:w="120" w:type="dxa"/>
            </w:tcMar>
          </w:tcPr>
          <w:p>
            <w:r>
              <w:t>The system shall accept qualifying movement from eligible configured sensors, retain source/location/time and avoid converting absence into a wellbeing claim. When morning sequence is enabled, it shall emit MORNING_ROUTINE_COMPLETED only after the configured sequence conditions are met, without identifying a resident.</w:t>
            </w:r>
          </w:p>
        </w:tc>
        <w:tc>
          <w:tcPr>
            <w:tcW w:type="dxa" w:w="3355"/>
            <w:vAlign w:val="top"/>
            <w:tcMar>
              <w:top w:w="80" w:type="dxa"/>
              <w:bottom w:w="80" w:type="dxa"/>
              <w:start w:w="120" w:type="dxa"/>
              <w:end w:w="120" w:type="dxa"/>
            </w:tcMar>
          </w:tcPr>
          <w:p>
            <w:r>
              <w:t>Evidence view shows activity, age and coverage separately. Duplicate events do not duplicate evidence. Morning sequence tests prove configured order/window/location behavior and preserve raw activity chronology.</w:t>
            </w:r>
          </w:p>
        </w:tc>
      </w:tr>
    </w:tbl>
    <w:p>
      <w:pPr>
        <w:spacing w:after="40"/>
      </w:pPr>
    </w:p>
    <w:p>
      <w:pPr>
        <w:pStyle w:val="Heading1"/>
      </w:pPr>
      <w:r>
        <w:rPr>
          <w:color w:val="000000"/>
        </w:rPr>
        <w:t>4.2 Resident actions and exception workflows</w:t>
      </w:r>
    </w:p>
    <w:tbl>
      <w:tblPr>
        <w:tblW w:type="dxa" w:w="9360"/>
        <w:jc w:val="left"/>
        <w:tblLayout w:type="fixed"/>
        <w:tblLook w:firstColumn="1" w:firstRow="1" w:lastColumn="0" w:lastRow="0" w:noHBand="0" w:noVBand="1" w:val="04A0"/>
        <w:tblInd w:w="120" w:type="dxa"/>
      </w:tblPr>
      <w:tblGrid>
        <w:gridCol w:w="1036"/>
        <w:gridCol w:w="4968"/>
        <w:gridCol w:w="3355"/>
      </w:tblGrid>
      <w:tr>
        <w:tc>
          <w:tcPr>
            <w:tcW w:type="dxa" w:w="1036"/>
            <w:vAlign w:val="top"/>
            <w:shd w:fill="E8EEF5"/>
            <w:tcMar>
              <w:top w:w="80" w:type="dxa"/>
              <w:bottom w:w="80" w:type="dxa"/>
              <w:start w:w="120" w:type="dxa"/>
              <w:end w:w="120" w:type="dxa"/>
            </w:tcMar>
          </w:tcPr>
          <w:p>
            <w:pPr>
              <w:spacing w:after="40"/>
            </w:pPr>
            <w:r>
              <w:rPr>
                <w:rFonts w:ascii="Calibri" w:hAnsi="Calibri"/>
                <w:b/>
                <w:sz w:val="19"/>
              </w:rPr>
              <w:t>ID</w:t>
            </w:r>
          </w:p>
        </w:tc>
        <w:tc>
          <w:tcPr>
            <w:tcW w:type="dxa" w:w="4968"/>
            <w:vAlign w:val="top"/>
            <w:shd w:fill="E8EEF5"/>
            <w:tcMar>
              <w:top w:w="80" w:type="dxa"/>
              <w:bottom w:w="80" w:type="dxa"/>
              <w:start w:w="120" w:type="dxa"/>
              <w:end w:w="120" w:type="dxa"/>
            </w:tcMar>
          </w:tcPr>
          <w:p>
            <w:pPr>
              <w:spacing w:after="40"/>
            </w:pPr>
            <w:r>
              <w:rPr>
                <w:rFonts w:ascii="Calibri" w:hAnsi="Calibri"/>
                <w:b/>
                <w:sz w:val="19"/>
              </w:rPr>
              <w:t>Software requirement</w:t>
            </w:r>
          </w:p>
        </w:tc>
        <w:tc>
          <w:tcPr>
            <w:tcW w:type="dxa" w:w="3355"/>
            <w:vAlign w:val="top"/>
            <w:shd w:fill="E8EEF5"/>
            <w:tcMar>
              <w:top w:w="80" w:type="dxa"/>
              <w:bottom w:w="80" w:type="dxa"/>
              <w:start w:w="120" w:type="dxa"/>
              <w:end w:w="120" w:type="dxa"/>
            </w:tcMar>
          </w:tcPr>
          <w:p>
            <w:pPr>
              <w:spacing w:after="40"/>
            </w:pPr>
            <w:r>
              <w:rPr>
                <w:rFonts w:ascii="Calibri" w:hAnsi="Calibri"/>
                <w:b/>
                <w:sz w:val="19"/>
              </w:rPr>
              <w:t>Acceptance / verification</w:t>
            </w:r>
          </w:p>
        </w:tc>
      </w:tr>
      <w:tr>
        <w:tc>
          <w:tcPr>
            <w:tcW w:type="dxa" w:w="1036"/>
            <w:vAlign w:val="top"/>
            <w:tcMar>
              <w:top w:w="80" w:type="dxa"/>
              <w:bottom w:w="80" w:type="dxa"/>
              <w:start w:w="120" w:type="dxa"/>
              <w:end w:w="120" w:type="dxa"/>
            </w:tcMar>
          </w:tcPr>
          <w:p>
            <w:pPr>
              <w:spacing w:after="40"/>
            </w:pPr>
            <w:r>
              <w:rPr>
                <w:rFonts w:ascii="Calibri" w:hAnsi="Calibri"/>
                <w:b w:val="0"/>
                <w:sz w:val="19"/>
              </w:rPr>
              <w:t>F06</w:t>
            </w:r>
          </w:p>
        </w:tc>
        <w:tc>
          <w:tcPr>
            <w:tcW w:type="dxa" w:w="4968"/>
            <w:vAlign w:val="top"/>
            <w:tcMar>
              <w:top w:w="80" w:type="dxa"/>
              <w:bottom w:w="80" w:type="dxa"/>
              <w:start w:w="120" w:type="dxa"/>
              <w:end w:w="120" w:type="dxa"/>
            </w:tcMar>
          </w:tcPr>
          <w:p>
            <w:pPr>
              <w:spacing w:after="40"/>
            </w:pPr>
            <w:r>
              <w:rPr>
                <w:rFonts w:ascii="Calibri" w:hAnsi="Calibri"/>
                <w:b w:val="0"/>
                <w:sz w:val="19"/>
              </w:rPr>
              <w:t>The system shall provide a distinct large “I’m OK” action, confirm it locally within 500 ms, persist a separate self-check-in event and notify the caregiver view.</w:t>
            </w:r>
          </w:p>
        </w:tc>
        <w:tc>
          <w:tcPr>
            <w:tcW w:type="dxa" w:w="3355"/>
            <w:vAlign w:val="top"/>
            <w:tcMar>
              <w:top w:w="80" w:type="dxa"/>
              <w:bottom w:w="80" w:type="dxa"/>
              <w:start w:w="120" w:type="dxa"/>
              <w:end w:w="120" w:type="dxa"/>
            </w:tcMar>
          </w:tcPr>
          <w:p>
            <w:pPr>
              <w:spacing w:after="40"/>
            </w:pPr>
            <w:r>
              <w:rPr>
                <w:rFonts w:ascii="Calibri" w:hAnsi="Calibri"/>
                <w:b w:val="0"/>
                <w:sz w:val="19"/>
              </w:rPr>
              <w:t>A valid press is durable and independently visible from motion evidence.</w:t>
            </w:r>
          </w:p>
        </w:tc>
      </w:tr>
      <w:tr>
        <w:tc>
          <w:tcPr>
            <w:tcW w:type="dxa" w:w="1036"/>
            <w:vAlign w:val="top"/>
            <w:tcMar>
              <w:top w:w="80" w:type="dxa"/>
              <w:bottom w:w="80" w:type="dxa"/>
              <w:start w:w="120" w:type="dxa"/>
              <w:end w:w="120" w:type="dxa"/>
            </w:tcMar>
          </w:tcPr>
          <w:p>
            <w:pPr>
              <w:spacing w:after="40"/>
            </w:pPr>
            <w:r>
              <w:rPr>
                <w:rFonts w:ascii="Calibri" w:hAnsi="Calibri"/>
                <w:b w:val="0"/>
                <w:sz w:val="19"/>
              </w:rPr>
              <w:t>F07</w:t>
            </w:r>
          </w:p>
        </w:tc>
        <w:tc>
          <w:tcPr>
            <w:tcW w:type="dxa" w:w="4968"/>
            <w:vAlign w:val="top"/>
            <w:tcMar>
              <w:top w:w="80" w:type="dxa"/>
              <w:bottom w:w="80" w:type="dxa"/>
              <w:start w:w="120" w:type="dxa"/>
              <w:end w:w="120" w:type="dxa"/>
            </w:tcMar>
          </w:tcPr>
          <w:p>
            <w:pPr>
              <w:spacing w:after="40"/>
            </w:pPr>
            <w:r>
              <w:rPr>
                <w:rFonts w:ascii="Calibri" w:hAnsi="Calibri"/>
                <w:b w:val="0"/>
                <w:sz w:val="19"/>
              </w:rPr>
              <w:t>The system shall provide a distinct “Call family” action that creates a high-priority incident independent of routine windows and modes, with local confirmation and idempotency.</w:t>
            </w:r>
          </w:p>
        </w:tc>
        <w:tc>
          <w:tcPr>
            <w:tcW w:type="dxa" w:w="3355"/>
            <w:vAlign w:val="top"/>
            <w:tcMar>
              <w:top w:w="80" w:type="dxa"/>
              <w:bottom w:w="80" w:type="dxa"/>
              <w:start w:w="120" w:type="dxa"/>
              <w:end w:w="120" w:type="dxa"/>
            </w:tcMar>
          </w:tcPr>
          <w:p>
            <w:pPr>
              <w:spacing w:after="40"/>
            </w:pPr>
            <w:r>
              <w:rPr>
                <w:rFonts w:ascii="Calibri" w:hAnsi="Calibri"/>
                <w:b w:val="0"/>
                <w:sz w:val="19"/>
              </w:rPr>
              <w:t>One press creates at most one open incident for the same idempotency key.</w:t>
            </w:r>
          </w:p>
        </w:tc>
      </w:tr>
      <w:tr>
        <w:tc>
          <w:tcPr>
            <w:tcW w:type="dxa" w:w="1036"/>
            <w:vAlign w:val="top"/>
            <w:tcMar>
              <w:top w:w="80" w:type="dxa"/>
              <w:bottom w:w="80" w:type="dxa"/>
              <w:start w:w="120" w:type="dxa"/>
              <w:end w:w="120" w:type="dxa"/>
            </w:tcMar>
          </w:tcPr>
          <w:p>
            <w:pPr>
              <w:spacing w:after="40"/>
            </w:pPr>
            <w:r>
              <w:rPr>
                <w:rFonts w:ascii="Calibri" w:hAnsi="Calibri"/>
                <w:b w:val="0"/>
                <w:sz w:val="19"/>
              </w:rPr>
              <w:t>F08</w:t>
            </w:r>
          </w:p>
        </w:tc>
        <w:tc>
          <w:tcPr>
            <w:tcW w:type="dxa" w:w="4968"/>
            <w:vAlign w:val="top"/>
            <w:tcMar>
              <w:top w:w="80" w:type="dxa"/>
              <w:bottom w:w="80" w:type="dxa"/>
              <w:start w:w="120" w:type="dxa"/>
              <w:end w:w="120" w:type="dxa"/>
            </w:tcMar>
          </w:tcPr>
          <w:p>
            <w:r>
              <w:t>At the routine deadline, the hub shall distinguish covered absence from unknown observation. A morning sequence that is merely pending/not completed yet shall not itself be a care concern. Only when the missing-activity rule fires under trusted time/eligible coverage shall MISSING_MORNING_ACTIVITY be created; otherwise coverage/service state is reported without claiming resident risk.</w:t>
            </w:r>
          </w:p>
        </w:tc>
        <w:tc>
          <w:tcPr>
            <w:tcW w:type="dxa" w:w="3355"/>
            <w:vAlign w:val="top"/>
            <w:tcMar>
              <w:top w:w="80" w:type="dxa"/>
              <w:bottom w:w="80" w:type="dxa"/>
              <w:start w:w="120" w:type="dxa"/>
              <w:end w:w="120" w:type="dxa"/>
            </w:tcMar>
          </w:tcPr>
          <w:p>
            <w:r>
              <w:t>Boundary tests cover time uncertainty, node lease gaps, applied consent withdrawal, hub offline, away/visitor modes, duplicate deadlines, pending-vs-missing presentation and later-activity correction.</w:t>
            </w:r>
          </w:p>
        </w:tc>
      </w:tr>
      <w:tr>
        <w:tc>
          <w:tcPr>
            <w:tcW w:type="dxa" w:w="1036"/>
            <w:vAlign w:val="top"/>
            <w:tcMar>
              <w:top w:w="80" w:type="dxa"/>
              <w:bottom w:w="80" w:type="dxa"/>
              <w:start w:w="120" w:type="dxa"/>
              <w:end w:w="120" w:type="dxa"/>
            </w:tcMar>
          </w:tcPr>
          <w:p>
            <w:pPr>
              <w:spacing w:after="40"/>
            </w:pPr>
            <w:r>
              <w:rPr>
                <w:rFonts w:ascii="Calibri" w:hAnsi="Calibri"/>
                <w:b w:val="0"/>
                <w:sz w:val="19"/>
              </w:rPr>
              <w:t>F09</w:t>
            </w:r>
          </w:p>
        </w:tc>
        <w:tc>
          <w:tcPr>
            <w:tcW w:type="dxa" w:w="4968"/>
            <w:vAlign w:val="top"/>
            <w:tcMar>
              <w:top w:w="80" w:type="dxa"/>
              <w:bottom w:w="80" w:type="dxa"/>
              <w:start w:w="120" w:type="dxa"/>
              <w:end w:w="120" w:type="dxa"/>
            </w:tcMar>
          </w:tcPr>
          <w:p>
            <w:r>
              <w:t>The system shall record configured main-door open/close edges and known state; quiet-hour classification and door-left-open timeout shall be versioned per household. If post-door inactivity is enabled, a door close shall arm the applied timer; qualifying indoor motion cancels it and threshold expiry creates POST_DOOR_INACTIVITY.</w:t>
            </w:r>
          </w:p>
        </w:tc>
        <w:tc>
          <w:tcPr>
            <w:tcW w:type="dxa" w:w="3355"/>
            <w:vAlign w:val="top"/>
            <w:tcMar>
              <w:top w:w="80" w:type="dxa"/>
              <w:bottom w:w="80" w:type="dxa"/>
              <w:start w:w="120" w:type="dxa"/>
              <w:end w:w="120" w:type="dxa"/>
            </w:tcMar>
          </w:tcPr>
          <w:p>
            <w:r>
              <w:t>Door history remains explicit/chronological. Threshold−1/threshold, later-close duration, post-door cancellation/expiry and invalid simulated sensor/event combinations are tested. No direction/person/away inference is permitted.</w:t>
            </w:r>
          </w:p>
        </w:tc>
      </w:tr>
      <w:tr>
        <w:tc>
          <w:tcPr>
            <w:tcW w:type="dxa" w:w="1036"/>
            <w:vAlign w:val="top"/>
            <w:tcMar>
              <w:top w:w="80" w:type="dxa"/>
              <w:bottom w:w="80" w:type="dxa"/>
              <w:start w:w="120" w:type="dxa"/>
              <w:end w:w="120" w:type="dxa"/>
            </w:tcMar>
          </w:tcPr>
          <w:p>
            <w:pPr>
              <w:spacing w:after="40"/>
            </w:pPr>
            <w:r>
              <w:rPr>
                <w:rFonts w:ascii="Calibri" w:hAnsi="Calibri"/>
                <w:b w:val="0"/>
                <w:sz w:val="19"/>
              </w:rPr>
              <w:t>F10</w:t>
            </w:r>
          </w:p>
        </w:tc>
        <w:tc>
          <w:tcPr>
            <w:tcW w:type="dxa" w:w="4968"/>
            <w:vAlign w:val="top"/>
            <w:tcMar>
              <w:top w:w="80" w:type="dxa"/>
              <w:bottom w:w="80" w:type="dxa"/>
              <w:start w:w="120" w:type="dxa"/>
              <w:end w:w="120" w:type="dxa"/>
            </w:tcMar>
          </w:tcPr>
          <w:p>
            <w:r>
              <w:t>The system shall support HOME/ACTIVE, AWAY, PAUSED and VISITOR states with actor, reason, effective time and version. Consent withdrawal/internal privacy enforcement is a separate F02 state, not a user-selectable mode.</w:t>
            </w:r>
          </w:p>
        </w:tc>
        <w:tc>
          <w:tcPr>
            <w:tcW w:type="dxa" w:w="3355"/>
            <w:vAlign w:val="top"/>
            <w:tcMar>
              <w:top w:w="80" w:type="dxa"/>
              <w:bottom w:w="80" w:type="dxa"/>
              <w:start w:w="120" w:type="dxa"/>
              <w:end w:w="120" w:type="dxa"/>
            </w:tcMar>
          </w:tcPr>
          <w:p>
            <w:r>
              <w:t>AWAY/PAUSED suppress routine absence; VISITOR preserves household-level evidence without resident attribution. Ordinary mode changes cannot override applied consent withdrawal/internal privacy enforcement.</w:t>
            </w:r>
          </w:p>
        </w:tc>
      </w:tr>
    </w:tbl>
    <w:p>
      <w:pPr>
        <w:spacing w:after="40"/>
      </w:pPr>
    </w:p>
    <w:p>
      <w:pPr>
        <w:pStyle w:val="Heading1"/>
      </w:pPr>
      <w:r>
        <w:rPr>
          <w:color w:val="000000"/>
        </w:rPr>
        <w:t>4.3 Caregiver experience and routing</w:t>
      </w:r>
    </w:p>
    <w:tbl>
      <w:tblPr>
        <w:tblW w:type="dxa" w:w="9360"/>
        <w:jc w:val="left"/>
        <w:tblLayout w:type="fixed"/>
        <w:tblLook w:firstColumn="1" w:firstRow="1" w:lastColumn="0" w:lastRow="0" w:noHBand="0" w:noVBand="1" w:val="04A0"/>
        <w:tblInd w:w="120" w:type="dxa"/>
      </w:tblPr>
      <w:tblGrid>
        <w:gridCol w:w="1036"/>
        <w:gridCol w:w="4968"/>
        <w:gridCol w:w="3355"/>
      </w:tblGrid>
      <w:tr>
        <w:tc>
          <w:tcPr>
            <w:tcW w:type="dxa" w:w="1036"/>
            <w:vAlign w:val="top"/>
            <w:shd w:fill="E8EEF5"/>
            <w:tcMar>
              <w:top w:w="80" w:type="dxa"/>
              <w:bottom w:w="80" w:type="dxa"/>
              <w:start w:w="120" w:type="dxa"/>
              <w:end w:w="120" w:type="dxa"/>
            </w:tcMar>
          </w:tcPr>
          <w:p>
            <w:pPr>
              <w:spacing w:after="40"/>
            </w:pPr>
            <w:r>
              <w:rPr>
                <w:rFonts w:ascii="Calibri" w:hAnsi="Calibri"/>
                <w:b/>
                <w:sz w:val="19"/>
              </w:rPr>
              <w:t>ID</w:t>
            </w:r>
          </w:p>
        </w:tc>
        <w:tc>
          <w:tcPr>
            <w:tcW w:type="dxa" w:w="4968"/>
            <w:vAlign w:val="top"/>
            <w:shd w:fill="E8EEF5"/>
            <w:tcMar>
              <w:top w:w="80" w:type="dxa"/>
              <w:bottom w:w="80" w:type="dxa"/>
              <w:start w:w="120" w:type="dxa"/>
              <w:end w:w="120" w:type="dxa"/>
            </w:tcMar>
          </w:tcPr>
          <w:p>
            <w:pPr>
              <w:spacing w:after="40"/>
            </w:pPr>
            <w:r>
              <w:rPr>
                <w:rFonts w:ascii="Calibri" w:hAnsi="Calibri"/>
                <w:b/>
                <w:sz w:val="19"/>
              </w:rPr>
              <w:t>Software requirement</w:t>
            </w:r>
          </w:p>
        </w:tc>
        <w:tc>
          <w:tcPr>
            <w:tcW w:type="dxa" w:w="3355"/>
            <w:vAlign w:val="top"/>
            <w:shd w:fill="E8EEF5"/>
            <w:tcMar>
              <w:top w:w="80" w:type="dxa"/>
              <w:bottom w:w="80" w:type="dxa"/>
              <w:start w:w="120" w:type="dxa"/>
              <w:end w:w="120" w:type="dxa"/>
            </w:tcMar>
          </w:tcPr>
          <w:p>
            <w:pPr>
              <w:spacing w:after="40"/>
            </w:pPr>
            <w:r>
              <w:rPr>
                <w:rFonts w:ascii="Calibri" w:hAnsi="Calibri"/>
                <w:b/>
                <w:sz w:val="19"/>
              </w:rPr>
              <w:t>Acceptance / verification</w:t>
            </w:r>
          </w:p>
        </w:tc>
      </w:tr>
      <w:tr>
        <w:tc>
          <w:tcPr>
            <w:tcW w:type="dxa" w:w="1036"/>
            <w:vAlign w:val="top"/>
            <w:tcMar>
              <w:top w:w="80" w:type="dxa"/>
              <w:bottom w:w="80" w:type="dxa"/>
              <w:start w:w="120" w:type="dxa"/>
              <w:end w:w="120" w:type="dxa"/>
            </w:tcMar>
          </w:tcPr>
          <w:p>
            <w:pPr>
              <w:spacing w:after="40"/>
            </w:pPr>
            <w:r>
              <w:rPr>
                <w:rFonts w:ascii="Calibri" w:hAnsi="Calibri"/>
                <w:b w:val="0"/>
                <w:sz w:val="19"/>
              </w:rPr>
              <w:t>F11</w:t>
            </w:r>
          </w:p>
        </w:tc>
        <w:tc>
          <w:tcPr>
            <w:tcW w:type="dxa" w:w="4968"/>
            <w:vAlign w:val="top"/>
            <w:tcMar>
              <w:top w:w="80" w:type="dxa"/>
              <w:bottom w:w="80" w:type="dxa"/>
              <w:start w:w="120" w:type="dxa"/>
              <w:end w:w="120" w:type="dxa"/>
            </w:tcMar>
          </w:tcPr>
          <w:p>
            <w:r>
              <w:t>The authorised family/caregiver home shall show exact recent activity, last self-check-in with age, observation/system coverage, open incidents and Device Health as separate facts, with home-local time and chronology. The same dashboard may serve family or caregiver roles; authorization controls actions. The overall banner shall represent only household-care state. Specific routine problems shall appear in the affected card. Device-health-only battery/drain faults shall not turn the care banner red.</w:t>
            </w:r>
          </w:p>
        </w:tc>
        <w:tc>
          <w:tcPr>
            <w:tcW w:type="dxa" w:w="3355"/>
            <w:vAlign w:val="top"/>
            <w:tcMar>
              <w:top w:w="80" w:type="dxa"/>
              <w:bottom w:w="80" w:type="dxa"/>
              <w:start w:w="120" w:type="dxa"/>
              <w:end w:w="120" w:type="dxa"/>
            </w:tcMar>
          </w:tcPr>
          <w:p>
            <w:r>
              <w:t>Browser tests verify card order (Morning Routine, I am OK, Main Door, Night Activity, Device Health), generic overall banner wording, missing-morning/door/night affected-card highlighting, battery isolation, newest-first important events, stable Device Schedules editing and complete catalog execution on desktop/mobile.</w:t>
            </w:r>
          </w:p>
        </w:tc>
      </w:tr>
      <w:tr>
        <w:tc>
          <w:tcPr>
            <w:tcW w:type="dxa" w:w="1036"/>
            <w:vAlign w:val="top"/>
            <w:tcMar>
              <w:top w:w="80" w:type="dxa"/>
              <w:bottom w:w="80" w:type="dxa"/>
              <w:start w:w="120" w:type="dxa"/>
              <w:end w:w="120" w:type="dxa"/>
            </w:tcMar>
          </w:tcPr>
          <w:p>
            <w:pPr>
              <w:spacing w:after="40"/>
            </w:pPr>
            <w:r>
              <w:rPr>
                <w:rFonts w:ascii="Calibri" w:hAnsi="Calibri"/>
                <w:b w:val="0"/>
                <w:sz w:val="19"/>
              </w:rPr>
              <w:t>F12</w:t>
            </w:r>
          </w:p>
        </w:tc>
        <w:tc>
          <w:tcPr>
            <w:tcW w:type="dxa" w:w="4968"/>
            <w:vAlign w:val="top"/>
            <w:tcMar>
              <w:top w:w="80" w:type="dxa"/>
              <w:bottom w:w="80" w:type="dxa"/>
              <w:start w:w="120" w:type="dxa"/>
              <w:end w:w="120" w:type="dxa"/>
            </w:tcMar>
          </w:tcPr>
          <w:p>
            <w:pPr>
              <w:spacing w:after="40"/>
            </w:pPr>
            <w:r>
              <w:rPr>
                <w:rFonts w:ascii="Calibri" w:hAnsi="Calibri"/>
                <w:b w:val="0"/>
                <w:sz w:val="19"/>
              </w:rPr>
              <w:t>A caregiver shall be able to claim, acknowledge, resolve, mark unable to reach and ask the backup caregiver; actions shall record actor and time and use a lease to prevent conflicting ownership.</w:t>
            </w:r>
          </w:p>
        </w:tc>
        <w:tc>
          <w:tcPr>
            <w:tcW w:type="dxa" w:w="3355"/>
            <w:vAlign w:val="top"/>
            <w:tcMar>
              <w:top w:w="80" w:type="dxa"/>
              <w:bottom w:w="80" w:type="dxa"/>
              <w:start w:w="120" w:type="dxa"/>
              <w:end w:w="120" w:type="dxa"/>
            </w:tcMar>
          </w:tcPr>
          <w:p>
            <w:pPr>
              <w:spacing w:after="40"/>
            </w:pPr>
            <w:r>
              <w:rPr>
                <w:rFonts w:ascii="Calibri" w:hAnsi="Calibri"/>
                <w:b w:val="0"/>
                <w:sz w:val="19"/>
              </w:rPr>
              <w:t>Concurrent caregiver tests permit one active owner and preserve the audit trail.</w:t>
            </w:r>
          </w:p>
        </w:tc>
      </w:tr>
      <w:tr>
        <w:tc>
          <w:tcPr>
            <w:tcW w:type="dxa" w:w="1036"/>
            <w:vAlign w:val="top"/>
            <w:tcMar>
              <w:top w:w="80" w:type="dxa"/>
              <w:bottom w:w="80" w:type="dxa"/>
              <w:start w:w="120" w:type="dxa"/>
              <w:end w:w="120" w:type="dxa"/>
            </w:tcMar>
          </w:tcPr>
          <w:p>
            <w:pPr>
              <w:spacing w:after="40"/>
            </w:pPr>
            <w:r>
              <w:rPr>
                <w:rFonts w:ascii="Calibri" w:hAnsi="Calibri"/>
                <w:b w:val="0"/>
                <w:sz w:val="19"/>
              </w:rPr>
              <w:t>F13</w:t>
            </w:r>
          </w:p>
        </w:tc>
        <w:tc>
          <w:tcPr>
            <w:tcW w:type="dxa" w:w="4968"/>
            <w:vAlign w:val="top"/>
            <w:tcMar>
              <w:top w:w="80" w:type="dxa"/>
              <w:bottom w:w="80" w:type="dxa"/>
              <w:start w:w="120" w:type="dxa"/>
              <w:end w:w="120" w:type="dxa"/>
            </w:tcMar>
          </w:tcPr>
          <w:p>
            <w:pPr>
              <w:spacing w:after="40"/>
            </w:pPr>
            <w:r>
              <w:rPr>
                <w:rFonts w:ascii="Calibri" w:hAnsi="Calibri"/>
                <w:b w:val="0"/>
                <w:sz w:val="19"/>
              </w:rPr>
              <w:t>A new request shall route to the primary first and to the consenting backup after a configurable default of five minutes without human acknowledgement. Delivery attempts and failures shall be visible.</w:t>
            </w:r>
          </w:p>
        </w:tc>
        <w:tc>
          <w:tcPr>
            <w:tcW w:type="dxa" w:w="3355"/>
            <w:vAlign w:val="top"/>
            <w:tcMar>
              <w:top w:w="80" w:type="dxa"/>
              <w:bottom w:w="80" w:type="dxa"/>
              <w:start w:w="120" w:type="dxa"/>
              <w:end w:w="120" w:type="dxa"/>
            </w:tcMar>
          </w:tcPr>
          <w:p>
            <w:pPr>
              <w:spacing w:after="40"/>
            </w:pPr>
            <w:r>
              <w:rPr>
                <w:rFonts w:ascii="Calibri" w:hAnsi="Calibri"/>
                <w:b w:val="0"/>
                <w:sz w:val="19"/>
              </w:rPr>
              <w:t>Provider failure does not silently mark a request delivered; fallback state is explicit.</w:t>
            </w:r>
          </w:p>
        </w:tc>
      </w:tr>
      <w:tr>
        <w:tc>
          <w:tcPr>
            <w:tcW w:type="dxa" w:w="1036"/>
            <w:vAlign w:val="top"/>
            <w:tcMar>
              <w:top w:w="80" w:type="dxa"/>
              <w:bottom w:w="80" w:type="dxa"/>
              <w:start w:w="120" w:type="dxa"/>
              <w:end w:w="120" w:type="dxa"/>
            </w:tcMar>
          </w:tcPr>
          <w:p>
            <w:pPr>
              <w:spacing w:after="40"/>
            </w:pPr>
            <w:r>
              <w:rPr>
                <w:rFonts w:ascii="Calibri" w:hAnsi="Calibri"/>
                <w:b w:val="0"/>
                <w:sz w:val="19"/>
              </w:rPr>
              <w:t>F14</w:t>
            </w:r>
          </w:p>
        </w:tc>
        <w:tc>
          <w:tcPr>
            <w:tcW w:type="dxa" w:w="4968"/>
            <w:vAlign w:val="top"/>
            <w:tcMar>
              <w:top w:w="80" w:type="dxa"/>
              <w:bottom w:w="80" w:type="dxa"/>
              <w:start w:w="120" w:type="dxa"/>
              <w:end w:w="120" w:type="dxa"/>
            </w:tcMar>
          </w:tcPr>
          <w:p>
            <w:pPr>
              <w:spacing w:after="40"/>
            </w:pPr>
            <w:r>
              <w:rPr>
                <w:rFonts w:ascii="Calibri" w:hAnsi="Calibri"/>
                <w:b w:val="0"/>
                <w:sz w:val="19"/>
              </w:rPr>
              <w:t>The system shall support an opt-in single daily morning summary after the routine grace period, containing activity, check-in, coverage limits, modes and unresolved incidents.</w:t>
            </w:r>
          </w:p>
        </w:tc>
        <w:tc>
          <w:tcPr>
            <w:tcW w:type="dxa" w:w="3355"/>
            <w:vAlign w:val="top"/>
            <w:tcMar>
              <w:top w:w="80" w:type="dxa"/>
              <w:bottom w:w="80" w:type="dxa"/>
              <w:start w:w="120" w:type="dxa"/>
              <w:end w:w="120" w:type="dxa"/>
            </w:tcMar>
          </w:tcPr>
          <w:p>
            <w:pPr>
              <w:spacing w:after="40"/>
            </w:pPr>
            <w:r>
              <w:rPr>
                <w:rFonts w:ascii="Calibri" w:hAnsi="Calibri"/>
                <w:b w:val="0"/>
                <w:sz w:val="19"/>
              </w:rPr>
              <w:t>Default is off; one summary per local day; no summary is sent when consent is absent.</w:t>
            </w:r>
          </w:p>
        </w:tc>
      </w:tr>
    </w:tbl>
    <w:p>
      <w:pPr>
        <w:spacing w:after="40"/>
      </w:pPr>
    </w:p>
    <w:p>
      <w:pPr>
        <w:pStyle w:val="Heading1"/>
      </w:pPr>
      <w:r>
        <w:rPr>
          <w:color w:val="000000"/>
        </w:rPr>
        <w:t>5. Engineering and platform requirements</w:t>
      </w:r>
    </w:p>
    <w:p>
      <w:pPr>
        <w:pStyle w:val="Heading1"/>
      </w:pPr>
      <w:r>
        <w:rPr>
          <w:color w:val="000000"/>
        </w:rPr>
        <w:t>5.1 Node, hub and transport</w:t>
      </w:r>
    </w:p>
    <w:tbl>
      <w:tblPr>
        <w:tblW w:type="dxa" w:w="9360"/>
        <w:jc w:val="left"/>
        <w:tblLayout w:type="fixed"/>
        <w:tblLook w:firstColumn="1" w:firstRow="1" w:lastColumn="0" w:lastRow="0" w:noHBand="0" w:noVBand="1" w:val="04A0"/>
        <w:tblInd w:w="120" w:type="dxa"/>
      </w:tblPr>
      <w:tblGrid>
        <w:gridCol w:w="1036"/>
        <w:gridCol w:w="4968"/>
        <w:gridCol w:w="3355"/>
      </w:tblGrid>
      <w:tr>
        <w:tc>
          <w:tcPr>
            <w:tcW w:type="dxa" w:w="1036"/>
            <w:vAlign w:val="top"/>
            <w:shd w:fill="E8EEF5"/>
            <w:tcMar>
              <w:top w:w="80" w:type="dxa"/>
              <w:bottom w:w="80" w:type="dxa"/>
              <w:start w:w="120" w:type="dxa"/>
              <w:end w:w="120" w:type="dxa"/>
            </w:tcMar>
          </w:tcPr>
          <w:p>
            <w:pPr>
              <w:spacing w:after="40"/>
            </w:pPr>
            <w:r>
              <w:rPr>
                <w:rFonts w:ascii="Calibri" w:hAnsi="Calibri"/>
                <w:b/>
                <w:sz w:val="19"/>
              </w:rPr>
              <w:t>ID</w:t>
            </w:r>
          </w:p>
        </w:tc>
        <w:tc>
          <w:tcPr>
            <w:tcW w:type="dxa" w:w="4968"/>
            <w:vAlign w:val="top"/>
            <w:shd w:fill="E8EEF5"/>
            <w:tcMar>
              <w:top w:w="80" w:type="dxa"/>
              <w:bottom w:w="80" w:type="dxa"/>
              <w:start w:w="120" w:type="dxa"/>
              <w:end w:w="120" w:type="dxa"/>
            </w:tcMar>
          </w:tcPr>
          <w:p>
            <w:pPr>
              <w:spacing w:after="40"/>
            </w:pPr>
            <w:r>
              <w:rPr>
                <w:rFonts w:ascii="Calibri" w:hAnsi="Calibri"/>
                <w:b/>
                <w:sz w:val="19"/>
              </w:rPr>
              <w:t>Software requirement</w:t>
            </w:r>
          </w:p>
        </w:tc>
        <w:tc>
          <w:tcPr>
            <w:tcW w:type="dxa" w:w="3355"/>
            <w:vAlign w:val="top"/>
            <w:shd w:fill="E8EEF5"/>
            <w:tcMar>
              <w:top w:w="80" w:type="dxa"/>
              <w:bottom w:w="80" w:type="dxa"/>
              <w:start w:w="120" w:type="dxa"/>
              <w:end w:w="120" w:type="dxa"/>
            </w:tcMar>
          </w:tcPr>
          <w:p>
            <w:pPr>
              <w:spacing w:after="40"/>
            </w:pPr>
            <w:r>
              <w:rPr>
                <w:rFonts w:ascii="Calibri" w:hAnsi="Calibri"/>
                <w:b/>
                <w:sz w:val="19"/>
              </w:rPr>
              <w:t>Acceptance / verification</w:t>
            </w:r>
          </w:p>
        </w:tc>
      </w:tr>
      <w:tr>
        <w:tc>
          <w:tcPr>
            <w:tcW w:type="dxa" w:w="1036"/>
            <w:vAlign w:val="top"/>
            <w:tcMar>
              <w:top w:w="80" w:type="dxa"/>
              <w:bottom w:w="80" w:type="dxa"/>
              <w:start w:w="120" w:type="dxa"/>
              <w:end w:w="120" w:type="dxa"/>
            </w:tcMar>
          </w:tcPr>
          <w:p>
            <w:pPr>
              <w:spacing w:after="40"/>
            </w:pPr>
            <w:r>
              <w:rPr>
                <w:rFonts w:ascii="Calibri" w:hAnsi="Calibri"/>
                <w:b w:val="0"/>
                <w:sz w:val="19"/>
              </w:rPr>
              <w:t>E01</w:t>
            </w:r>
          </w:p>
        </w:tc>
        <w:tc>
          <w:tcPr>
            <w:tcW w:type="dxa" w:w="4968"/>
            <w:vAlign w:val="top"/>
            <w:tcMar>
              <w:top w:w="80" w:type="dxa"/>
              <w:bottom w:w="80" w:type="dxa"/>
              <w:start w:w="120" w:type="dxa"/>
              <w:end w:w="120" w:type="dxa"/>
            </w:tcMar>
          </w:tcPr>
          <w:p>
            <w:r>
              <w:t>The system shall report per-node heartbeat age, firmware, reset reason, battery voltage, hub-observed RSSI, sensor availability, applied configuration, location and diagnostic code; hub power/internet health shall be separate from resident activity. When power telemetry is available, Device Health shall also expose state-of-charge, recent consumption (mAh/day), remaining-life estimate, confidence and high-drain status without converting those states into household-care alerts.</w:t>
            </w:r>
          </w:p>
        </w:tc>
        <w:tc>
          <w:tcPr>
            <w:tcW w:type="dxa" w:w="3355"/>
            <w:vAlign w:val="top"/>
            <w:tcMar>
              <w:top w:w="80" w:type="dxa"/>
              <w:bottom w:w="80" w:type="dxa"/>
              <w:start w:w="120" w:type="dxa"/>
              <w:end w:w="120" w:type="dxa"/>
            </w:tcMar>
          </w:tcPr>
          <w:p>
            <w:r>
              <w:t>Dashboard/support views expose text-labelled active/degraded/offline state, location, freshness and fault code. Battery tests cover normal history, abnormal drain, low reserve, counter reset/reboot, configurable capacity/profile inputs, configurable low-battery threshold and invalid telemetry. Field-accuracy acceptance still requires measured ESP32-C3/regulator/sensor/radio current and calibrated cell capacity/voltage on real hardware.</w:t>
            </w:r>
          </w:p>
        </w:tc>
      </w:tr>
      <w:tr>
        <w:tc>
          <w:tcPr>
            <w:tcW w:type="dxa" w:w="1036"/>
            <w:vAlign w:val="top"/>
            <w:tcMar>
              <w:top w:w="80" w:type="dxa"/>
              <w:bottom w:w="80" w:type="dxa"/>
              <w:start w:w="120" w:type="dxa"/>
              <w:end w:w="120" w:type="dxa"/>
            </w:tcMar>
          </w:tcPr>
          <w:p>
            <w:pPr>
              <w:spacing w:after="40"/>
            </w:pPr>
            <w:r>
              <w:rPr>
                <w:rFonts w:ascii="Calibri" w:hAnsi="Calibri"/>
                <w:b w:val="0"/>
                <w:sz w:val="19"/>
              </w:rPr>
              <w:t>E02</w:t>
            </w:r>
          </w:p>
        </w:tc>
        <w:tc>
          <w:tcPr>
            <w:tcW w:type="dxa" w:w="4968"/>
            <w:vAlign w:val="top"/>
            <w:tcMar>
              <w:top w:w="80" w:type="dxa"/>
              <w:bottom w:w="80" w:type="dxa"/>
              <w:start w:w="120" w:type="dxa"/>
              <w:end w:w="120" w:type="dxa"/>
            </w:tcMar>
          </w:tcPr>
          <w:p>
            <w:r>
              <w:t>The system shall use typed node↔hub messages with immutable node_id/session_id/sequence_number identity, sensor/event type, time, battery and RSSI; bounded retry and explicit ACK classes; and persistence-before-transmit for business events. Rules shall consume generic domain events rather than GPIO/RF frames.</w:t>
            </w:r>
          </w:p>
        </w:tc>
        <w:tc>
          <w:tcPr>
            <w:tcW w:type="dxa" w:w="3355"/>
            <w:vAlign w:val="top"/>
            <w:tcMar>
              <w:top w:w="80" w:type="dxa"/>
              <w:bottom w:w="80" w:type="dxa"/>
              <w:start w:w="120" w:type="dxa"/>
              <w:end w:w="120" w:type="dxa"/>
            </w:tcMar>
          </w:tcPr>
          <w:p>
            <w:r>
              <w:t>Golden-payload/contract, duplicate, retry, replay and WAN-recovery tests preserve one logical event. Defaults: heartbeat 60 s, offline/coverage-unknown 190 s, retry 200/600/1800/10000 ms then capped at 10 s. Real encrypted ESP-NOW and key/session management remain HIL/target work.</w:t>
            </w:r>
          </w:p>
        </w:tc>
      </w:tr>
      <w:tr>
        <w:tc>
          <w:tcPr>
            <w:tcW w:type="dxa" w:w="1036"/>
            <w:vAlign w:val="top"/>
            <w:tcMar>
              <w:top w:w="80" w:type="dxa"/>
              <w:bottom w:w="80" w:type="dxa"/>
              <w:start w:w="120" w:type="dxa"/>
              <w:end w:w="120" w:type="dxa"/>
            </w:tcMar>
          </w:tcPr>
          <w:p>
            <w:pPr>
              <w:spacing w:after="40"/>
            </w:pPr>
            <w:r>
              <w:rPr>
                <w:rFonts w:ascii="Calibri" w:hAnsi="Calibri"/>
                <w:b w:val="0"/>
                <w:sz w:val="19"/>
              </w:rPr>
              <w:t>E03</w:t>
            </w:r>
          </w:p>
        </w:tc>
        <w:tc>
          <w:tcPr>
            <w:tcW w:type="dxa" w:w="4968"/>
            <w:vAlign w:val="top"/>
            <w:tcMar>
              <w:top w:w="80" w:type="dxa"/>
              <w:bottom w:w="80" w:type="dxa"/>
              <w:start w:w="120" w:type="dxa"/>
              <w:end w:w="120" w:type="dxa"/>
            </w:tcMar>
          </w:tcPr>
          <w:p>
            <w:pPr>
              <w:spacing w:after="40"/>
            </w:pPr>
            <w:r>
              <w:rPr>
                <w:rFonts w:ascii="Calibri" w:hAnsi="Calibri"/>
                <w:b w:val="0"/>
                <w:sz w:val="19"/>
              </w:rPr>
              <w:t>While hub power, time and configuration remain valid, local sensing, routine evaluation and resident actions shall continue during WAN failure; pending intents shall replay after reconnection.</w:t>
            </w:r>
          </w:p>
        </w:tc>
        <w:tc>
          <w:tcPr>
            <w:tcW w:type="dxa" w:w="3355"/>
            <w:vAlign w:val="top"/>
            <w:tcMar>
              <w:top w:w="80" w:type="dxa"/>
              <w:bottom w:w="80" w:type="dxa"/>
              <w:start w:w="120" w:type="dxa"/>
              <w:end w:w="120" w:type="dxa"/>
            </w:tcMar>
          </w:tcPr>
          <w:p>
            <w:pPr>
              <w:spacing w:after="40"/>
            </w:pPr>
            <w:r>
              <w:rPr>
                <w:rFonts w:ascii="Calibri" w:hAnsi="Calibri"/>
                <w:b w:val="0"/>
                <w:sz w:val="19"/>
              </w:rPr>
              <w:t>WAN cut tests show local decision and later idempotent backend effects under retries.</w:t>
            </w:r>
          </w:p>
        </w:tc>
      </w:tr>
      <w:tr>
        <w:tc>
          <w:tcPr>
            <w:tcW w:type="dxa" w:w="1036"/>
            <w:vAlign w:val="top"/>
            <w:tcMar>
              <w:top w:w="80" w:type="dxa"/>
              <w:bottom w:w="80" w:type="dxa"/>
              <w:start w:w="120" w:type="dxa"/>
              <w:end w:w="120" w:type="dxa"/>
            </w:tcMar>
          </w:tcPr>
          <w:p>
            <w:pPr>
              <w:spacing w:after="40"/>
            </w:pPr>
            <w:r>
              <w:rPr>
                <w:rFonts w:ascii="Calibri" w:hAnsi="Calibri"/>
                <w:b w:val="0"/>
                <w:sz w:val="19"/>
              </w:rPr>
              <w:t>E04</w:t>
            </w:r>
          </w:p>
        </w:tc>
        <w:tc>
          <w:tcPr>
            <w:tcW w:type="dxa" w:w="4968"/>
            <w:vAlign w:val="top"/>
            <w:tcMar>
              <w:top w:w="80" w:type="dxa"/>
              <w:bottom w:w="80" w:type="dxa"/>
              <w:start w:w="120" w:type="dxa"/>
              <w:end w:w="120" w:type="dxa"/>
            </w:tcMar>
          </w:tcPr>
          <w:p>
            <w:pPr>
              <w:spacing w:after="40"/>
            </w:pPr>
            <w:r>
              <w:rPr>
                <w:rFonts w:ascii="Calibri" w:hAnsi="Calibri"/>
                <w:b w:val="0"/>
                <w:sz w:val="19"/>
              </w:rPr>
              <w:t>The system shall track node↔hub, hub↔backend, notification route and phone↔backend reachability independently, with freshness and coverage states.</w:t>
            </w:r>
          </w:p>
        </w:tc>
        <w:tc>
          <w:tcPr>
            <w:tcW w:type="dxa" w:w="3355"/>
            <w:vAlign w:val="top"/>
            <w:tcMar>
              <w:top w:w="80" w:type="dxa"/>
              <w:bottom w:w="80" w:type="dxa"/>
              <w:start w:w="120" w:type="dxa"/>
              <w:end w:w="120" w:type="dxa"/>
            </w:tcMar>
          </w:tcPr>
          <w:p>
            <w:pPr>
              <w:spacing w:after="40"/>
            </w:pPr>
            <w:r>
              <w:rPr>
                <w:rFonts w:ascii="Calibri" w:hAnsi="Calibri"/>
                <w:b w:val="0"/>
                <w:sz w:val="19"/>
              </w:rPr>
              <w:t>A single broken link cannot be reported as general resident risk.</w:t>
            </w:r>
          </w:p>
        </w:tc>
      </w:tr>
      <w:tr>
        <w:tc>
          <w:tcPr>
            <w:tcW w:type="dxa" w:w="1036"/>
            <w:vAlign w:val="top"/>
            <w:tcMar>
              <w:top w:w="80" w:type="dxa"/>
              <w:bottom w:w="80" w:type="dxa"/>
              <w:start w:w="120" w:type="dxa"/>
              <w:end w:w="120" w:type="dxa"/>
            </w:tcMar>
          </w:tcPr>
          <w:p>
            <w:pPr>
              <w:spacing w:after="40"/>
            </w:pPr>
            <w:r>
              <w:rPr>
                <w:rFonts w:ascii="Calibri" w:hAnsi="Calibri"/>
                <w:b w:val="0"/>
                <w:sz w:val="19"/>
              </w:rPr>
              <w:t>E05</w:t>
            </w:r>
          </w:p>
        </w:tc>
        <w:tc>
          <w:tcPr>
            <w:tcW w:type="dxa" w:w="4968"/>
            <w:vAlign w:val="top"/>
            <w:tcMar>
              <w:top w:w="80" w:type="dxa"/>
              <w:bottom w:w="80" w:type="dxa"/>
              <w:start w:w="120" w:type="dxa"/>
              <w:end w:w="120" w:type="dxa"/>
            </w:tcMar>
          </w:tcPr>
          <w:p>
            <w:pPr>
              <w:spacing w:after="40"/>
            </w:pPr>
            <w:r>
              <w:rPr>
                <w:rFonts w:ascii="Calibri" w:hAnsi="Calibri"/>
                <w:b w:val="0"/>
                <w:sz w:val="19"/>
              </w:rPr>
              <w:t>The system shall durably store configuration, consent/mode versions, business events, active-window state and unsent intents with bounded overflow behaviour.</w:t>
            </w:r>
          </w:p>
        </w:tc>
        <w:tc>
          <w:tcPr>
            <w:tcW w:type="dxa" w:w="3355"/>
            <w:vAlign w:val="top"/>
            <w:tcMar>
              <w:top w:w="80" w:type="dxa"/>
              <w:bottom w:w="80" w:type="dxa"/>
              <w:start w:w="120" w:type="dxa"/>
              <w:end w:w="120" w:type="dxa"/>
            </w:tcMar>
          </w:tcPr>
          <w:p>
            <w:r>
              <w:t>The relational schema/migration and integrity tests define durable identities/relationships; the connected simulator may remain in-memory. Power-loss/restart/compaction and target-flash repository tests are mandatory before physical acceptance.</w:t>
            </w:r>
          </w:p>
        </w:tc>
      </w:tr>
      <w:tr>
        <w:tc>
          <w:tcPr>
            <w:tcW w:type="dxa" w:w="1036"/>
            <w:vAlign w:val="top"/>
            <w:tcMar>
              <w:top w:w="80" w:type="dxa"/>
              <w:bottom w:w="80" w:type="dxa"/>
              <w:start w:w="120" w:type="dxa"/>
              <w:end w:w="120" w:type="dxa"/>
            </w:tcMar>
          </w:tcPr>
          <w:p>
            <w:pPr>
              <w:spacing w:after="40"/>
            </w:pPr>
            <w:r>
              <w:rPr>
                <w:rFonts w:ascii="Calibri" w:hAnsi="Calibri"/>
                <w:b w:val="0"/>
                <w:sz w:val="19"/>
              </w:rPr>
              <w:t>E06</w:t>
            </w:r>
          </w:p>
        </w:tc>
        <w:tc>
          <w:tcPr>
            <w:tcW w:type="dxa" w:w="4968"/>
            <w:vAlign w:val="top"/>
            <w:tcMar>
              <w:top w:w="80" w:type="dxa"/>
              <w:bottom w:w="80" w:type="dxa"/>
              <w:start w:w="120" w:type="dxa"/>
              <w:end w:w="120" w:type="dxa"/>
            </w:tcMar>
          </w:tcPr>
          <w:p>
            <w:pPr>
              <w:spacing w:after="40"/>
            </w:pPr>
            <w:r>
              <w:rPr>
                <w:rFonts w:ascii="Calibri" w:hAnsi="Calibri"/>
                <w:b w:val="0"/>
                <w:sz w:val="19"/>
              </w:rPr>
              <w:t>The system shall represent trusted wall time, monotonic elapsed time and uncertainty separately, and apply explicit boundary rules to routine decisions.</w:t>
            </w:r>
          </w:p>
        </w:tc>
        <w:tc>
          <w:tcPr>
            <w:tcW w:type="dxa" w:w="3355"/>
            <w:vAlign w:val="top"/>
            <w:tcMar>
              <w:top w:w="80" w:type="dxa"/>
              <w:bottom w:w="80" w:type="dxa"/>
              <w:start w:w="120" w:type="dxa"/>
              <w:end w:w="120" w:type="dxa"/>
            </w:tcMar>
          </w:tcPr>
          <w:p>
            <w:pPr>
              <w:spacing w:after="40"/>
            </w:pPr>
            <w:r>
              <w:rPr>
                <w:rFonts w:ascii="Calibri" w:hAnsi="Calibri"/>
                <w:b w:val="0"/>
                <w:sz w:val="19"/>
              </w:rPr>
              <w:t>Clock recovery and DST/time-zone tests produce deterministic outcomes.</w:t>
            </w:r>
          </w:p>
        </w:tc>
      </w:tr>
      <w:tr>
        <w:tc>
          <w:tcPr>
            <w:tcW w:type="dxa" w:w="1036"/>
            <w:vAlign w:val="top"/>
            <w:tcMar>
              <w:top w:w="80" w:type="dxa"/>
              <w:bottom w:w="80" w:type="dxa"/>
              <w:start w:w="120" w:type="dxa"/>
              <w:end w:w="120" w:type="dxa"/>
            </w:tcMar>
          </w:tcPr>
          <w:p>
            <w:pPr>
              <w:spacing w:after="40"/>
            </w:pPr>
            <w:r>
              <w:rPr>
                <w:rFonts w:ascii="Calibri" w:hAnsi="Calibri"/>
                <w:b w:val="0"/>
                <w:sz w:val="19"/>
              </w:rPr>
              <w:t>E07</w:t>
            </w:r>
          </w:p>
        </w:tc>
        <w:tc>
          <w:tcPr>
            <w:tcW w:type="dxa" w:w="4968"/>
            <w:vAlign w:val="top"/>
            <w:tcMar>
              <w:top w:w="80" w:type="dxa"/>
              <w:bottom w:w="80" w:type="dxa"/>
              <w:start w:w="120" w:type="dxa"/>
              <w:end w:w="120" w:type="dxa"/>
            </w:tcMar>
          </w:tcPr>
          <w:p>
            <w:r>
              <w:t>Configuration and commands shall carry IDs, schema version, target, issue time, desired/applied versions, actor and validation result. Per-household morning routine/sequence, quiet-hours, door-open, daytime inactivity, night bathroom/common-room monitoring, post-door inactivity and low-battery alert threshold are versioned configuration. Protocol retry/heartbeat/offline parameters and calibrated electrical power profiles remain engineering-controlled.</w:t>
            </w:r>
          </w:p>
        </w:tc>
        <w:tc>
          <w:tcPr>
            <w:tcW w:type="dxa" w:w="3355"/>
            <w:vAlign w:val="top"/>
            <w:tcMar>
              <w:top w:w="80" w:type="dxa"/>
              <w:bottom w:w="80" w:type="dxa"/>
              <w:start w:w="120" w:type="dxa"/>
              <w:end w:w="120" w:type="dxa"/>
            </w:tcMar>
          </w:tcPr>
          <w:p>
            <w:r>
              <w:t>Stale/invalid/wrong-target configuration is rejected; Device Schedules reloads versioned values; rules change only after accepted configuration. UI polling shall not replace/detach active editing controls. Tests keep the editor open longer than a polling cycle and verify save from backend-confirmed state. Durable atomic target apply remains a hardware/deployment gate.</w:t>
            </w:r>
          </w:p>
        </w:tc>
      </w:tr>
      <w:tr>
        <w:tc>
          <w:tcPr>
            <w:tcW w:type="dxa" w:w="1036"/>
            <w:vAlign w:val="top"/>
            <w:tcMar>
              <w:top w:w="80" w:type="dxa"/>
              <w:bottom w:w="80" w:type="dxa"/>
              <w:start w:w="120" w:type="dxa"/>
              <w:end w:w="120" w:type="dxa"/>
            </w:tcMar>
          </w:tcPr>
          <w:p>
            <w:pPr>
              <w:spacing w:after="40"/>
            </w:pPr>
            <w:r>
              <w:rPr>
                <w:rFonts w:ascii="Calibri" w:hAnsi="Calibri"/>
                <w:b w:val="0"/>
                <w:sz w:val="19"/>
              </w:rPr>
              <w:t>E08</w:t>
            </w:r>
          </w:p>
        </w:tc>
        <w:tc>
          <w:tcPr>
            <w:tcW w:type="dxa" w:w="4968"/>
            <w:vAlign w:val="top"/>
            <w:tcMar>
              <w:top w:w="80" w:type="dxa"/>
              <w:bottom w:w="80" w:type="dxa"/>
              <w:start w:w="120" w:type="dxa"/>
              <w:end w:w="120" w:type="dxa"/>
            </w:tcMar>
          </w:tcPr>
          <w:p>
            <w:pPr>
              <w:spacing w:after="40"/>
            </w:pPr>
            <w:r>
              <w:rPr>
                <w:rFonts w:ascii="Calibri" w:hAnsi="Calibri"/>
                <w:b w:val="0"/>
                <w:sz w:val="19"/>
              </w:rPr>
              <w:t>The system shall use unique device credentials, encrypted local unicast, TLS for remote APIs, least-privilege household access and consent-aware retention.</w:t>
            </w:r>
          </w:p>
        </w:tc>
        <w:tc>
          <w:tcPr>
            <w:tcW w:type="dxa" w:w="3355"/>
            <w:vAlign w:val="top"/>
            <w:tcMar>
              <w:top w:w="80" w:type="dxa"/>
              <w:bottom w:w="80" w:type="dxa"/>
              <w:start w:w="120" w:type="dxa"/>
              <w:end w:w="120" w:type="dxa"/>
            </w:tcMar>
          </w:tcPr>
          <w:p>
            <w:pPr>
              <w:spacing w:after="40"/>
            </w:pPr>
            <w:r>
              <w:rPr>
                <w:rFonts w:ascii="Calibri" w:hAnsi="Calibri"/>
                <w:b w:val="0"/>
                <w:sz w:val="19"/>
              </w:rPr>
              <w:t>Credential rotation/revocation and tenant-isolation tests pass; no public activity endpoint exists.</w:t>
            </w:r>
          </w:p>
        </w:tc>
      </w:tr>
      <w:tr>
        <w:tc>
          <w:tcPr>
            <w:tcW w:type="dxa" w:w="1036"/>
            <w:vAlign w:val="top"/>
            <w:tcMar>
              <w:top w:w="80" w:type="dxa"/>
              <w:bottom w:w="80" w:type="dxa"/>
              <w:start w:w="120" w:type="dxa"/>
              <w:end w:w="120" w:type="dxa"/>
            </w:tcMar>
          </w:tcPr>
          <w:p>
            <w:pPr>
              <w:spacing w:after="40"/>
            </w:pPr>
            <w:r>
              <w:rPr>
                <w:rFonts w:ascii="Calibri" w:hAnsi="Calibri"/>
                <w:b w:val="0"/>
                <w:sz w:val="19"/>
              </w:rPr>
              <w:t>E09</w:t>
            </w:r>
          </w:p>
        </w:tc>
        <w:tc>
          <w:tcPr>
            <w:tcW w:type="dxa" w:w="4968"/>
            <w:vAlign w:val="top"/>
            <w:tcMar>
              <w:top w:w="80" w:type="dxa"/>
              <w:bottom w:w="80" w:type="dxa"/>
              <w:start w:w="120" w:type="dxa"/>
              <w:end w:w="120" w:type="dxa"/>
            </w:tcMar>
          </w:tcPr>
          <w:p>
            <w:pPr>
              <w:spacing w:after="40"/>
            </w:pPr>
            <w:r>
              <w:rPr>
                <w:rFonts w:ascii="Calibri" w:hAnsi="Calibri"/>
                <w:b w:val="0"/>
                <w:sz w:val="19"/>
              </w:rPr>
              <w:t>Firmware shall report version, boot health and reset reason; signed updates, watchdogs, rollback protection and recovery paths shall be supported.</w:t>
            </w:r>
          </w:p>
        </w:tc>
        <w:tc>
          <w:tcPr>
            <w:tcW w:type="dxa" w:w="3355"/>
            <w:vAlign w:val="top"/>
            <w:tcMar>
              <w:top w:w="80" w:type="dxa"/>
              <w:bottom w:w="80" w:type="dxa"/>
              <w:start w:w="120" w:type="dxa"/>
              <w:end w:w="120" w:type="dxa"/>
            </w:tcMar>
          </w:tcPr>
          <w:p>
            <w:pPr>
              <w:spacing w:after="40"/>
            </w:pPr>
            <w:r>
              <w:rPr>
                <w:rFonts w:ascii="Calibri" w:hAnsi="Calibri"/>
                <w:b w:val="0"/>
                <w:sz w:val="19"/>
              </w:rPr>
              <w:t>Unsigned/wrong-board/rollback images are rejected; watchdog recovery is visible.</w:t>
            </w:r>
          </w:p>
        </w:tc>
      </w:tr>
      <w:tr>
        <w:tc>
          <w:tcPr>
            <w:tcW w:type="dxa" w:w="1036"/>
            <w:vAlign w:val="top"/>
            <w:tcMar>
              <w:top w:w="80" w:type="dxa"/>
              <w:bottom w:w="80" w:type="dxa"/>
              <w:start w:w="120" w:type="dxa"/>
              <w:end w:w="120" w:type="dxa"/>
            </w:tcMar>
          </w:tcPr>
          <w:p>
            <w:pPr>
              <w:spacing w:after="40"/>
            </w:pPr>
            <w:r>
              <w:rPr>
                <w:rFonts w:ascii="Calibri" w:hAnsi="Calibri"/>
                <w:b w:val="0"/>
                <w:sz w:val="19"/>
              </w:rPr>
              <w:t>E10</w:t>
            </w:r>
          </w:p>
        </w:tc>
        <w:tc>
          <w:tcPr>
            <w:tcW w:type="dxa" w:w="4968"/>
            <w:vAlign w:val="top"/>
            <w:tcMar>
              <w:top w:w="80" w:type="dxa"/>
              <w:bottom w:w="80" w:type="dxa"/>
              <w:start w:w="120" w:type="dxa"/>
              <w:end w:w="120" w:type="dxa"/>
            </w:tcMar>
          </w:tcPr>
          <w:p>
            <w:r>
              <w:t>Support diagnostics shall expose versions, reset causes, freshness, lease gaps, retry/error counts, notification attempts, device locations and mapped diagnostic codes. The software release process shall maintain a canonical automated/manual validation catalog and fail closed on mandatory regression failure.</w:t>
            </w:r>
          </w:p>
        </w:tc>
        <w:tc>
          <w:tcPr>
            <w:tcW w:type="dxa" w:w="3355"/>
            <w:vAlign w:val="top"/>
            <w:tcMar>
              <w:top w:w="80" w:type="dxa"/>
              <w:bottom w:w="80" w:type="dxa"/>
              <w:start w:w="120" w:type="dxa"/>
              <w:end w:w="120" w:type="dxa"/>
            </w:tcMar>
          </w:tcPr>
          <w:p>
            <w:r>
              <w:t>Current v3.4.2 release qualification: all P0 mappings PASS; contract verification PASS; 94 C++ checks; 31 Python; 11 JavaScript; Base/AI and feature-profile gates PASS; 5/5 dummy streams; 92/92 canonical connected scenarios; 16/16 HTTP; 9 PWA bridge checks; PWA API/frontend semantics PASS; ASan/UBSan and trace profiles PASS; legacy browser-e2e PASS; mandatory Playwright/Chromium PWA gate 22/22 PASS across desktop and mobile. HIL/pilot/provider/physical-resource gates remain pending.</w:t>
            </w:r>
          </w:p>
        </w:tc>
      </w:tr>
    </w:tbl>
    <w:p>
      <w:pPr>
        <w:spacing w:after="40"/>
      </w:pPr>
    </w:p>
    <w:p>
      <w:pPr>
        <w:pStyle w:val="Heading1"/>
      </w:pPr>
      <w:r>
        <w:rPr>
          <w:color w:val="000000"/>
        </w:rPr>
        <w:t>6. Data and interface requirements</w:t>
      </w:r>
    </w:p>
    <w:p>
      <w:pPr>
        <w:pStyle w:val="Heading2"/>
      </w:pPr>
      <w:r>
        <w:rPr>
          <w:color w:val="000000"/>
        </w:rPr>
        <w:t>6.1 Canonical entities</w:t>
      </w:r>
    </w:p>
    <w:tbl>
      <w:tblPr>
        <w:tblW w:type="dxa" w:w="9360"/>
        <w:jc w:val="left"/>
        <w:tblLayout w:type="fixed"/>
        <w:tblLook w:firstColumn="1" w:firstRow="1" w:lastColumn="0" w:lastRow="0" w:noHBand="0" w:noVBand="1" w:val="04A0"/>
        <w:tblInd w:w="120" w:type="dxa"/>
      </w:tblPr>
      <w:tblGrid>
        <w:gridCol w:w="1872"/>
        <w:gridCol w:w="7488"/>
      </w:tblGrid>
      <w:tr>
        <w:tc>
          <w:tcPr>
            <w:tcW w:type="dxa" w:w="1872"/>
            <w:vAlign w:val="top"/>
            <w:shd w:fill="E8EEF5"/>
            <w:tcMar>
              <w:top w:w="80" w:type="dxa"/>
              <w:bottom w:w="80" w:type="dxa"/>
              <w:start w:w="120" w:type="dxa"/>
              <w:end w:w="120" w:type="dxa"/>
            </w:tcMar>
          </w:tcPr>
          <w:p>
            <w:pPr>
              <w:spacing w:after="40"/>
            </w:pPr>
            <w:r>
              <w:rPr>
                <w:rFonts w:ascii="Calibri" w:hAnsi="Calibri"/>
                <w:b/>
                <w:sz w:val="19"/>
              </w:rPr>
              <w:t>Entity</w:t>
            </w:r>
          </w:p>
        </w:tc>
        <w:tc>
          <w:tcPr>
            <w:tcW w:type="dxa" w:w="7488"/>
            <w:vAlign w:val="top"/>
            <w:shd w:fill="E8EEF5"/>
            <w:tcMar>
              <w:top w:w="80" w:type="dxa"/>
              <w:bottom w:w="80" w:type="dxa"/>
              <w:start w:w="120" w:type="dxa"/>
              <w:end w:w="120" w:type="dxa"/>
            </w:tcMar>
          </w:tcPr>
          <w:p>
            <w:pPr>
              <w:spacing w:after="40"/>
            </w:pPr>
            <w:r>
              <w:rPr>
                <w:rFonts w:ascii="Calibri" w:hAnsi="Calibri"/>
                <w:b/>
                <w:sz w:val="19"/>
              </w:rPr>
              <w:t>Required fields / rules</w:t>
            </w:r>
          </w:p>
        </w:tc>
      </w:tr>
      <w:tr>
        <w:tc>
          <w:tcPr>
            <w:tcW w:type="dxa" w:w="1872"/>
            <w:vAlign w:val="top"/>
            <w:tcMar>
              <w:top w:w="80" w:type="dxa"/>
              <w:bottom w:w="80" w:type="dxa"/>
              <w:start w:w="120" w:type="dxa"/>
              <w:end w:w="120" w:type="dxa"/>
            </w:tcMar>
          </w:tcPr>
          <w:p>
            <w:pPr>
              <w:spacing w:after="40"/>
            </w:pPr>
            <w:r>
              <w:rPr>
                <w:rFonts w:ascii="Calibri" w:hAnsi="Calibri"/>
                <w:b w:val="0"/>
                <w:sz w:val="19"/>
              </w:rPr>
              <w:t>Household</w:t>
            </w:r>
          </w:p>
        </w:tc>
        <w:tc>
          <w:tcPr>
            <w:tcW w:type="dxa" w:w="7488"/>
            <w:vAlign w:val="top"/>
            <w:tcMar>
              <w:top w:w="80" w:type="dxa"/>
              <w:bottom w:w="80" w:type="dxa"/>
              <w:start w:w="120" w:type="dxa"/>
              <w:end w:w="120" w:type="dxa"/>
            </w:tcMar>
          </w:tcPr>
          <w:p>
            <w:pPr>
              <w:spacing w:after="40"/>
            </w:pPr>
            <w:r>
              <w:rPr>
                <w:rFonts w:ascii="Calibri" w:hAnsi="Calibri"/>
                <w:b w:val="0"/>
                <w:sz w:val="19"/>
              </w:rPr>
              <w:t>home_id, display name, IANA time zone, language, mode/version, consent state, retention policy.</w:t>
            </w:r>
          </w:p>
        </w:tc>
      </w:tr>
      <w:tr>
        <w:tc>
          <w:tcPr>
            <w:tcW w:type="dxa" w:w="1872"/>
            <w:vAlign w:val="top"/>
            <w:tcMar>
              <w:top w:w="80" w:type="dxa"/>
              <w:bottom w:w="80" w:type="dxa"/>
              <w:start w:w="120" w:type="dxa"/>
              <w:end w:w="120" w:type="dxa"/>
            </w:tcMar>
          </w:tcPr>
          <w:p>
            <w:pPr>
              <w:spacing w:after="40"/>
            </w:pPr>
            <w:r>
              <w:rPr>
                <w:rFonts w:ascii="Calibri" w:hAnsi="Calibri"/>
                <w:b w:val="0"/>
                <w:sz w:val="19"/>
              </w:rPr>
              <w:t>Resident / caregiver</w:t>
            </w:r>
          </w:p>
        </w:tc>
        <w:tc>
          <w:tcPr>
            <w:tcW w:type="dxa" w:w="7488"/>
            <w:vAlign w:val="top"/>
            <w:tcMar>
              <w:top w:w="80" w:type="dxa"/>
              <w:bottom w:w="80" w:type="dxa"/>
              <w:start w:w="120" w:type="dxa"/>
              <w:end w:w="120" w:type="dxa"/>
            </w:tcMar>
          </w:tcPr>
          <w:p>
            <w:pPr>
              <w:spacing w:after="40"/>
            </w:pPr>
            <w:r>
              <w:rPr>
                <w:rFonts w:ascii="Calibri" w:hAnsi="Calibri"/>
                <w:b w:val="0"/>
                <w:sz w:val="19"/>
              </w:rPr>
              <w:t>Stable ID, role, consent/notification preference, status; access is household-scoped.</w:t>
            </w:r>
          </w:p>
        </w:tc>
      </w:tr>
      <w:tr>
        <w:tc>
          <w:tcPr>
            <w:tcW w:type="dxa" w:w="1872"/>
            <w:vAlign w:val="top"/>
            <w:tcMar>
              <w:top w:w="80" w:type="dxa"/>
              <w:bottom w:w="80" w:type="dxa"/>
              <w:start w:w="120" w:type="dxa"/>
              <w:end w:w="120" w:type="dxa"/>
            </w:tcMar>
          </w:tcPr>
          <w:p>
            <w:pPr>
              <w:spacing w:after="40"/>
            </w:pPr>
            <w:r>
              <w:rPr>
                <w:rFonts w:ascii="Calibri" w:hAnsi="Calibri"/>
                <w:b w:val="0"/>
                <w:sz w:val="19"/>
              </w:rPr>
              <w:t>Device</w:t>
            </w:r>
          </w:p>
        </w:tc>
        <w:tc>
          <w:tcPr>
            <w:tcW w:type="dxa" w:w="7488"/>
            <w:vAlign w:val="top"/>
            <w:tcMar>
              <w:top w:w="80" w:type="dxa"/>
              <w:bottom w:w="80" w:type="dxa"/>
              <w:start w:w="120" w:type="dxa"/>
              <w:end w:w="120" w:type="dxa"/>
            </w:tcMar>
          </w:tcPr>
          <w:p>
            <w:pPr>
              <w:spacing w:after="40"/>
            </w:pPr>
            <w:r>
              <w:rPr>
                <w:rFonts w:ascii="Calibri" w:hAnsi="Calibri"/>
                <w:b w:val="0"/>
                <w:sz w:val="19"/>
              </w:rPr>
              <w:t>device_id, board profile, capability profile, credential reference, firmware, config versions, health/freshness, battery voltage/status and optional calibrated power-profile identity.</w:t>
            </w:r>
          </w:p>
        </w:tc>
      </w:tr>
      <w:tr>
        <w:tc>
          <w:tcPr>
            <w:tcW w:type="dxa" w:w="1872"/>
            <w:vAlign w:val="top"/>
            <w:tcMar>
              <w:top w:w="80" w:type="dxa"/>
              <w:bottom w:w="80" w:type="dxa"/>
              <w:start w:w="120" w:type="dxa"/>
              <w:end w:w="120" w:type="dxa"/>
            </w:tcMar>
          </w:tcPr>
          <w:p>
            <w:pPr>
              <w:spacing w:after="40"/>
            </w:pPr>
            <w:r>
              <w:rPr>
                <w:rFonts w:ascii="Calibri" w:hAnsi="Calibri"/>
                <w:b w:val="0"/>
                <w:sz w:val="19"/>
              </w:rPr>
              <w:t>Event</w:t>
            </w:r>
          </w:p>
        </w:tc>
        <w:tc>
          <w:tcPr>
            <w:tcW w:type="dxa" w:w="7488"/>
            <w:vAlign w:val="top"/>
            <w:tcMar>
              <w:top w:w="80" w:type="dxa"/>
              <w:bottom w:w="80" w:type="dxa"/>
              <w:start w:w="120" w:type="dxa"/>
              <w:end w:w="120" w:type="dxa"/>
            </w:tcMar>
          </w:tcPr>
          <w:p>
            <w:pPr>
              <w:spacing w:after="40"/>
            </w:pPr>
            <w:r>
              <w:rPr>
                <w:rFonts w:ascii="Calibri" w:hAnsi="Calibri"/>
                <w:b w:val="0"/>
                <w:sz w:val="19"/>
              </w:rPr>
              <w:t>source_id, session_id, sequence, kind, location, occurred_at, received_at, uncertainty, battery, optional cumulative power counters and test flag.</w:t>
            </w:r>
          </w:p>
        </w:tc>
      </w:tr>
      <w:tr>
        <w:tc>
          <w:tcPr>
            <w:tcW w:type="dxa" w:w="1872"/>
            <w:vAlign w:val="top"/>
            <w:tcMar>
              <w:top w:w="80" w:type="dxa"/>
              <w:bottom w:w="80" w:type="dxa"/>
              <w:start w:w="120" w:type="dxa"/>
              <w:end w:w="120" w:type="dxa"/>
            </w:tcMar>
          </w:tcPr>
          <w:p>
            <w:pPr>
              <w:spacing w:after="40"/>
            </w:pPr>
            <w:r>
              <w:rPr>
                <w:rFonts w:ascii="Calibri" w:hAnsi="Calibri"/>
                <w:b w:val="0"/>
                <w:sz w:val="19"/>
              </w:rPr>
              <w:t>Incident</w:t>
            </w:r>
          </w:p>
        </w:tc>
        <w:tc>
          <w:tcPr>
            <w:tcW w:type="dxa" w:w="7488"/>
            <w:vAlign w:val="top"/>
            <w:tcMar>
              <w:top w:w="80" w:type="dxa"/>
              <w:bottom w:w="80" w:type="dxa"/>
              <w:start w:w="120" w:type="dxa"/>
              <w:end w:w="120" w:type="dxa"/>
            </w:tcMar>
          </w:tcPr>
          <w:p>
            <w:pPr>
              <w:spacing w:after="40"/>
            </w:pPr>
            <w:r>
              <w:rPr>
                <w:rFonts w:ascii="Calibri" w:hAnsi="Calibri"/>
                <w:b w:val="0"/>
                <w:sz w:val="19"/>
              </w:rPr>
              <w:t>incident_id, type, evidence state, priority, owner lease, acknowledgement/resolution history, delivery attempts.</w:t>
            </w:r>
          </w:p>
        </w:tc>
      </w:tr>
      <w:tr>
        <w:tc>
          <w:tcPr>
            <w:tcW w:type="dxa" w:w="1872"/>
            <w:vAlign w:val="top"/>
            <w:tcMar>
              <w:top w:w="80" w:type="dxa"/>
              <w:bottom w:w="80" w:type="dxa"/>
              <w:start w:w="120" w:type="dxa"/>
              <w:end w:w="120" w:type="dxa"/>
            </w:tcMar>
          </w:tcPr>
          <w:p>
            <w:pPr>
              <w:spacing w:after="40"/>
            </w:pPr>
            <w:r>
              <w:rPr>
                <w:rFonts w:ascii="Calibri" w:hAnsi="Calibri"/>
                <w:b w:val="0"/>
                <w:sz w:val="19"/>
              </w:rPr>
              <w:t>Command</w:t>
            </w:r>
          </w:p>
        </w:tc>
        <w:tc>
          <w:tcPr>
            <w:tcW w:type="dxa" w:w="7488"/>
            <w:vAlign w:val="top"/>
            <w:tcMar>
              <w:top w:w="80" w:type="dxa"/>
              <w:bottom w:w="80" w:type="dxa"/>
              <w:start w:w="120" w:type="dxa"/>
              <w:end w:w="120" w:type="dxa"/>
            </w:tcMar>
          </w:tcPr>
          <w:p>
            <w:pPr>
              <w:spacing w:after="40"/>
            </w:pPr>
            <w:r>
              <w:rPr>
                <w:rFonts w:ascii="Calibri" w:hAnsi="Calibri"/>
                <w:b w:val="0"/>
                <w:sz w:val="19"/>
              </w:rPr>
              <w:t>command_id, target, schema version, actor, issue/effective time, desired version, validation/application result.</w:t>
            </w:r>
          </w:p>
        </w:tc>
      </w:tr>
      <w:tr>
        <w:tc>
          <w:tcPr>
            <w:tcW w:type="dxa" w:w="1872"/>
          </w:tcPr>
          <w:p>
            <w:r>
              <w:t>Room / location</w:t>
            </w:r>
          </w:p>
        </w:tc>
        <w:tc>
          <w:tcPr>
            <w:tcW w:type="dxa" w:w="7488"/>
          </w:tcPr>
          <w:p>
            <w:r>
              <w:t>room_id, home_id, stable location label/type; used by node placement and event evidence.</w:t>
            </w:r>
          </w:p>
        </w:tc>
      </w:tr>
      <w:tr>
        <w:tc>
          <w:tcPr>
            <w:tcW w:type="dxa" w:w="1872"/>
          </w:tcPr>
          <w:p>
            <w:r>
              <w:t>Hub / node</w:t>
            </w:r>
          </w:p>
        </w:tc>
        <w:tc>
          <w:tcPr>
            <w:tcW w:type="dxa" w:w="7488"/>
          </w:tcPr>
          <w:p>
            <w:r>
              <w:t>stable device IDs, home/hub binding, capability, firmware/config, freshness, RSSI/battery and error state.</w:t>
            </w:r>
          </w:p>
        </w:tc>
      </w:tr>
      <w:tr>
        <w:tc>
          <w:tcPr>
            <w:tcW w:type="dxa" w:w="1872"/>
          </w:tcPr>
          <w:p>
            <w:r>
              <w:t>Routine / window</w:t>
            </w:r>
          </w:p>
        </w:tc>
        <w:tc>
          <w:tcPr>
            <w:tcW w:type="dxa" w:w="7488"/>
          </w:tcPr>
          <w:p>
            <w:r>
              <w:t>versioned morning/quiet-hours/daytime-inactivity/door-open policy plus stable per-window state/evidence for reboot-safe decisions.</w:t>
            </w:r>
          </w:p>
        </w:tc>
      </w:tr>
      <w:tr>
        <w:tc>
          <w:tcPr>
            <w:tcW w:type="dxa" w:w="1872"/>
          </w:tcPr>
          <w:p>
            <w:r>
              <w:t>Acknowledgement</w:t>
            </w:r>
          </w:p>
        </w:tc>
        <w:tc>
          <w:tcPr>
            <w:tcW w:type="dxa" w:w="7488"/>
          </w:tcPr>
          <w:p>
            <w:r>
              <w:t>human claim/ack/contact/resolve/handoff actor/time and ownership lease history.</w:t>
            </w:r>
          </w:p>
        </w:tc>
      </w:tr>
      <w:tr>
        <w:tc>
          <w:tcPr>
            <w:tcW w:type="dxa" w:w="1872"/>
          </w:tcPr>
          <w:p>
            <w:r>
              <w:t>Notification job</w:t>
            </w:r>
          </w:p>
        </w:tc>
        <w:tc>
          <w:tcPr>
            <w:tcW w:type="dxa" w:w="7488"/>
          </w:tcPr>
          <w:p>
            <w:r>
              <w:t>recipient/stage, idempotency key, attempt/provider state, cancellation and relationship to human acknowledgement.</w:t>
            </w:r>
          </w:p>
        </w:tc>
      </w:tr>
      <w:tr>
        <w:tc>
          <w:tcPr>
            <w:tcW w:type="dxa" w:w="1872"/>
          </w:tcPr>
          <w:p>
            <w:r>
              <w:t>Battery / device-health history</w:t>
            </w:r>
          </w:p>
        </w:tc>
        <w:tc>
          <w:tcPr>
            <w:tcW w:type="dxa" w:w="7488"/>
          </w:tcPr>
          <w:p>
            <w:r>
              <w:t>time-series voltage/SOC, RSSI, status/error code, estimated mAh/day, remaining-life estimate, confidence, high-drain state and power-counter snapshots, separate from resident activity/care state.</w:t>
            </w:r>
          </w:p>
        </w:tc>
      </w:tr>
      <w:tr>
        <w:tc>
          <w:tcPr>
            <w:tcW w:type="dxa" w:w="1872"/>
          </w:tcPr>
          <w:p>
            <w:r>
              <w:t>Configuration</w:t>
            </w:r>
          </w:p>
        </w:tc>
        <w:tc>
          <w:tcPr>
            <w:tcW w:type="dxa" w:w="7488"/>
          </w:tcPr>
          <w:p>
            <w:r>
              <w:t>versioned desired/applied household configuration and validation/application result.</w:t>
            </w:r>
          </w:p>
        </w:tc>
      </w:tr>
      <w:tr>
        <w:tc>
          <w:tcPr>
            <w:tcW w:type="dxa" w:w="1872"/>
          </w:tcPr>
          <w:p>
            <w:r>
              <w:t>Audit log</w:t>
            </w:r>
          </w:p>
        </w:tc>
        <w:tc>
          <w:tcPr>
            <w:tcW w:type="dxa" w:w="7488"/>
          </w:tcPr>
          <w:p>
            <w:r>
              <w:t>security/operations record for device, resident/family/caregiver and support actions without secrets/raw household payloads.</w:t>
            </w:r>
          </w:p>
        </w:tc>
      </w:tr>
    </w:tbl>
    <w:p>
      <w:pPr>
        <w:spacing w:after="40"/>
      </w:pPr>
    </w:p>
    <w:p>
      <w:pPr>
        <w:pStyle w:val="Heading2"/>
      </w:pPr>
      <w:r>
        <w:rPr>
          <w:color w:val="000000"/>
        </w:rPr>
        <w:t>6.2 Transport and API rules</w:t>
      </w:r>
    </w:p>
    <w:p>
      <w:pPr>
        <w:pStyle w:val="ListBullet"/>
        <w:spacing w:after="80"/>
      </w:pPr>
      <w:r>
        <w:t>Every business event is idempotent by source/session/sequence and backend ingestion is safe to retry.</w:t>
      </w:r>
    </w:p>
    <w:p>
      <w:pPr>
        <w:pStyle w:val="ListBullet"/>
        <w:spacing w:after="80"/>
      </w:pPr>
      <w:r>
        <w:t>Durable ACK means the hub has committed the event; volatile receipt never retires a business event from node storage.</w:t>
      </w:r>
    </w:p>
    <w:p>
      <w:pPr>
        <w:pStyle w:val="ListBullet"/>
        <w:spacing w:after="80"/>
      </w:pPr>
      <w:r>
        <w:t>Commands and notification requests carry idempotency keys; duplicate submissions return the original outcome.</w:t>
      </w:r>
    </w:p>
    <w:p>
      <w:pPr>
        <w:pStyle w:val="ListBullet"/>
        <w:spacing w:after="80"/>
      </w:pPr>
      <w:r>
        <w:t>API responses include state, freshness/age, coverage and error code; they do not imply health from missing data.</w:t>
      </w:r>
    </w:p>
    <w:p>
      <w:pPr>
        <w:pStyle w:val="ListBullet"/>
        <w:spacing w:after="80"/>
      </w:pPr>
      <w:r>
        <w:t>Transport payloads are schema-versioned and validated before entering state-owning workers.</w:t>
      </w:r>
    </w:p>
    <w:p>
      <w:pPr>
        <w:pStyle w:val="Heading1"/>
      </w:pPr>
      <w:r>
        <w:rPr>
          <w:color w:val="000000"/>
        </w:rPr>
        <w:t>7. Non-functional requirements</w:t>
      </w:r>
    </w:p>
    <w:tbl>
      <w:tblPr>
        <w:tblW w:type="dxa" w:w="9360"/>
        <w:jc w:val="left"/>
        <w:tblLayout w:type="fixed"/>
        <w:tblLook w:firstColumn="1" w:firstRow="1" w:lastColumn="0" w:lastRow="0" w:noHBand="0" w:noVBand="1" w:val="04A0"/>
        <w:tblInd w:w="120" w:type="dxa"/>
      </w:tblPr>
      <w:tblGrid>
        <w:gridCol w:w="1368"/>
        <w:gridCol w:w="4320"/>
        <w:gridCol w:w="3671"/>
      </w:tblGrid>
      <w:tr>
        <w:tc>
          <w:tcPr>
            <w:tcW w:type="dxa" w:w="1368"/>
            <w:vAlign w:val="top"/>
            <w:shd w:fill="E8EEF5"/>
            <w:tcMar>
              <w:top w:w="80" w:type="dxa"/>
              <w:bottom w:w="80" w:type="dxa"/>
              <w:start w:w="120" w:type="dxa"/>
              <w:end w:w="120" w:type="dxa"/>
            </w:tcMar>
          </w:tcPr>
          <w:p>
            <w:pPr>
              <w:spacing w:after="40"/>
            </w:pPr>
            <w:r>
              <w:rPr>
                <w:rFonts w:ascii="Calibri" w:hAnsi="Calibri"/>
                <w:b/>
                <w:sz w:val="19"/>
              </w:rPr>
              <w:t>ID</w:t>
            </w:r>
          </w:p>
        </w:tc>
        <w:tc>
          <w:tcPr>
            <w:tcW w:type="dxa" w:w="4320"/>
            <w:vAlign w:val="top"/>
            <w:shd w:fill="E8EEF5"/>
            <w:tcMar>
              <w:top w:w="80" w:type="dxa"/>
              <w:bottom w:w="80" w:type="dxa"/>
              <w:start w:w="120" w:type="dxa"/>
              <w:end w:w="120" w:type="dxa"/>
            </w:tcMar>
          </w:tcPr>
          <w:p>
            <w:pPr>
              <w:spacing w:after="40"/>
            </w:pPr>
            <w:r>
              <w:rPr>
                <w:rFonts w:ascii="Calibri" w:hAnsi="Calibri"/>
                <w:b/>
                <w:sz w:val="19"/>
              </w:rPr>
              <w:t>Quality requirement</w:t>
            </w:r>
          </w:p>
        </w:tc>
        <w:tc>
          <w:tcPr>
            <w:tcW w:type="dxa" w:w="3671"/>
            <w:vAlign w:val="top"/>
            <w:shd w:fill="E8EEF5"/>
            <w:tcMar>
              <w:top w:w="80" w:type="dxa"/>
              <w:bottom w:w="80" w:type="dxa"/>
              <w:start w:w="120" w:type="dxa"/>
              <w:end w:w="120" w:type="dxa"/>
            </w:tcMar>
          </w:tcPr>
          <w:p>
            <w:pPr>
              <w:spacing w:after="40"/>
            </w:pPr>
            <w:r>
              <w:rPr>
                <w:rFonts w:ascii="Calibri" w:hAnsi="Calibri"/>
                <w:b/>
                <w:sz w:val="19"/>
              </w:rPr>
              <w:t>Target / acceptance</w:t>
            </w:r>
          </w:p>
        </w:tc>
      </w:tr>
      <w:tr>
        <w:tc>
          <w:tcPr>
            <w:tcW w:type="dxa" w:w="1368"/>
            <w:vAlign w:val="top"/>
            <w:tcMar>
              <w:top w:w="80" w:type="dxa"/>
              <w:bottom w:w="80" w:type="dxa"/>
              <w:start w:w="120" w:type="dxa"/>
              <w:end w:w="120" w:type="dxa"/>
            </w:tcMar>
          </w:tcPr>
          <w:p>
            <w:pPr>
              <w:spacing w:after="40"/>
            </w:pPr>
            <w:r>
              <w:rPr>
                <w:rFonts w:ascii="Calibri" w:hAnsi="Calibri"/>
                <w:b w:val="0"/>
                <w:sz w:val="19"/>
              </w:rPr>
              <w:t>NFR-01</w:t>
            </w:r>
          </w:p>
        </w:tc>
        <w:tc>
          <w:tcPr>
            <w:tcW w:type="dxa" w:w="4320"/>
            <w:vAlign w:val="top"/>
            <w:tcMar>
              <w:top w:w="80" w:type="dxa"/>
              <w:bottom w:w="80" w:type="dxa"/>
              <w:start w:w="120" w:type="dxa"/>
              <w:end w:w="120" w:type="dxa"/>
            </w:tcMar>
          </w:tcPr>
          <w:p>
            <w:pPr>
              <w:spacing w:after="40"/>
            </w:pPr>
            <w:r>
              <w:rPr>
                <w:rFonts w:ascii="Calibri" w:hAnsi="Calibri"/>
                <w:b w:val="0"/>
                <w:sz w:val="19"/>
              </w:rPr>
              <w:t>Safety of interpretation</w:t>
            </w:r>
          </w:p>
        </w:tc>
        <w:tc>
          <w:tcPr>
            <w:tcW w:type="dxa" w:w="3671"/>
            <w:vAlign w:val="top"/>
            <w:tcMar>
              <w:top w:w="80" w:type="dxa"/>
              <w:bottom w:w="80" w:type="dxa"/>
              <w:start w:w="120" w:type="dxa"/>
              <w:end w:w="120" w:type="dxa"/>
            </w:tcMar>
          </w:tcPr>
          <w:p>
            <w:pPr>
              <w:spacing w:after="40"/>
            </w:pPr>
            <w:r>
              <w:rPr>
                <w:rFonts w:ascii="Calibri" w:hAnsi="Calibri"/>
                <w:b w:val="0"/>
                <w:sz w:val="19"/>
              </w:rPr>
              <w:t>No fall, medical, emergency-dispatch or wellbeing claim from P0 evidence.</w:t>
            </w:r>
          </w:p>
        </w:tc>
      </w:tr>
      <w:tr>
        <w:tc>
          <w:tcPr>
            <w:tcW w:type="dxa" w:w="1368"/>
            <w:vAlign w:val="top"/>
            <w:tcMar>
              <w:top w:w="80" w:type="dxa"/>
              <w:bottom w:w="80" w:type="dxa"/>
              <w:start w:w="120" w:type="dxa"/>
              <w:end w:w="120" w:type="dxa"/>
            </w:tcMar>
          </w:tcPr>
          <w:p>
            <w:pPr>
              <w:spacing w:after="40"/>
            </w:pPr>
            <w:r>
              <w:rPr>
                <w:rFonts w:ascii="Calibri" w:hAnsi="Calibri"/>
                <w:b w:val="0"/>
                <w:sz w:val="19"/>
              </w:rPr>
              <w:t>NFR-02</w:t>
            </w:r>
          </w:p>
        </w:tc>
        <w:tc>
          <w:tcPr>
            <w:tcW w:type="dxa" w:w="4320"/>
            <w:vAlign w:val="top"/>
            <w:tcMar>
              <w:top w:w="80" w:type="dxa"/>
              <w:bottom w:w="80" w:type="dxa"/>
              <w:start w:w="120" w:type="dxa"/>
              <w:end w:w="120" w:type="dxa"/>
            </w:tcMar>
          </w:tcPr>
          <w:p>
            <w:pPr>
              <w:spacing w:after="40"/>
            </w:pPr>
            <w:r>
              <w:rPr>
                <w:rFonts w:ascii="Calibri" w:hAnsi="Calibri"/>
                <w:b w:val="0"/>
                <w:sz w:val="19"/>
              </w:rPr>
              <w:t>Responsiveness</w:t>
            </w:r>
          </w:p>
        </w:tc>
        <w:tc>
          <w:tcPr>
            <w:tcW w:type="dxa" w:w="3671"/>
            <w:vAlign w:val="top"/>
            <w:tcMar>
              <w:top w:w="80" w:type="dxa"/>
              <w:bottom w:w="80" w:type="dxa"/>
              <w:start w:w="120" w:type="dxa"/>
              <w:end w:w="120" w:type="dxa"/>
            </w:tcMar>
          </w:tcPr>
          <w:p>
            <w:pPr>
              <w:spacing w:after="40"/>
            </w:pPr>
            <w:r>
              <w:rPr>
                <w:rFonts w:ascii="Calibri" w:hAnsi="Calibri"/>
                <w:b w:val="0"/>
                <w:sz w:val="19"/>
              </w:rPr>
              <w:t>Local valid button confirmation within 500 ms; dashboard displays data age.</w:t>
            </w:r>
          </w:p>
        </w:tc>
      </w:tr>
      <w:tr>
        <w:tc>
          <w:tcPr>
            <w:tcW w:type="dxa" w:w="1368"/>
            <w:vAlign w:val="top"/>
            <w:tcMar>
              <w:top w:w="80" w:type="dxa"/>
              <w:bottom w:w="80" w:type="dxa"/>
              <w:start w:w="120" w:type="dxa"/>
              <w:end w:w="120" w:type="dxa"/>
            </w:tcMar>
          </w:tcPr>
          <w:p>
            <w:pPr>
              <w:spacing w:after="40"/>
            </w:pPr>
            <w:r>
              <w:rPr>
                <w:rFonts w:ascii="Calibri" w:hAnsi="Calibri"/>
                <w:b w:val="0"/>
                <w:sz w:val="19"/>
              </w:rPr>
              <w:t>NFR-03</w:t>
            </w:r>
          </w:p>
        </w:tc>
        <w:tc>
          <w:tcPr>
            <w:tcW w:type="dxa" w:w="4320"/>
            <w:vAlign w:val="top"/>
            <w:tcMar>
              <w:top w:w="80" w:type="dxa"/>
              <w:bottom w:w="80" w:type="dxa"/>
              <w:start w:w="120" w:type="dxa"/>
              <w:end w:w="120" w:type="dxa"/>
            </w:tcMar>
          </w:tcPr>
          <w:p>
            <w:pPr>
              <w:spacing w:after="40"/>
            </w:pPr>
            <w:r>
              <w:rPr>
                <w:rFonts w:ascii="Calibri" w:hAnsi="Calibri"/>
                <w:b w:val="0"/>
                <w:sz w:val="19"/>
              </w:rPr>
              <w:t>Availability</w:t>
            </w:r>
          </w:p>
        </w:tc>
        <w:tc>
          <w:tcPr>
            <w:tcW w:type="dxa" w:w="3671"/>
            <w:vAlign w:val="top"/>
            <w:tcMar>
              <w:top w:w="80" w:type="dxa"/>
              <w:bottom w:w="80" w:type="dxa"/>
              <w:start w:w="120" w:type="dxa"/>
              <w:end w:w="120" w:type="dxa"/>
            </w:tcMar>
          </w:tcPr>
          <w:p>
            <w:pPr>
              <w:spacing w:after="40"/>
            </w:pPr>
            <w:r>
              <w:rPr>
                <w:rFonts w:ascii="Calibri" w:hAnsi="Calibri"/>
                <w:b w:val="0"/>
                <w:sz w:val="19"/>
              </w:rPr>
              <w:t>Local operation during WAN outage; recovery replays unsent events without duplication.</w:t>
            </w:r>
          </w:p>
        </w:tc>
      </w:tr>
      <w:tr>
        <w:tc>
          <w:tcPr>
            <w:tcW w:type="dxa" w:w="1368"/>
            <w:vAlign w:val="top"/>
            <w:tcMar>
              <w:top w:w="80" w:type="dxa"/>
              <w:bottom w:w="80" w:type="dxa"/>
              <w:start w:w="120" w:type="dxa"/>
              <w:end w:w="120" w:type="dxa"/>
            </w:tcMar>
          </w:tcPr>
          <w:p>
            <w:pPr>
              <w:spacing w:after="40"/>
            </w:pPr>
            <w:r>
              <w:rPr>
                <w:rFonts w:ascii="Calibri" w:hAnsi="Calibri"/>
                <w:b w:val="0"/>
                <w:sz w:val="19"/>
              </w:rPr>
              <w:t>NFR-04</w:t>
            </w:r>
          </w:p>
        </w:tc>
        <w:tc>
          <w:tcPr>
            <w:tcW w:type="dxa" w:w="4320"/>
            <w:vAlign w:val="top"/>
            <w:tcMar>
              <w:top w:w="80" w:type="dxa"/>
              <w:bottom w:w="80" w:type="dxa"/>
              <w:start w:w="120" w:type="dxa"/>
              <w:end w:w="120" w:type="dxa"/>
            </w:tcMar>
          </w:tcPr>
          <w:p>
            <w:pPr>
              <w:spacing w:after="40"/>
            </w:pPr>
            <w:r>
              <w:rPr>
                <w:rFonts w:ascii="Calibri" w:hAnsi="Calibri"/>
                <w:b w:val="0"/>
                <w:sz w:val="19"/>
              </w:rPr>
              <w:t>Performance</w:t>
            </w:r>
          </w:p>
        </w:tc>
        <w:tc>
          <w:tcPr>
            <w:tcW w:type="dxa" w:w="3671"/>
            <w:vAlign w:val="top"/>
            <w:tcMar>
              <w:top w:w="80" w:type="dxa"/>
              <w:bottom w:w="80" w:type="dxa"/>
              <w:start w:w="120" w:type="dxa"/>
              <w:end w:w="120" w:type="dxa"/>
            </w:tcMar>
          </w:tcPr>
          <w:p>
            <w:pPr>
              <w:spacing w:after="40"/>
            </w:pPr>
            <w:r>
              <w:rPr>
                <w:rFonts w:ascii="Calibri" w:hAnsi="Calibri"/>
                <w:b w:val="0"/>
                <w:sz w:val="19"/>
              </w:rPr>
              <w:t>State-owner queues are bounded; no unbounded retry or blocking work in radio callback.</w:t>
            </w:r>
          </w:p>
        </w:tc>
      </w:tr>
      <w:tr>
        <w:tc>
          <w:tcPr>
            <w:tcW w:type="dxa" w:w="1368"/>
            <w:vAlign w:val="top"/>
            <w:tcMar>
              <w:top w:w="80" w:type="dxa"/>
              <w:bottom w:w="80" w:type="dxa"/>
              <w:start w:w="120" w:type="dxa"/>
              <w:end w:w="120" w:type="dxa"/>
            </w:tcMar>
          </w:tcPr>
          <w:p>
            <w:pPr>
              <w:spacing w:after="40"/>
            </w:pPr>
            <w:r>
              <w:rPr>
                <w:rFonts w:ascii="Calibri" w:hAnsi="Calibri"/>
                <w:b w:val="0"/>
                <w:sz w:val="19"/>
              </w:rPr>
              <w:t>NFR-05</w:t>
            </w:r>
          </w:p>
        </w:tc>
        <w:tc>
          <w:tcPr>
            <w:tcW w:type="dxa" w:w="4320"/>
            <w:vAlign w:val="top"/>
            <w:tcMar>
              <w:top w:w="80" w:type="dxa"/>
              <w:bottom w:w="80" w:type="dxa"/>
              <w:start w:w="120" w:type="dxa"/>
              <w:end w:w="120" w:type="dxa"/>
            </w:tcMar>
          </w:tcPr>
          <w:p>
            <w:pPr>
              <w:spacing w:after="40"/>
            </w:pPr>
            <w:r>
              <w:rPr>
                <w:rFonts w:ascii="Calibri" w:hAnsi="Calibri"/>
                <w:b w:val="0"/>
                <w:sz w:val="19"/>
              </w:rPr>
              <w:t>Resource use</w:t>
            </w:r>
          </w:p>
        </w:tc>
        <w:tc>
          <w:tcPr>
            <w:tcW w:type="dxa" w:w="3671"/>
            <w:vAlign w:val="top"/>
            <w:tcMar>
              <w:top w:w="80" w:type="dxa"/>
              <w:bottom w:w="80" w:type="dxa"/>
              <w:start w:w="120" w:type="dxa"/>
              <w:end w:w="120" w:type="dxa"/>
            </w:tcMar>
          </w:tcPr>
          <w:p>
            <w:pPr>
              <w:spacing w:after="40"/>
            </w:pPr>
            <w:r>
              <w:rPr>
                <w:rFonts w:ascii="Calibri" w:hAnsi="Calibri"/>
                <w:b w:val="0"/>
                <w:sz w:val="19"/>
              </w:rPr>
              <w:t>Measure RAM/flash/CPU and real electrical current/battery behavior on actual ESP32 hardware; calibrate usable capacity and voltage before treating runtime prediction as field-accurate; fail physical release if agreed budgets are exceeded.</w:t>
            </w:r>
          </w:p>
        </w:tc>
      </w:tr>
      <w:tr>
        <w:tc>
          <w:tcPr>
            <w:tcW w:type="dxa" w:w="1368"/>
            <w:vAlign w:val="top"/>
            <w:tcMar>
              <w:top w:w="80" w:type="dxa"/>
              <w:bottom w:w="80" w:type="dxa"/>
              <w:start w:w="120" w:type="dxa"/>
              <w:end w:w="120" w:type="dxa"/>
            </w:tcMar>
          </w:tcPr>
          <w:p>
            <w:pPr>
              <w:spacing w:after="40"/>
            </w:pPr>
            <w:r>
              <w:rPr>
                <w:rFonts w:ascii="Calibri" w:hAnsi="Calibri"/>
                <w:b w:val="0"/>
                <w:sz w:val="19"/>
              </w:rPr>
              <w:t>NFR-06</w:t>
            </w:r>
          </w:p>
        </w:tc>
        <w:tc>
          <w:tcPr>
            <w:tcW w:type="dxa" w:w="4320"/>
            <w:vAlign w:val="top"/>
            <w:tcMar>
              <w:top w:w="80" w:type="dxa"/>
              <w:bottom w:w="80" w:type="dxa"/>
              <w:start w:w="120" w:type="dxa"/>
              <w:end w:w="120" w:type="dxa"/>
            </w:tcMar>
          </w:tcPr>
          <w:p>
            <w:pPr>
              <w:spacing w:after="40"/>
            </w:pPr>
            <w:r>
              <w:rPr>
                <w:rFonts w:ascii="Calibri" w:hAnsi="Calibri"/>
                <w:b w:val="0"/>
                <w:sz w:val="19"/>
              </w:rPr>
              <w:t>Security</w:t>
            </w:r>
          </w:p>
        </w:tc>
        <w:tc>
          <w:tcPr>
            <w:tcW w:type="dxa" w:w="3671"/>
            <w:vAlign w:val="top"/>
            <w:tcMar>
              <w:top w:w="80" w:type="dxa"/>
              <w:bottom w:w="80" w:type="dxa"/>
              <w:start w:w="120" w:type="dxa"/>
              <w:end w:w="120" w:type="dxa"/>
            </w:tcMar>
          </w:tcPr>
          <w:p>
            <w:pPr>
              <w:spacing w:after="40"/>
            </w:pPr>
            <w:r>
              <w:rPr>
                <w:rFonts w:ascii="Calibri" w:hAnsi="Calibri"/>
                <w:b w:val="0"/>
                <w:sz w:val="19"/>
              </w:rPr>
              <w:t>Unique credentials, encrypted/authenticated transport, signed OTA and least-privilege access.</w:t>
            </w:r>
          </w:p>
        </w:tc>
      </w:tr>
      <w:tr>
        <w:tc>
          <w:tcPr>
            <w:tcW w:type="dxa" w:w="1368"/>
            <w:vAlign w:val="top"/>
            <w:tcMar>
              <w:top w:w="80" w:type="dxa"/>
              <w:bottom w:w="80" w:type="dxa"/>
              <w:start w:w="120" w:type="dxa"/>
              <w:end w:w="120" w:type="dxa"/>
            </w:tcMar>
          </w:tcPr>
          <w:p>
            <w:pPr>
              <w:spacing w:after="40"/>
            </w:pPr>
            <w:r>
              <w:rPr>
                <w:rFonts w:ascii="Calibri" w:hAnsi="Calibri"/>
                <w:b w:val="0"/>
                <w:sz w:val="19"/>
              </w:rPr>
              <w:t>NFR-07</w:t>
            </w:r>
          </w:p>
        </w:tc>
        <w:tc>
          <w:tcPr>
            <w:tcW w:type="dxa" w:w="4320"/>
            <w:vAlign w:val="top"/>
            <w:tcMar>
              <w:top w:w="80" w:type="dxa"/>
              <w:bottom w:w="80" w:type="dxa"/>
              <w:start w:w="120" w:type="dxa"/>
              <w:end w:w="120" w:type="dxa"/>
            </w:tcMar>
          </w:tcPr>
          <w:p>
            <w:pPr>
              <w:spacing w:after="40"/>
            </w:pPr>
            <w:r>
              <w:rPr>
                <w:rFonts w:ascii="Calibri" w:hAnsi="Calibri"/>
                <w:b w:val="0"/>
                <w:sz w:val="19"/>
              </w:rPr>
              <w:t>Privacy</w:t>
            </w:r>
          </w:p>
        </w:tc>
        <w:tc>
          <w:tcPr>
            <w:tcW w:type="dxa" w:w="3671"/>
            <w:vAlign w:val="top"/>
            <w:tcMar>
              <w:top w:w="80" w:type="dxa"/>
              <w:bottom w:w="80" w:type="dxa"/>
              <w:start w:w="120" w:type="dxa"/>
              <w:end w:w="120" w:type="dxa"/>
            </w:tcMar>
          </w:tcPr>
          <w:p>
            <w:pPr>
              <w:spacing w:after="40"/>
            </w:pPr>
            <w:r>
              <w:rPr>
                <w:rFonts w:ascii="Calibri" w:hAnsi="Calibri"/>
                <w:b w:val="0"/>
                <w:sz w:val="19"/>
              </w:rPr>
              <w:t>Camera-free/no always-on listening P0; consent withdrawal is effective and auditable.</w:t>
            </w:r>
          </w:p>
        </w:tc>
      </w:tr>
      <w:tr>
        <w:tc>
          <w:tcPr>
            <w:tcW w:type="dxa" w:w="1368"/>
            <w:vAlign w:val="top"/>
            <w:tcMar>
              <w:top w:w="80" w:type="dxa"/>
              <w:bottom w:w="80" w:type="dxa"/>
              <w:start w:w="120" w:type="dxa"/>
              <w:end w:w="120" w:type="dxa"/>
            </w:tcMar>
          </w:tcPr>
          <w:p>
            <w:pPr>
              <w:spacing w:after="40"/>
            </w:pPr>
            <w:r>
              <w:rPr>
                <w:rFonts w:ascii="Calibri" w:hAnsi="Calibri"/>
                <w:b w:val="0"/>
                <w:sz w:val="19"/>
              </w:rPr>
              <w:t>NFR-08</w:t>
            </w:r>
          </w:p>
        </w:tc>
        <w:tc>
          <w:tcPr>
            <w:tcW w:type="dxa" w:w="4320"/>
            <w:vAlign w:val="top"/>
            <w:tcMar>
              <w:top w:w="80" w:type="dxa"/>
              <w:bottom w:w="80" w:type="dxa"/>
              <w:start w:w="120" w:type="dxa"/>
              <w:end w:w="120" w:type="dxa"/>
            </w:tcMar>
          </w:tcPr>
          <w:p>
            <w:pPr>
              <w:spacing w:after="40"/>
            </w:pPr>
            <w:r>
              <w:rPr>
                <w:rFonts w:ascii="Calibri" w:hAnsi="Calibri"/>
                <w:b w:val="0"/>
                <w:sz w:val="19"/>
              </w:rPr>
              <w:t>Maintainability</w:t>
            </w:r>
          </w:p>
        </w:tc>
        <w:tc>
          <w:tcPr>
            <w:tcW w:type="dxa" w:w="3671"/>
            <w:vAlign w:val="top"/>
            <w:tcMar>
              <w:top w:w="80" w:type="dxa"/>
              <w:bottom w:w="80" w:type="dxa"/>
              <w:start w:w="120" w:type="dxa"/>
              <w:end w:w="120" w:type="dxa"/>
            </w:tcMar>
          </w:tcPr>
          <w:p>
            <w:pPr>
              <w:spacing w:after="40"/>
            </w:pPr>
            <w:r>
              <w:rPr>
                <w:rFonts w:ascii="Calibri" w:hAnsi="Calibri"/>
                <w:b w:val="0"/>
                <w:sz w:val="19"/>
              </w:rPr>
              <w:t>Module IDs, contracts, deterministic rules, automated tests and reproducible builds.</w:t>
            </w:r>
          </w:p>
        </w:tc>
      </w:tr>
      <w:tr>
        <w:tc>
          <w:tcPr>
            <w:tcW w:type="dxa" w:w="1368"/>
            <w:vAlign w:val="top"/>
            <w:tcMar>
              <w:top w:w="80" w:type="dxa"/>
              <w:bottom w:w="80" w:type="dxa"/>
              <w:start w:w="120" w:type="dxa"/>
              <w:end w:w="120" w:type="dxa"/>
            </w:tcMar>
          </w:tcPr>
          <w:p>
            <w:pPr>
              <w:spacing w:after="40"/>
            </w:pPr>
            <w:r>
              <w:rPr>
                <w:rFonts w:ascii="Calibri" w:hAnsi="Calibri"/>
                <w:b w:val="0"/>
                <w:sz w:val="19"/>
              </w:rPr>
              <w:t>NFR-09</w:t>
            </w:r>
          </w:p>
        </w:tc>
        <w:tc>
          <w:tcPr>
            <w:tcW w:type="dxa" w:w="4320"/>
            <w:vAlign w:val="top"/>
            <w:tcMar>
              <w:top w:w="80" w:type="dxa"/>
              <w:bottom w:w="80" w:type="dxa"/>
              <w:start w:w="120" w:type="dxa"/>
              <w:end w:w="120" w:type="dxa"/>
            </w:tcMar>
          </w:tcPr>
          <w:p>
            <w:pPr>
              <w:spacing w:after="40"/>
            </w:pPr>
            <w:r>
              <w:rPr>
                <w:rFonts w:ascii="Calibri" w:hAnsi="Calibri"/>
                <w:b w:val="0"/>
                <w:sz w:val="19"/>
              </w:rPr>
              <w:t>Supportability</w:t>
            </w:r>
          </w:p>
        </w:tc>
        <w:tc>
          <w:tcPr>
            <w:tcW w:type="dxa" w:w="3671"/>
            <w:vAlign w:val="top"/>
            <w:tcMar>
              <w:top w:w="80" w:type="dxa"/>
              <w:bottom w:w="80" w:type="dxa"/>
              <w:start w:w="120" w:type="dxa"/>
              <w:end w:w="120" w:type="dxa"/>
            </w:tcMar>
          </w:tcPr>
          <w:p>
            <w:pPr>
              <w:spacing w:after="40"/>
            </w:pPr>
            <w:r>
              <w:rPr>
                <w:rFonts w:ascii="Calibri" w:hAnsi="Calibri"/>
                <w:b w:val="0"/>
                <w:sz w:val="19"/>
              </w:rPr>
              <w:t>Bounded structured `.txt` diagnostics; ERROR always; TRACE build-gated; no secrets.</w:t>
            </w:r>
          </w:p>
        </w:tc>
      </w:tr>
      <w:tr>
        <w:tc>
          <w:tcPr>
            <w:tcW w:type="dxa" w:w="1368"/>
            <w:vAlign w:val="top"/>
            <w:tcMar>
              <w:top w:w="80" w:type="dxa"/>
              <w:bottom w:w="80" w:type="dxa"/>
              <w:start w:w="120" w:type="dxa"/>
              <w:end w:w="120" w:type="dxa"/>
            </w:tcMar>
          </w:tcPr>
          <w:p>
            <w:pPr>
              <w:spacing w:after="40"/>
            </w:pPr>
            <w:r>
              <w:rPr>
                <w:rFonts w:ascii="Calibri" w:hAnsi="Calibri"/>
                <w:b w:val="0"/>
                <w:sz w:val="19"/>
              </w:rPr>
              <w:t>NFR-10</w:t>
            </w:r>
          </w:p>
        </w:tc>
        <w:tc>
          <w:tcPr>
            <w:tcW w:type="dxa" w:w="4320"/>
            <w:vAlign w:val="top"/>
            <w:tcMar>
              <w:top w:w="80" w:type="dxa"/>
              <w:bottom w:w="80" w:type="dxa"/>
              <w:start w:w="120" w:type="dxa"/>
              <w:end w:w="120" w:type="dxa"/>
            </w:tcMar>
          </w:tcPr>
          <w:p>
            <w:pPr>
              <w:spacing w:after="40"/>
            </w:pPr>
            <w:r>
              <w:rPr>
                <w:rFonts w:ascii="Calibri" w:hAnsi="Calibri"/>
                <w:b w:val="0"/>
                <w:sz w:val="19"/>
              </w:rPr>
              <w:t>Accessibility</w:t>
            </w:r>
          </w:p>
        </w:tc>
        <w:tc>
          <w:tcPr>
            <w:tcW w:type="dxa" w:w="3671"/>
            <w:vAlign w:val="top"/>
            <w:tcMar>
              <w:top w:w="80" w:type="dxa"/>
              <w:bottom w:w="80" w:type="dxa"/>
              <w:start w:w="120" w:type="dxa"/>
              <w:end w:w="120" w:type="dxa"/>
            </w:tcMar>
          </w:tcPr>
          <w:p>
            <w:pPr>
              <w:spacing w:after="40"/>
            </w:pPr>
            <w:r>
              <w:rPr>
                <w:rFonts w:ascii="Calibri" w:hAnsi="Calibri"/>
                <w:b w:val="0"/>
                <w:sz w:val="19"/>
              </w:rPr>
              <w:t>Large resident actions, clear labels, visible local state and caregiver-readable uncertainty.</w:t>
            </w:r>
          </w:p>
        </w:tc>
      </w:tr>
    </w:tbl>
    <w:p>
      <w:pPr>
        <w:spacing w:after="40"/>
      </w:pPr>
    </w:p>
    <w:p>
      <w:pPr>
        <w:pStyle w:val="Heading1"/>
      </w:pPr>
      <w:r>
        <w:rPr>
          <w:color w:val="000000"/>
        </w:rPr>
        <w:t>8. Privacy, security and consent requirements</w:t>
      </w:r>
    </w:p>
    <w:p>
      <w:pPr>
        <w:pStyle w:val="ListBullet"/>
        <w:spacing w:after="80"/>
      </w:pPr>
      <w:r>
        <w:t>Resident consent is required before passive observation; authenticated withdrawal becomes an auditable desired state and, once applied by the hub, enters internal privacy enforcement that stops configured passive collection. There is no normal Privacy ON/OFF toggle; re-observation requires deliberate valid re-consent.</w:t>
      </w:r>
    </w:p>
    <w:p>
      <w:pPr>
        <w:pStyle w:val="ListBullet"/>
        <w:spacing w:after="80"/>
      </w:pPr>
      <w:r>
        <w:t>The P0 default has no camera, microphone, speech recognition or audio upload. Any future sensor must have a separate consent and retention decision.</w:t>
      </w:r>
    </w:p>
    <w:p>
      <w:pPr>
        <w:pStyle w:val="ListBullet"/>
        <w:spacing w:after="80"/>
      </w:pPr>
      <w:r>
        <w:t>Caregiver access is tenant-scoped. A caregiver may see only households for which an active role exists.</w:t>
      </w:r>
    </w:p>
    <w:p>
      <w:pPr>
        <w:pStyle w:val="ListBullet"/>
        <w:spacing w:after="80"/>
      </w:pPr>
      <w:r>
        <w:t>Secrets are stored by reference, never in logs, exports, test fixtures or UI error messages.</w:t>
      </w:r>
    </w:p>
    <w:p>
      <w:pPr>
        <w:pStyle w:val="ListBullet"/>
        <w:spacing w:after="80"/>
      </w:pPr>
      <w:r>
        <w:t>Support tooling uses minimum necessary data and records support access; test events are visibly marked and never create production incidents.</w:t>
      </w:r>
    </w:p>
    <w:p>
      <w:pPr>
        <w:pStyle w:val="ListBullet"/>
        <w:spacing w:after="80"/>
      </w:pPr>
      <w:r>
        <w:t>Retention and deletion are explicit configuration, with deletion/revocation reflected in backend and device state.</w:t>
      </w:r>
    </w:p>
    <w:p>
      <w:pPr>
        <w:pStyle w:val="Heading1"/>
      </w:pPr>
      <w:r>
        <w:rPr>
          <w:color w:val="000000"/>
        </w:rPr>
        <w:t>9. Logging and diagnostics requirements</w:t>
      </w:r>
    </w:p>
    <w:p>
      <w:r>
        <w:t>The implementation uses a common structured record: level, category, module, event and bounded detail. ERROR is always retained for critical flow breaks; TRACE is build/deployment gated and shows development call flow. Host/backend files rotate at 128 KiB; browser memory is limited to 128 records. Logging failure must never block product logic.</w:t>
      </w:r>
    </w:p>
    <w:tbl>
      <w:tblPr>
        <w:tblW w:type="dxa" w:w="9360"/>
        <w:jc w:val="left"/>
        <w:tblLayout w:type="fixed"/>
        <w:tblLook w:firstColumn="1" w:firstRow="1" w:lastColumn="0" w:lastRow="0" w:noHBand="0" w:noVBand="1" w:val="04A0"/>
        <w:tblInd w:w="120" w:type="dxa"/>
      </w:tblPr>
      <w:tblGrid>
        <w:gridCol w:w="1944"/>
        <w:gridCol w:w="7416"/>
      </w:tblGrid>
      <w:tr>
        <w:tc>
          <w:tcPr>
            <w:tcW w:type="dxa" w:w="1944"/>
            <w:vAlign w:val="top"/>
            <w:shd w:fill="E8EEF5"/>
            <w:tcMar>
              <w:top w:w="80" w:type="dxa"/>
              <w:bottom w:w="80" w:type="dxa"/>
              <w:start w:w="120" w:type="dxa"/>
              <w:end w:w="120" w:type="dxa"/>
            </w:tcMar>
          </w:tcPr>
          <w:p>
            <w:pPr>
              <w:spacing w:after="40"/>
            </w:pPr>
            <w:r>
              <w:rPr>
                <w:rFonts w:ascii="Calibri" w:hAnsi="Calibri"/>
                <w:b/>
                <w:sz w:val="19"/>
              </w:rPr>
              <w:t>Requirement</w:t>
            </w:r>
          </w:p>
        </w:tc>
        <w:tc>
          <w:tcPr>
            <w:tcW w:type="dxa" w:w="7416"/>
            <w:vAlign w:val="top"/>
            <w:shd w:fill="E8EEF5"/>
            <w:tcMar>
              <w:top w:w="80" w:type="dxa"/>
              <w:bottom w:w="80" w:type="dxa"/>
              <w:start w:w="120" w:type="dxa"/>
              <w:end w:w="120" w:type="dxa"/>
            </w:tcMar>
          </w:tcPr>
          <w:p>
            <w:pPr>
              <w:spacing w:after="40"/>
            </w:pPr>
            <w:r>
              <w:rPr>
                <w:rFonts w:ascii="Calibri" w:hAnsi="Calibri"/>
                <w:b/>
                <w:sz w:val="19"/>
              </w:rPr>
              <w:t>Implementation / verification</w:t>
            </w:r>
          </w:p>
        </w:tc>
      </w:tr>
      <w:tr>
        <w:tc>
          <w:tcPr>
            <w:tcW w:type="dxa" w:w="1944"/>
            <w:vAlign w:val="top"/>
            <w:tcMar>
              <w:top w:w="80" w:type="dxa"/>
              <w:bottom w:w="80" w:type="dxa"/>
              <w:start w:w="120" w:type="dxa"/>
              <w:end w:w="120" w:type="dxa"/>
            </w:tcMar>
          </w:tcPr>
          <w:p>
            <w:pPr>
              <w:spacing w:after="40"/>
            </w:pPr>
            <w:r>
              <w:rPr>
                <w:rFonts w:ascii="Calibri" w:hAnsi="Calibri"/>
                <w:b w:val="0"/>
                <w:sz w:val="19"/>
              </w:rPr>
              <w:t>ERROR always</w:t>
            </w:r>
          </w:p>
        </w:tc>
        <w:tc>
          <w:tcPr>
            <w:tcW w:type="dxa" w:w="7416"/>
            <w:vAlign w:val="top"/>
            <w:tcMar>
              <w:top w:w="80" w:type="dxa"/>
              <w:bottom w:w="80" w:type="dxa"/>
              <w:start w:w="120" w:type="dxa"/>
              <w:end w:w="120" w:type="dxa"/>
            </w:tcMar>
          </w:tcPr>
          <w:p>
            <w:pPr>
              <w:spacing w:after="40"/>
            </w:pPr>
            <w:r>
              <w:rPr>
                <w:rFonts w:ascii="Calibri" w:hAnsi="Calibri"/>
                <w:b w:val="0"/>
                <w:sz w:val="19"/>
              </w:rPr>
              <w:t>C++ GS_ERROR and backend/app error paths; forced-error tests confirm retention.</w:t>
            </w:r>
          </w:p>
        </w:tc>
      </w:tr>
      <w:tr>
        <w:tc>
          <w:tcPr>
            <w:tcW w:type="dxa" w:w="1944"/>
            <w:vAlign w:val="top"/>
            <w:tcMar>
              <w:top w:w="80" w:type="dxa"/>
              <w:bottom w:w="80" w:type="dxa"/>
              <w:start w:w="120" w:type="dxa"/>
              <w:end w:w="120" w:type="dxa"/>
            </w:tcMar>
          </w:tcPr>
          <w:p>
            <w:pPr>
              <w:spacing w:after="40"/>
            </w:pPr>
            <w:r>
              <w:rPr>
                <w:rFonts w:ascii="Calibri" w:hAnsi="Calibri"/>
                <w:b w:val="0"/>
                <w:sz w:val="19"/>
              </w:rPr>
              <w:t>TRACE optional</w:t>
            </w:r>
          </w:p>
        </w:tc>
        <w:tc>
          <w:tcPr>
            <w:tcW w:type="dxa" w:w="7416"/>
            <w:vAlign w:val="top"/>
            <w:tcMar>
              <w:top w:w="80" w:type="dxa"/>
              <w:bottom w:w="80" w:type="dxa"/>
              <w:start w:w="120" w:type="dxa"/>
              <w:end w:w="120" w:type="dxa"/>
            </w:tcMar>
          </w:tcPr>
          <w:p>
            <w:pPr>
              <w:spacing w:after="40"/>
            </w:pPr>
            <w:r>
              <w:rPr>
                <w:rFonts w:ascii="Calibri" w:hAnsi="Calibri"/>
                <w:b w:val="0"/>
                <w:sz w:val="19"/>
              </w:rPr>
              <w:t>GS_ENABLE_TRACE for C++; GS_TRACE for backend; __GS_TRACE__ build injection for app.</w:t>
            </w:r>
          </w:p>
        </w:tc>
      </w:tr>
      <w:tr>
        <w:tc>
          <w:tcPr>
            <w:tcW w:type="dxa" w:w="1944"/>
            <w:vAlign w:val="top"/>
            <w:tcMar>
              <w:top w:w="80" w:type="dxa"/>
              <w:bottom w:w="80" w:type="dxa"/>
              <w:start w:w="120" w:type="dxa"/>
              <w:end w:w="120" w:type="dxa"/>
            </w:tcMar>
          </w:tcPr>
          <w:p>
            <w:pPr>
              <w:spacing w:after="40"/>
            </w:pPr>
            <w:r>
              <w:rPr>
                <w:rFonts w:ascii="Calibri" w:hAnsi="Calibri"/>
                <w:b w:val="0"/>
                <w:sz w:val="19"/>
              </w:rPr>
              <w:t>Low memory</w:t>
            </w:r>
          </w:p>
        </w:tc>
        <w:tc>
          <w:tcPr>
            <w:tcW w:type="dxa" w:w="7416"/>
            <w:vAlign w:val="top"/>
            <w:tcMar>
              <w:top w:w="80" w:type="dxa"/>
              <w:bottom w:w="80" w:type="dxa"/>
              <w:start w:w="120" w:type="dxa"/>
              <w:end w:w="120" w:type="dxa"/>
            </w:tcMar>
          </w:tcPr>
          <w:p>
            <w:pPr>
              <w:spacing w:after="40"/>
            </w:pPr>
            <w:r>
              <w:rPr>
                <w:rFonts w:ascii="Calibri" w:hAnsi="Calibri"/>
                <w:b w:val="0"/>
                <w:sz w:val="19"/>
              </w:rPr>
              <w:t>Fixed C++ stack buffer; bounded ring/rotation; no resident payloads or credentials.</w:t>
            </w:r>
          </w:p>
        </w:tc>
      </w:tr>
      <w:tr>
        <w:tc>
          <w:tcPr>
            <w:tcW w:type="dxa" w:w="1944"/>
            <w:vAlign w:val="top"/>
            <w:tcMar>
              <w:top w:w="80" w:type="dxa"/>
              <w:bottom w:w="80" w:type="dxa"/>
              <w:start w:w="120" w:type="dxa"/>
              <w:end w:w="120" w:type="dxa"/>
            </w:tcMar>
          </w:tcPr>
          <w:p>
            <w:pPr>
              <w:spacing w:after="40"/>
            </w:pPr>
            <w:r>
              <w:rPr>
                <w:rFonts w:ascii="Calibri" w:hAnsi="Calibri"/>
                <w:b w:val="0"/>
                <w:sz w:val="19"/>
              </w:rPr>
              <w:t>Fault analysis</w:t>
            </w:r>
          </w:p>
        </w:tc>
        <w:tc>
          <w:tcPr>
            <w:tcW w:type="dxa" w:w="7416"/>
            <w:vAlign w:val="top"/>
            <w:tcMar>
              <w:top w:w="80" w:type="dxa"/>
              <w:bottom w:w="80" w:type="dxa"/>
              <w:start w:w="120" w:type="dxa"/>
              <w:end w:w="120" w:type="dxa"/>
            </w:tcMar>
          </w:tcPr>
          <w:p>
            <w:pPr>
              <w:spacing w:after="40"/>
            </w:pPr>
            <w:r>
              <w:rPr>
                <w:rFonts w:ascii="Calibri" w:hAnsi="Calibri"/>
                <w:b w:val="0"/>
                <w:sz w:val="19"/>
              </w:rPr>
              <w:t>tools/logs/analyze_logs.py validates records; sanitizer tests address memory faults separately.</w:t>
            </w:r>
          </w:p>
        </w:tc>
      </w:tr>
      <w:tr>
        <w:tc>
          <w:tcPr>
            <w:tcW w:type="dxa" w:w="1944"/>
            <w:vAlign w:val="top"/>
            <w:tcMar>
              <w:top w:w="80" w:type="dxa"/>
              <w:bottom w:w="80" w:type="dxa"/>
              <w:start w:w="120" w:type="dxa"/>
              <w:end w:w="120" w:type="dxa"/>
            </w:tcMar>
          </w:tcPr>
          <w:p>
            <w:pPr>
              <w:spacing w:after="40"/>
            </w:pPr>
            <w:r>
              <w:rPr>
                <w:rFonts w:ascii="Calibri" w:hAnsi="Calibri"/>
                <w:b w:val="0"/>
                <w:sz w:val="19"/>
              </w:rPr>
              <w:t>Hardware pending</w:t>
            </w:r>
          </w:p>
        </w:tc>
        <w:tc>
          <w:tcPr>
            <w:tcW w:type="dxa" w:w="7416"/>
            <w:vAlign w:val="top"/>
            <w:tcMar>
              <w:top w:w="80" w:type="dxa"/>
              <w:bottom w:w="80" w:type="dxa"/>
              <w:start w:w="120" w:type="dxa"/>
              <w:end w:w="120" w:type="dxa"/>
            </w:tcMar>
          </w:tcPr>
          <w:p>
            <w:pPr>
              <w:spacing w:after="40"/>
            </w:pPr>
            <w:r>
              <w:rPr>
                <w:rFonts w:ascii="Calibri" w:hAnsi="Calibri"/>
                <w:b w:val="0"/>
                <w:sz w:val="19"/>
              </w:rPr>
              <w:t>ESP-IDF sink, FreeRTOS concurrent writes, flash wear, brown-out, watchdog/panic and coredump retrieval require board validation.</w:t>
            </w:r>
          </w:p>
        </w:tc>
      </w:tr>
    </w:tbl>
    <w:p>
      <w:pPr>
        <w:spacing w:after="40"/>
      </w:pPr>
    </w:p>
    <w:p>
      <w:pPr>
        <w:pStyle w:val="Heading1"/>
      </w:pPr>
      <w:r>
        <w:rPr>
          <w:color w:val="000000"/>
        </w:rPr>
        <w:t>10. Verification and release criteria</w:t>
      </w:r>
    </w:p>
    <w:p>
      <w:pPr>
        <w:pStyle w:val="Heading2"/>
      </w:pPr>
      <w:r>
        <w:rPr>
          <w:color w:val="000000"/>
        </w:rPr>
        <w:t>Host/software exit criteria</w:t>
      </w:r>
    </w:p>
    <w:p>
      <w:pPr>
        <w:pStyle w:val="ListBullet"/>
        <w:spacing w:after="80"/>
      </w:pPr>
      <w:r>
        <w:t>All F01–F14 and E01–E10 requirement tests pass, including negative and boundary cases.</w:t>
      </w:r>
    </w:p>
    <w:p>
      <w:pPr>
        <w:pStyle w:val="ListBullet"/>
        <w:spacing w:after="80"/>
      </w:pPr>
      <w:r>
        <w:t>C++ production, trace and sanitizer profiles pass; backend and app tests pass; contracts are validated.</w:t>
      </w:r>
    </w:p>
    <w:p>
      <w:pPr>
        <w:pStyle w:val="ListBullet"/>
        <w:spacing w:after="80"/>
      </w:pPr>
      <w:r>
        <w:t>Production diagnostic sample contains no TRACE; development sample contains structured traces across module groups.</w:t>
      </w:r>
    </w:p>
    <w:p>
      <w:pPr>
        <w:pStyle w:val="ListBullet"/>
        <w:spacing w:after="80"/>
      </w:pPr>
      <w:r>
        <w:t>No test fixture or diagnostic record contains secrets, resident names or raw household event payloads.</w:t>
      </w:r>
    </w:p>
    <w:p>
      <w:pPr>
        <w:pStyle w:val="ListBullet"/>
        <w:spacing w:after="80"/>
      </w:pPr>
      <w:r>
        <w:t>Build and test commands are reproducible from a clean checkout.</w:t>
      </w:r>
    </w:p>
    <w:p>
      <w:r>
        <w:t>Current v1.5.4 + PWA/BatteryAnalytics v3.4.2 release evidence. The native-WSL make release-gate-final run passes validation coverage, contracts, C++ unit/component, Python backend/database/logging, JavaScript app, Base/AI product profiles, all feature-flag variants, lab build, five dummy sensor streams, the 92-case functional catalog, 16 HTTP integration checks, PWA bridge/API/frontend checks, C++ sanitizer and trace profiles, and legacy browser E2E. The mandatory Playwright/Chromium gate then passes 22/22 tests (11 logical checks on desktop and mobile). The checked browser behaviors include card hierarchy, care-banner isolation, low battery/high drain, newest-first events, stable Device Schedules, missing-morning/door/night concerns and visible PASS after running the full canonical catalog. Physical/HIL, real notification provider, ESP32 power/RF/flash/OTA and field-pilot gates remain pending.</w:t>
      </w:r>
    </w:p>
    <w:p>
      <w:pPr>
        <w:pStyle w:val="Heading2"/>
      </w:pPr>
      <w:r>
        <w:rPr>
          <w:color w:val="000000"/>
        </w:rPr>
        <w:t>Physical pilot/commercial gates</w:t>
      </w:r>
    </w:p>
    <w:p>
      <w:pPr>
        <w:pStyle w:val="ListBullet"/>
        <w:spacing w:after="80"/>
      </w:pPr>
      <w:r>
        <w:t>One hub plus four C3 nodes pass installation, placement, radio, both resident-button, consent-state/application and notification drills in the target home.</w:t>
      </w:r>
    </w:p>
    <w:p>
      <w:pPr>
        <w:pStyle w:val="ListBullet"/>
        <w:spacing w:after="80"/>
      </w:pPr>
      <w:r>
        <w:t>Power/UPS, battery, brown-out, reboot, flash-wear, watchdog and measured RAM/flash/CPU/battery targets pass on the selected hardware.</w:t>
      </w:r>
    </w:p>
    <w:p>
      <w:pPr>
        <w:pStyle w:val="ListBullet"/>
        <w:spacing w:after="80"/>
      </w:pPr>
      <w:r>
        <w:t>WAN outage, router outage, node offline, hub offline and notification-provider failure are clearly separated in UI and support logs.</w:t>
      </w:r>
    </w:p>
    <w:p>
      <w:pPr>
        <w:pStyle w:val="ListBullet"/>
        <w:spacing w:after="80"/>
      </w:pPr>
      <w:r>
        <w:t>Consent, retention, OTA signing, rollback, credential revocation and support access are reviewed before unattended pilot.</w:t>
      </w:r>
    </w:p>
    <w:p>
      <w:pPr>
        <w:pStyle w:val="ListBullet"/>
        <w:spacing w:after="80"/>
      </w:pPr>
      <w:r>
        <w:t>Caregiver and resident usability tests confirm that “no activity” and “coverage unavailable” are not confused.</w:t>
      </w:r>
    </w:p>
    <w:p>
      <w:pPr>
        <w:pStyle w:val="Heading1"/>
      </w:pPr>
      <w:r>
        <w:rPr>
          <w:color w:val="000000"/>
        </w:rPr>
        <w:t>11. Traceability and implementation status</w:t>
      </w:r>
    </w:p>
    <w:tbl>
      <w:tblPr>
        <w:tblW w:type="dxa" w:w="9360"/>
        <w:jc w:val="left"/>
        <w:tblLayout w:type="fixed"/>
        <w:tblLook w:firstColumn="1" w:firstRow="1" w:lastColumn="0" w:lastRow="0" w:noHBand="0" w:noVBand="1" w:val="04A0"/>
        <w:tblInd w:w="120" w:type="dxa"/>
      </w:tblPr>
      <w:tblGrid>
        <w:gridCol w:w="1800"/>
        <w:gridCol w:w="4536"/>
        <w:gridCol w:w="3024"/>
      </w:tblGrid>
      <w:tr>
        <w:tc>
          <w:tcPr>
            <w:tcW w:type="dxa" w:w="1800"/>
            <w:vAlign w:val="top"/>
            <w:shd w:fill="E8EEF5"/>
            <w:tcMar>
              <w:top w:w="80" w:type="dxa"/>
              <w:bottom w:w="80" w:type="dxa"/>
              <w:start w:w="120" w:type="dxa"/>
              <w:end w:w="120" w:type="dxa"/>
            </w:tcMar>
          </w:tcPr>
          <w:p>
            <w:pPr>
              <w:spacing w:after="40"/>
            </w:pPr>
            <w:r>
              <w:rPr>
                <w:rFonts w:ascii="Calibri" w:hAnsi="Calibri"/>
                <w:b/>
                <w:sz w:val="19"/>
              </w:rPr>
              <w:t>Requirement group</w:t>
            </w:r>
          </w:p>
        </w:tc>
        <w:tc>
          <w:tcPr>
            <w:tcW w:type="dxa" w:w="4536"/>
            <w:vAlign w:val="top"/>
            <w:shd w:fill="E8EEF5"/>
            <w:tcMar>
              <w:top w:w="80" w:type="dxa"/>
              <w:bottom w:w="80" w:type="dxa"/>
              <w:start w:w="120" w:type="dxa"/>
              <w:end w:w="120" w:type="dxa"/>
            </w:tcMar>
          </w:tcPr>
          <w:p>
            <w:pPr>
              <w:spacing w:after="40"/>
            </w:pPr>
            <w:r>
              <w:rPr>
                <w:rFonts w:ascii="Calibri" w:hAnsi="Calibri"/>
                <w:b/>
                <w:sz w:val="19"/>
              </w:rPr>
              <w:t>Primary modules / artefacts</w:t>
            </w:r>
          </w:p>
        </w:tc>
        <w:tc>
          <w:tcPr>
            <w:tcW w:type="dxa" w:w="3024"/>
            <w:vAlign w:val="top"/>
            <w:shd w:fill="E8EEF5"/>
            <w:tcMar>
              <w:top w:w="80" w:type="dxa"/>
              <w:bottom w:w="80" w:type="dxa"/>
              <w:start w:w="120" w:type="dxa"/>
              <w:end w:w="120" w:type="dxa"/>
            </w:tcMar>
          </w:tcPr>
          <w:p>
            <w:pPr>
              <w:spacing w:after="40"/>
            </w:pPr>
            <w:r>
              <w:rPr>
                <w:rFonts w:ascii="Calibri" w:hAnsi="Calibri"/>
                <w:b/>
                <w:sz w:val="19"/>
              </w:rPr>
              <w:t>Current state</w:t>
            </w:r>
          </w:p>
        </w:tc>
      </w:tr>
      <w:tr>
        <w:tc>
          <w:tcPr>
            <w:tcW w:type="dxa" w:w="1800"/>
            <w:vAlign w:val="top"/>
            <w:tcMar>
              <w:top w:w="80" w:type="dxa"/>
              <w:bottom w:w="80" w:type="dxa"/>
              <w:start w:w="120" w:type="dxa"/>
              <w:end w:w="120" w:type="dxa"/>
            </w:tcMar>
          </w:tcPr>
          <w:p>
            <w:pPr>
              <w:spacing w:after="40"/>
            </w:pPr>
            <w:r>
              <w:rPr>
                <w:rFonts w:ascii="Calibri" w:hAnsi="Calibri"/>
                <w:b w:val="0"/>
                <w:sz w:val="19"/>
              </w:rPr>
              <w:t>F01–F14</w:t>
            </w:r>
          </w:p>
        </w:tc>
        <w:tc>
          <w:tcPr>
            <w:tcW w:type="dxa" w:w="4536"/>
            <w:vAlign w:val="top"/>
            <w:tcMar>
              <w:top w:w="80" w:type="dxa"/>
              <w:bottom w:w="80" w:type="dxa"/>
              <w:start w:w="120" w:type="dxa"/>
              <w:end w:w="120" w:type="dxa"/>
            </w:tcMar>
          </w:tcPr>
          <w:p>
            <w:pPr>
              <w:spacing w:after="40"/>
            </w:pPr>
            <w:r>
              <w:rPr>
                <w:rFonts w:ascii="Calibri" w:hAnsi="Calibri"/>
                <w:b w:val="0"/>
                <w:sz w:val="19"/>
              </w:rPr>
              <w:t>Node N01–N05; hub H01–H08; backend B01–B08; app A01–A05; S01–S03</w:t>
            </w:r>
          </w:p>
        </w:tc>
        <w:tc>
          <w:tcPr>
            <w:tcW w:type="dxa" w:w="3024"/>
            <w:vAlign w:val="top"/>
            <w:tcMar>
              <w:top w:w="80" w:type="dxa"/>
              <w:bottom w:w="80" w:type="dxa"/>
              <w:start w:w="120" w:type="dxa"/>
              <w:end w:w="120" w:type="dxa"/>
            </w:tcMar>
          </w:tcPr>
          <w:p>
            <w:r>
              <w:t>Host implementation materially validated in v1.5.4 plus the v3.4.2 PWA/BatteryAnalytics line. Current functional/HTTP/PWA coverage includes 92 canonical scenarios and the mandatory 22/22 desktop/mobile browser release gate. Physical/provider gates remain separate.</w:t>
            </w:r>
          </w:p>
        </w:tc>
      </w:tr>
      <w:tr>
        <w:tc>
          <w:tcPr>
            <w:tcW w:type="dxa" w:w="1800"/>
            <w:vAlign w:val="top"/>
            <w:tcMar>
              <w:top w:w="80" w:type="dxa"/>
              <w:bottom w:w="80" w:type="dxa"/>
              <w:start w:w="120" w:type="dxa"/>
              <w:end w:w="120" w:type="dxa"/>
            </w:tcMar>
          </w:tcPr>
          <w:p>
            <w:pPr>
              <w:spacing w:after="40"/>
            </w:pPr>
            <w:r>
              <w:rPr>
                <w:rFonts w:ascii="Calibri" w:hAnsi="Calibri"/>
                <w:b w:val="0"/>
                <w:sz w:val="19"/>
              </w:rPr>
              <w:t>E01–E10</w:t>
            </w:r>
          </w:p>
        </w:tc>
        <w:tc>
          <w:tcPr>
            <w:tcW w:type="dxa" w:w="4536"/>
            <w:vAlign w:val="top"/>
            <w:tcMar>
              <w:top w:w="80" w:type="dxa"/>
              <w:bottom w:w="80" w:type="dxa"/>
              <w:start w:w="120" w:type="dxa"/>
              <w:end w:w="120" w:type="dxa"/>
            </w:tcMar>
          </w:tcPr>
          <w:p>
            <w:pPr>
              <w:spacing w:after="40"/>
            </w:pPr>
            <w:r>
              <w:rPr>
                <w:rFonts w:ascii="Calibri" w:hAnsi="Calibri"/>
                <w:b w:val="0"/>
                <w:sz w:val="19"/>
              </w:rPr>
              <w:t>Firmware runtime, contracts, storage, security, operations</w:t>
            </w:r>
          </w:p>
        </w:tc>
        <w:tc>
          <w:tcPr>
            <w:tcW w:type="dxa" w:w="3024"/>
            <w:vAlign w:val="top"/>
            <w:tcMar>
              <w:top w:w="80" w:type="dxa"/>
              <w:bottom w:w="80" w:type="dxa"/>
              <w:start w:w="120" w:type="dxa"/>
              <w:end w:w="120" w:type="dxa"/>
            </w:tcMar>
          </w:tcPr>
          <w:p>
            <w:r>
              <w:t>Host contracts/rules/protocol/database/config/diagnostics, battery analytics and release framework are implemented/validated as documented. Persistent target runtime, production security deployment, real battery/RF/resource calibration and HIL measurements remain pending.</w:t>
            </w:r>
          </w:p>
        </w:tc>
      </w:tr>
      <w:tr>
        <w:tc>
          <w:tcPr>
            <w:tcW w:type="dxa" w:w="1800"/>
            <w:vAlign w:val="top"/>
            <w:tcMar>
              <w:top w:w="80" w:type="dxa"/>
              <w:bottom w:w="80" w:type="dxa"/>
              <w:start w:w="120" w:type="dxa"/>
              <w:end w:w="120" w:type="dxa"/>
            </w:tcMar>
          </w:tcPr>
          <w:p>
            <w:pPr>
              <w:spacing w:after="40"/>
            </w:pPr>
            <w:r>
              <w:rPr>
                <w:rFonts w:ascii="Calibri" w:hAnsi="Calibri"/>
                <w:b w:val="0"/>
                <w:sz w:val="19"/>
              </w:rPr>
              <w:t>Diagnostics</w:t>
            </w:r>
          </w:p>
        </w:tc>
        <w:tc>
          <w:tcPr>
            <w:tcW w:type="dxa" w:w="4536"/>
            <w:vAlign w:val="top"/>
            <w:tcMar>
              <w:top w:w="80" w:type="dxa"/>
              <w:bottom w:w="80" w:type="dxa"/>
              <w:start w:w="120" w:type="dxa"/>
              <w:end w:w="120" w:type="dxa"/>
            </w:tcMar>
          </w:tcPr>
          <w:p>
            <w:pPr>
              <w:spacing w:after="40"/>
            </w:pPr>
            <w:r>
              <w:rPr>
                <w:rFonts w:ascii="Calibri" w:hAnsi="Calibri"/>
                <w:b w:val="0"/>
                <w:sz w:val="19"/>
              </w:rPr>
              <w:t>shared logging, host sink, backend logging_config, app logging, log analyzer</w:t>
            </w:r>
          </w:p>
        </w:tc>
        <w:tc>
          <w:tcPr>
            <w:tcW w:type="dxa" w:w="3024"/>
            <w:vAlign w:val="top"/>
            <w:tcMar>
              <w:top w:w="80" w:type="dxa"/>
              <w:bottom w:w="80" w:type="dxa"/>
              <w:start w:w="120" w:type="dxa"/>
              <w:end w:w="120" w:type="dxa"/>
            </w:tcMar>
          </w:tcPr>
          <w:p>
            <w:r>
              <w:t>Implemented and host-verified in v1.5.4 corrected, including log analyzer, diagnostic codes, sanitizers and trace build; target panic/coredump/flash sink remains pending.</w:t>
            </w:r>
          </w:p>
        </w:tc>
      </w:tr>
      <w:tr>
        <w:tc>
          <w:tcPr>
            <w:tcW w:type="dxa" w:w="1800"/>
            <w:vAlign w:val="top"/>
            <w:tcMar>
              <w:top w:w="80" w:type="dxa"/>
              <w:bottom w:w="80" w:type="dxa"/>
              <w:start w:w="120" w:type="dxa"/>
              <w:end w:w="120" w:type="dxa"/>
            </w:tcMar>
          </w:tcPr>
          <w:p>
            <w:pPr>
              <w:spacing w:after="40"/>
            </w:pPr>
            <w:r>
              <w:rPr>
                <w:rFonts w:ascii="Calibri" w:hAnsi="Calibri"/>
                <w:b w:val="0"/>
                <w:sz w:val="19"/>
              </w:rPr>
              <w:t>Documents</w:t>
            </w:r>
          </w:p>
        </w:tc>
        <w:tc>
          <w:tcPr>
            <w:tcW w:type="dxa" w:w="4536"/>
            <w:vAlign w:val="top"/>
            <w:tcMar>
              <w:top w:w="80" w:type="dxa"/>
              <w:bottom w:w="80" w:type="dxa"/>
              <w:start w:w="120" w:type="dxa"/>
              <w:end w:w="120" w:type="dxa"/>
            </w:tcMar>
          </w:tcPr>
          <w:p>
            <w:r>
              <w:t>P0 requirements/design v2.2; SRD v2.3; validation framework/test register; current traceability tracker; updated LLD/UML/sequence/deployment artefacts maintained separately</w:t>
            </w:r>
          </w:p>
        </w:tc>
        <w:tc>
          <w:tcPr>
            <w:tcW w:type="dxa" w:w="3024"/>
            <w:vAlign w:val="top"/>
            <w:tcMar>
              <w:top w:w="80" w:type="dxa"/>
              <w:bottom w:w="80" w:type="dxa"/>
              <w:start w:w="120" w:type="dxa"/>
              <w:end w:w="120" w:type="dxa"/>
            </w:tcMar>
          </w:tcPr>
          <w:p>
            <w:r>
              <w:t>This SRD is the software requirement authority. Current implementation/test maturity is cross-checked against reference code 1.5.4 + PWA/BatteryAnalytics v3.4.2, the traceability tracker, validation framework and latest release evidence.</w:t>
            </w:r>
          </w:p>
        </w:tc>
      </w:tr>
    </w:tbl>
    <w:p>
      <w:pPr>
        <w:spacing w:after="40"/>
      </w:pPr>
    </w:p>
    <w:p>
      <w:pPr>
        <w:pStyle w:val="Heading1"/>
      </w:pPr>
      <w:r>
        <w:rPr>
          <w:color w:val="000000"/>
        </w:rPr>
        <w:t>12. P1/P2 enhancement boundary</w:t>
      </w:r>
    </w:p>
    <w:p>
      <w:r>
        <w:t>Potential future work includes temperature/humidity context experiments, smoke/fire-specific certified hardware, external-camera event adapters, additional routines, multilingual prerecorded prompts, optional professional response service, fall-detection research and carefully consented audio/AI features. Each requires a new threat, privacy, reliability, liability and acceptance review; none is implied by this SRD.</w:t>
      </w:r>
    </w:p>
    <w:p>
      <w:pPr>
        <w:pStyle w:val="Heading1"/>
      </w:pPr>
      <w:r>
        <w:rPr>
          <w:color w:val="000000"/>
        </w:rPr>
        <w:t>Appendix A. Glossary</w:t>
      </w:r>
    </w:p>
    <w:tbl>
      <w:tblPr>
        <w:tblW w:type="dxa" w:w="9360"/>
        <w:jc w:val="left"/>
        <w:tblLayout w:type="fixed"/>
        <w:tblLook w:firstColumn="1" w:firstRow="1" w:lastColumn="0" w:lastRow="0" w:noHBand="0" w:noVBand="1" w:val="04A0"/>
        <w:tblInd w:w="120" w:type="dxa"/>
      </w:tblPr>
      <w:tblGrid>
        <w:gridCol w:w="2232"/>
        <w:gridCol w:w="7128"/>
      </w:tblGrid>
      <w:tr>
        <w:tc>
          <w:tcPr>
            <w:tcW w:type="dxa" w:w="2232"/>
            <w:vAlign w:val="top"/>
            <w:shd w:fill="E8EEF5"/>
            <w:tcMar>
              <w:top w:w="80" w:type="dxa"/>
              <w:bottom w:w="80" w:type="dxa"/>
              <w:start w:w="120" w:type="dxa"/>
              <w:end w:w="120" w:type="dxa"/>
            </w:tcMar>
          </w:tcPr>
          <w:p>
            <w:pPr>
              <w:spacing w:after="40"/>
            </w:pPr>
            <w:r>
              <w:rPr>
                <w:rFonts w:ascii="Calibri" w:hAnsi="Calibri"/>
                <w:b/>
                <w:sz w:val="19"/>
              </w:rPr>
              <w:t>Term</w:t>
            </w:r>
          </w:p>
        </w:tc>
        <w:tc>
          <w:tcPr>
            <w:tcW w:type="dxa" w:w="7128"/>
            <w:vAlign w:val="top"/>
            <w:shd w:fill="E8EEF5"/>
            <w:tcMar>
              <w:top w:w="80" w:type="dxa"/>
              <w:bottom w:w="80" w:type="dxa"/>
              <w:start w:w="120" w:type="dxa"/>
              <w:end w:w="120" w:type="dxa"/>
            </w:tcMar>
          </w:tcPr>
          <w:p>
            <w:pPr>
              <w:spacing w:after="40"/>
            </w:pPr>
            <w:r>
              <w:rPr>
                <w:rFonts w:ascii="Calibri" w:hAnsi="Calibri"/>
                <w:b/>
                <w:sz w:val="19"/>
              </w:rPr>
              <w:t>Meaning</w:t>
            </w:r>
          </w:p>
        </w:tc>
      </w:tr>
      <w:tr>
        <w:tc>
          <w:tcPr>
            <w:tcW w:type="dxa" w:w="2232"/>
            <w:vAlign w:val="top"/>
            <w:tcMar>
              <w:top w:w="80" w:type="dxa"/>
              <w:bottom w:w="80" w:type="dxa"/>
              <w:start w:w="120" w:type="dxa"/>
              <w:end w:w="120" w:type="dxa"/>
            </w:tcMar>
          </w:tcPr>
          <w:p>
            <w:pPr>
              <w:spacing w:after="40"/>
            </w:pPr>
            <w:r>
              <w:rPr>
                <w:rFonts w:ascii="Calibri" w:hAnsi="Calibri"/>
                <w:b w:val="0"/>
                <w:sz w:val="19"/>
              </w:rPr>
              <w:t>Activity evidence</w:t>
            </w:r>
          </w:p>
        </w:tc>
        <w:tc>
          <w:tcPr>
            <w:tcW w:type="dxa" w:w="7128"/>
            <w:vAlign w:val="top"/>
            <w:tcMar>
              <w:top w:w="80" w:type="dxa"/>
              <w:bottom w:w="80" w:type="dxa"/>
              <w:start w:w="120" w:type="dxa"/>
              <w:end w:w="120" w:type="dxa"/>
            </w:tcMar>
          </w:tcPr>
          <w:p>
            <w:pPr>
              <w:spacing w:after="40"/>
            </w:pPr>
            <w:r>
              <w:rPr>
                <w:rFonts w:ascii="Calibri" w:hAnsi="Calibri"/>
                <w:b w:val="0"/>
                <w:sz w:val="19"/>
              </w:rPr>
              <w:t>A qualifying sensor event observed within a configured window; it is not a wellbeing conclusion.</w:t>
            </w:r>
          </w:p>
        </w:tc>
      </w:tr>
      <w:tr>
        <w:tc>
          <w:tcPr>
            <w:tcW w:type="dxa" w:w="2232"/>
            <w:vAlign w:val="top"/>
            <w:tcMar>
              <w:top w:w="80" w:type="dxa"/>
              <w:bottom w:w="80" w:type="dxa"/>
              <w:start w:w="120" w:type="dxa"/>
              <w:end w:w="120" w:type="dxa"/>
            </w:tcMar>
          </w:tcPr>
          <w:p>
            <w:pPr>
              <w:spacing w:after="40"/>
            </w:pPr>
            <w:r>
              <w:rPr>
                <w:rFonts w:ascii="Calibri" w:hAnsi="Calibri"/>
                <w:b w:val="0"/>
                <w:sz w:val="19"/>
              </w:rPr>
              <w:t>Coverage</w:t>
            </w:r>
          </w:p>
        </w:tc>
        <w:tc>
          <w:tcPr>
            <w:tcW w:type="dxa" w:w="7128"/>
            <w:vAlign w:val="top"/>
            <w:tcMar>
              <w:top w:w="80" w:type="dxa"/>
              <w:bottom w:w="80" w:type="dxa"/>
              <w:start w:w="120" w:type="dxa"/>
              <w:end w:w="120" w:type="dxa"/>
            </w:tcMar>
          </w:tcPr>
          <w:p>
            <w:pPr>
              <w:spacing w:after="40"/>
            </w:pPr>
            <w:r>
              <w:rPr>
                <w:rFonts w:ascii="Calibri" w:hAnsi="Calibri"/>
                <w:b w:val="0"/>
                <w:sz w:val="19"/>
              </w:rPr>
              <w:t>Whether configured sensors/hub/time are sufficiently reachable and valid to interpret absence.</w:t>
            </w:r>
          </w:p>
        </w:tc>
      </w:tr>
      <w:tr>
        <w:tc>
          <w:tcPr>
            <w:tcW w:type="dxa" w:w="2232"/>
            <w:vAlign w:val="top"/>
            <w:tcMar>
              <w:top w:w="80" w:type="dxa"/>
              <w:bottom w:w="80" w:type="dxa"/>
              <w:start w:w="120" w:type="dxa"/>
              <w:end w:w="120" w:type="dxa"/>
            </w:tcMar>
          </w:tcPr>
          <w:p>
            <w:pPr>
              <w:spacing w:after="40"/>
            </w:pPr>
            <w:r>
              <w:rPr>
                <w:rFonts w:ascii="Calibri" w:hAnsi="Calibri"/>
                <w:b w:val="0"/>
                <w:sz w:val="19"/>
              </w:rPr>
              <w:t>Durable ACK</w:t>
            </w:r>
          </w:p>
        </w:tc>
        <w:tc>
          <w:tcPr>
            <w:tcW w:type="dxa" w:w="7128"/>
            <w:vAlign w:val="top"/>
            <w:tcMar>
              <w:top w:w="80" w:type="dxa"/>
              <w:bottom w:w="80" w:type="dxa"/>
              <w:start w:w="120" w:type="dxa"/>
              <w:end w:w="120" w:type="dxa"/>
            </w:tcMar>
          </w:tcPr>
          <w:p>
            <w:pPr>
              <w:spacing w:after="40"/>
            </w:pPr>
            <w:r>
              <w:rPr>
                <w:rFonts w:ascii="Calibri" w:hAnsi="Calibri"/>
                <w:b w:val="0"/>
                <w:sz w:val="19"/>
              </w:rPr>
              <w:t>Application acknowledgement after the receiving state owner has committed an event.</w:t>
            </w:r>
          </w:p>
        </w:tc>
      </w:tr>
      <w:tr>
        <w:tc>
          <w:tcPr>
            <w:tcW w:type="dxa" w:w="2232"/>
            <w:vAlign w:val="top"/>
            <w:tcMar>
              <w:top w:w="80" w:type="dxa"/>
              <w:bottom w:w="80" w:type="dxa"/>
              <w:start w:w="120" w:type="dxa"/>
              <w:end w:w="120" w:type="dxa"/>
            </w:tcMar>
          </w:tcPr>
          <w:p>
            <w:pPr>
              <w:spacing w:after="40"/>
            </w:pPr>
            <w:r>
              <w:rPr>
                <w:rFonts w:ascii="Calibri" w:hAnsi="Calibri"/>
                <w:b w:val="0"/>
                <w:sz w:val="19"/>
              </w:rPr>
              <w:t>Grace interval</w:t>
            </w:r>
          </w:p>
        </w:tc>
        <w:tc>
          <w:tcPr>
            <w:tcW w:type="dxa" w:w="7128"/>
            <w:vAlign w:val="top"/>
            <w:tcMar>
              <w:top w:w="80" w:type="dxa"/>
              <w:bottom w:w="80" w:type="dxa"/>
              <w:start w:w="120" w:type="dxa"/>
              <w:end w:w="120" w:type="dxa"/>
            </w:tcMar>
          </w:tcPr>
          <w:p>
            <w:pPr>
              <w:spacing w:after="40"/>
            </w:pPr>
            <w:r>
              <w:rPr>
                <w:rFonts w:ascii="Calibri" w:hAnsi="Calibri"/>
                <w:b w:val="0"/>
                <w:sz w:val="19"/>
              </w:rPr>
              <w:t>Configured period after a routine deadline before absence handling is finalised.</w:t>
            </w:r>
          </w:p>
        </w:tc>
      </w:tr>
      <w:tr>
        <w:tc>
          <w:tcPr>
            <w:tcW w:type="dxa" w:w="2232"/>
            <w:vAlign w:val="top"/>
            <w:tcMar>
              <w:top w:w="80" w:type="dxa"/>
              <w:bottom w:w="80" w:type="dxa"/>
              <w:start w:w="120" w:type="dxa"/>
              <w:end w:w="120" w:type="dxa"/>
            </w:tcMar>
          </w:tcPr>
          <w:p>
            <w:r>
              <w:t>Internal privacy state</w:t>
            </w:r>
          </w:p>
        </w:tc>
        <w:tc>
          <w:tcPr>
            <w:tcW w:type="dxa" w:w="7128"/>
            <w:vAlign w:val="top"/>
            <w:tcMar>
              <w:top w:w="80" w:type="dxa"/>
              <w:bottom w:w="80" w:type="dxa"/>
              <w:start w:w="120" w:type="dxa"/>
              <w:end w:w="120" w:type="dxa"/>
            </w:tcMar>
          </w:tcPr>
          <w:p>
            <w:r>
              <w:t>System-enforced state entered after applied consent withdrawal; suppresses configured passive observation. It is not exposed as a normal resident/caregiver ON/OFF mode and requires deliberate valid re-consent to resume observation.</w:t>
            </w:r>
          </w:p>
        </w:tc>
      </w:tr>
      <w:tr>
        <w:tc>
          <w:tcPr>
            <w:tcW w:type="dxa" w:w="2232"/>
            <w:vAlign w:val="top"/>
            <w:tcMar>
              <w:top w:w="80" w:type="dxa"/>
              <w:bottom w:w="80" w:type="dxa"/>
              <w:start w:w="120" w:type="dxa"/>
              <w:end w:w="120" w:type="dxa"/>
            </w:tcMar>
          </w:tcPr>
          <w:p>
            <w:pPr>
              <w:spacing w:after="40"/>
            </w:pPr>
            <w:r>
              <w:rPr>
                <w:rFonts w:ascii="Calibri" w:hAnsi="Calibri"/>
                <w:b w:val="0"/>
                <w:sz w:val="19"/>
              </w:rPr>
              <w:t>P0</w:t>
            </w:r>
          </w:p>
        </w:tc>
        <w:tc>
          <w:tcPr>
            <w:tcW w:type="dxa" w:w="7128"/>
            <w:vAlign w:val="top"/>
            <w:tcMar>
              <w:top w:w="80" w:type="dxa"/>
              <w:bottom w:w="80" w:type="dxa"/>
              <w:start w:w="120" w:type="dxa"/>
              <w:end w:w="120" w:type="dxa"/>
            </w:tcMar>
          </w:tcPr>
          <w:p>
            <w:pPr>
              <w:spacing w:after="40"/>
            </w:pPr>
            <w:r>
              <w:rPr>
                <w:rFonts w:ascii="Calibri" w:hAnsi="Calibri"/>
                <w:b w:val="0"/>
                <w:sz w:val="19"/>
              </w:rPr>
              <w:t>First-launch requirements required for a trustworthy prototype/pilot; P1/P2 are excluded unless stated.</w:t>
            </w:r>
          </w:p>
        </w:tc>
      </w:tr>
      <w:tr>
        <w:tc>
          <w:tcPr>
            <w:tcW w:type="dxa" w:w="2232"/>
          </w:tcPr>
          <w:p>
            <w:r>
              <w:t>Care banner</w:t>
            </w:r>
          </w:p>
        </w:tc>
        <w:tc>
          <w:tcPr>
            <w:tcW w:type="dxa" w:w="7128"/>
          </w:tcPr>
          <w:p>
            <w:r>
              <w:t>Overall household-care status only. It may become red for a real care concern, but the specific reason belongs in the affected routine card.</w:t>
            </w:r>
          </w:p>
        </w:tc>
      </w:tr>
      <w:tr>
        <w:tc>
          <w:tcPr>
            <w:tcW w:type="dxa" w:w="2232"/>
          </w:tcPr>
          <w:p>
            <w:r>
              <w:t>Device Health</w:t>
            </w:r>
          </w:p>
        </w:tc>
        <w:tc>
          <w:tcPr>
            <w:tcW w:type="dxa" w:w="7128"/>
          </w:tcPr>
          <w:p>
            <w:r>
              <w:t>Technical node/hub state such as battery, drain, connectivity and faults. A device-health-only warning is not a resident-care alert.</w:t>
            </w:r>
          </w:p>
        </w:tc>
      </w:tr>
      <w:tr>
        <w:tc>
          <w:tcPr>
            <w:tcW w:type="dxa" w:w="2232"/>
          </w:tcPr>
          <w:p>
            <w:r>
              <w:t>Battery remaining-life estimate</w:t>
            </w:r>
          </w:p>
        </w:tc>
        <w:tc>
          <w:tcPr>
            <w:tcW w:type="dxa" w:w="7128"/>
          </w:tcPr>
          <w:p>
            <w:r>
              <w:t>Calculated estimate from state-of-charge, usable capacity, calibrated device power profile and recent consumption history; shown with confidence and not treated as a guaranteed runtime.</w:t>
            </w:r>
          </w:p>
        </w:tc>
      </w:tr>
      <w:tr>
        <w:tc>
          <w:tcPr>
            <w:tcW w:type="dxa" w:w="2232"/>
          </w:tcPr>
          <w:p>
            <w:r>
              <w:t>High drain</w:t>
            </w:r>
          </w:p>
        </w:tc>
        <w:tc>
          <w:tcPr>
            <w:tcW w:type="dxa" w:w="7128"/>
          </w:tcPr>
          <w:p>
            <w:r>
              <w:t>Recent estimated consumption materially above the device baseline/profile. It is a technical maintenance signal, not evidence of resident risk.</w:t>
            </w:r>
          </w:p>
        </w:tc>
      </w:tr>
    </w:tbl>
    <w:p>
      <w:pPr>
        <w:spacing w:after="40"/>
      </w:pPr>
    </w:p>
    <w:p>
      <w:pPr>
        <w:pStyle w:val="Heading1"/>
      </w:pPr>
      <w:r>
        <w:rPr>
          <w:color w:val="000000"/>
        </w:rPr>
        <w:t>Detailed requirement interpretation and acceptance examples</w:t>
      </w:r>
    </w:p>
    <w:p>
      <w:pPr>
        <w:pStyle w:val="Heading2"/>
      </w:pPr>
      <w:r>
        <w:rPr>
          <w:color w:val="000000"/>
        </w:rPr>
        <w:t>F01 Household profile and caregiver roles</w:t>
      </w:r>
    </w:p>
    <w:p>
      <w:r>
        <w:rPr>
          <w:b/>
        </w:rPr>
        <w:t>Meaning.</w:t>
      </w:r>
      <w:r>
        <w:rPr>
          <w:b w:val="0"/>
        </w:rPr>
        <w:t xml:space="preserve"> A household is the access boundary for every device, event and caregiver action. A resident is the person being observed; a caregiver is a person allowed to view or act on that household. These are different roles even when the same family member performs setup.</w:t>
      </w:r>
    </w:p>
    <w:p>
      <w:r>
        <w:rPr>
          <w:b/>
        </w:rPr>
        <w:t>Worked example.</w:t>
      </w:r>
      <w:r>
        <w:rPr>
          <w:b w:val="0"/>
        </w:rPr>
        <w:t xml:space="preserve"> For example, Rahul creates home H1 for two consenting residents and assigns two different caregiver accounts. An account belonging only to H2 must not read H1, even if it knows an H1 event identifier.</w:t>
      </w:r>
    </w:p>
    <w:p>
      <w:r>
        <w:rPr>
          <w:b/>
        </w:rPr>
        <w:t>Reference implementation boundary.</w:t>
      </w:r>
      <w:r>
        <w:rPr>
          <w:b w:val="0"/>
        </w:rPr>
        <w:t xml:space="preserve"> Python services and JavaScript form models exist. Production login, database transactions and complete resident-profile/consent evidence are not established by those tests. The local HTTP demo uses a development identity mechanism and must not be exposed as production authentication.</w:t>
      </w:r>
    </w:p>
    <w:p>
      <w:r>
        <w:rPr>
          <w:b/>
        </w:rPr>
        <w:t>Acceptance experiment.</w:t>
      </w:r>
      <w:r>
        <w:rPr>
          <w:b w:val="0"/>
        </w:rPr>
        <w:t xml:space="preserve"> Create a valid household, repeat the same creation request, try a missing-consent draft, assign the same primary and backup, and attempt cross-house access. Check both returned errors and stored membership records.</w:t>
      </w:r>
    </w:p>
    <w:p>
      <w:r>
        <w:rPr>
          <w:b/>
        </w:rPr>
        <w:t>Participants and traceability.</w:t>
      </w:r>
      <w:r>
        <w:rPr>
          <w:b w:val="0"/>
        </w:rPr>
        <w:t xml:space="preserve"> B01, B02, A01, S01. Source paths and test references are in the traceability register. See diagrams/sequences/png and diagrams/sequences/uml for the corresponding F01 flow.</w:t>
      </w:r>
    </w:p>
    <w:p>
      <w:pPr>
        <w:pStyle w:val="Heading2"/>
      </w:pPr>
      <w:r>
        <w:rPr>
          <w:color w:val="000000"/>
        </w:rPr>
        <w:t>F02 Resident consent and privacy controls</w:t>
      </w:r>
    </w:p>
    <w:p>
      <w:r>
        <w:rPr>
          <w:b/>
        </w:rPr>
        <w:t>Meaning.</w:t>
      </w:r>
      <w:r>
        <w:rPr>
          <w:b w:val="0"/>
        </w:rPr>
        <w:t xml:space="preserve"> Consent explains what is collected, why, who receives it and how to stop it. Consent withdrawal affects collection/processing, not merely presentation. Current P0 has no normal Privacy ON/OFF control; once withdrawal is applied, the system enters internal privacy enforcement, and observation resumes only after deliberate valid re-consent. AI consent is separate from motion-observation consent.</w:t>
      </w:r>
    </w:p>
    <w:p>
      <w:r>
        <w:rPr>
          <w:b/>
        </w:rPr>
        <w:t>Worked example.</w:t>
      </w:r>
      <w:r>
        <w:rPr>
          <w:b w:val="0"/>
        </w:rPr>
        <w:t xml:space="preserve"> A resident withdraws observation consent through the explicit workflow. The request is shown pending until the hub applies it; after applied acknowledgement the caregiver sees observation paused and later passive sensor events are not treated as ordinary monitored activity. A normal mode change cannot restore consent.</w:t>
      </w:r>
    </w:p>
    <w:p>
      <w:r>
        <w:rPr>
          <w:b/>
        </w:rPr>
        <w:t>Reference implementation boundary.</w:t>
      </w:r>
      <w:r>
        <w:rPr>
          <w:b w:val="0"/>
        </w:rPr>
        <w:t xml:space="preserve"> Backend consent/state mutation and hub passive-event gating are host-tested; the normal household Settings UI has no Privacy ON/OFF toggle. Production retention/deletion enforcement, physical sensor stop evidence and complete consent provenance remain deployment/HIL work.</w:t>
      </w:r>
    </w:p>
    <w:p>
      <w:r>
        <w:rPr>
          <w:b/>
        </w:rPr>
        <w:t>Acceptance experiment.</w:t>
      </w:r>
      <w:r>
        <w:rPr>
          <w:b w:val="0"/>
        </w:rPr>
        <w:t xml:space="preserve"> Submit authenticated withdrawal during an active routine; send passive events before/after applied acknowledgement; confirm pending versus applied state, suppression after apply, no false absence incident, no generic Privacy toggle and no resumption without deliberate re-consent.</w:t>
      </w:r>
    </w:p>
    <w:p>
      <w:r>
        <w:rPr>
          <w:b/>
        </w:rPr>
        <w:t>Participants and traceability.</w:t>
      </w:r>
      <w:r>
        <w:rPr>
          <w:b w:val="0"/>
        </w:rPr>
        <w:t xml:space="preserve"> B02, H06, H07, A01, B08. Source paths and test references are in the traceability register. See diagrams/sequences/png and diagrams/sequences/uml for the corresponding F02 flow.</w:t>
      </w:r>
    </w:p>
    <w:p>
      <w:pPr>
        <w:pStyle w:val="Heading2"/>
      </w:pPr>
      <w:r>
        <w:rPr>
          <w:color w:val="000000"/>
        </w:rPr>
        <w:t>F03 Kit provisioning and installation verification</w:t>
      </w:r>
    </w:p>
    <w:p>
      <w:r>
        <w:rPr>
          <w:b/>
        </w:rPr>
        <w:t>Meaning.</w:t>
      </w:r>
      <w:r>
        <w:rPr>
          <w:b w:val="0"/>
        </w:rPr>
        <w:t xml:space="preserve"> Provisioning binds the physical kit to the correct home and names the place each node observes. Installation verification proves that a connected device also detects the intended movement. A heartbeat alone cannot prove correct placement.</w:t>
      </w:r>
    </w:p>
    <w:p>
      <w:r>
        <w:rPr>
          <w:b/>
        </w:rPr>
        <w:t>Worked example.</w:t>
      </w:r>
      <w:r>
        <w:rPr>
          <w:b w:val="0"/>
        </w:rPr>
        <w:t xml:space="preserve"> NODE-KT is paired to H1 but its PIR faces a hot window. Radio tests may pass while the sensor produces misleading evidence. The installation checklist must therefore include both communications and a real walk test.</w:t>
      </w:r>
    </w:p>
    <w:p>
      <w:r>
        <w:rPr>
          <w:b/>
        </w:rPr>
        <w:t>Reference implementation boundary.</w:t>
      </w:r>
      <w:r>
        <w:rPr>
          <w:b w:val="0"/>
        </w:rPr>
        <w:t xml:space="preserve"> Configuration validators and checklist scaffolds exist. A secure claim service, ESP-NOW pairing, factory keys, serial provisioning and verified physical evidence do not yet exist as an integrated system.</w:t>
      </w:r>
    </w:p>
    <w:p>
      <w:r>
        <w:rPr>
          <w:b/>
        </w:rPr>
        <w:t>Acceptance experiment.</w:t>
      </w:r>
      <w:r>
        <w:rPr>
          <w:b w:val="0"/>
        </w:rPr>
        <w:t xml:space="preserve"> Reject duplicate node IDs and wrong-board configuration. Walk each intended path, disconnect one sensor, test every resident button and perform a real notification drill before enabling unattended alerts.</w:t>
      </w:r>
    </w:p>
    <w:p>
      <w:r>
        <w:rPr>
          <w:b/>
        </w:rPr>
        <w:t>Participants and traceability.</w:t>
      </w:r>
      <w:r>
        <w:rPr>
          <w:b w:val="0"/>
        </w:rPr>
        <w:t xml:space="preserve"> N04, H07, B06, A01, S03, T02. Source paths and test references are in the traceability register. See diagrams/sequences/png and diagrams/sequences/uml for the corresponding F03 flow.</w:t>
      </w:r>
    </w:p>
    <w:p>
      <w:pPr>
        <w:pStyle w:val="Heading2"/>
      </w:pPr>
      <w:r>
        <w:rPr>
          <w:color w:val="000000"/>
        </w:rPr>
        <w:t>F04 Configurable morning routine</w:t>
      </w:r>
    </w:p>
    <w:p>
      <w:r>
        <w:rPr>
          <w:b/>
        </w:rPr>
        <w:t>Meaning.</w:t>
      </w:r>
      <w:r>
        <w:rPr>
          <w:b w:val="0"/>
        </w:rPr>
        <w:t xml:space="preserve"> A morning routine is a configured interval and a rule for interpreting household evidence. It is not a prediction of when a particular parent must wake. The same daily schedule can be adjusted after a shadow trial.</w:t>
      </w:r>
    </w:p>
    <w:p>
      <w:r>
        <w:rPr>
          <w:b/>
        </w:rPr>
        <w:t>Worked example.</w:t>
      </w:r>
      <w:r>
        <w:rPr>
          <w:b w:val="0"/>
        </w:rPr>
        <w:t xml:space="preserve"> For illustration, watch from 05:30 to 10:00 and finish the grace period at 10:10. These are editable trial values. A configuration saved on the phone at 09:00 is still pending until the hub reports the applied version.</w:t>
      </w:r>
    </w:p>
    <w:p>
      <w:r>
        <w:rPr>
          <w:b/>
        </w:rPr>
        <w:t>Reference implementation boundary.</w:t>
      </w:r>
      <w:r>
        <w:rPr>
          <w:b w:val="0"/>
        </w:rPr>
        <w:t xml:space="preserve"> Device Schedules, the backend config API and C++ HomeConfig/RulesCore carry the expanded versioned activity_rules end-to-end: quiet hours, door-left-open, daytime inactivity, morning sequence locations/window, night window/location/visit thresholds/merge interval and post-door inactivity. The low-battery alert threshold is also configurable at household level. The editor now has explicit scheduleEditorOpen lifecycle state, so background polling can continue without rebuilding the form; save refreshes the editor from backend-confirmed values. Functional and browser tests prove changed settings alter behavior. Production local-date scheduling, durable atomic device-side persistence and applied-version recovery still require target integration. Current implementation detail to review before physical release: a later configured bedroom event can restart the in-progress morning sequence; this is documented behavior, not silently assumed final policy.</w:t>
      </w:r>
    </w:p>
    <w:p>
      <w:r>
        <w:rPr>
          <w:b/>
        </w:rPr>
        <w:t>Acceptance experiment.</w:t>
      </w:r>
      <w:r>
        <w:rPr>
          <w:b w:val="0"/>
        </w:rPr>
        <w:t xml:space="preserve"> Apply/reject config versions; change quiet-hours, door-open, daytime, morning-sequence, night and post-door values; reload Device Schedules; verify desired/applied version and changed rule timing. Verify morning order/location/window, night threshold equality/exceedance and visit merging, and post-door motion cancellation.</w:t>
      </w:r>
    </w:p>
    <w:p>
      <w:r>
        <w:rPr>
          <w:b/>
        </w:rPr>
        <w:t>Participants and traceability.</w:t>
      </w:r>
      <w:r>
        <w:rPr>
          <w:b w:val="0"/>
        </w:rPr>
        <w:t xml:space="preserve"> A03, B06, H07, H03, H05, S02. Source paths and test references are in the traceability register. See diagrams/sequences/png and diagrams/sequences/uml for the corresponding F04 flow.</w:t>
      </w:r>
    </w:p>
    <w:p>
      <w:pPr>
        <w:pStyle w:val="Heading2"/>
      </w:pPr>
      <w:r>
        <w:rPr>
          <w:color w:val="000000"/>
        </w:rPr>
        <w:t>F05 Morning activity evidence</w:t>
      </w:r>
    </w:p>
    <w:p>
      <w:r>
        <w:rPr>
          <w:b/>
        </w:rPr>
        <w:t>Meaning.</w:t>
      </w:r>
      <w:r>
        <w:rPr>
          <w:b w:val="0"/>
        </w:rPr>
        <w:t xml:space="preserve"> Activity evidence is a qualified motion or permitted door event within the configured window. It shows that movement was observed somewhere eligible. It does not identify mother or father and does not establish that either person is well.</w:t>
      </w:r>
    </w:p>
    <w:p>
      <w:r>
        <w:rPr>
          <w:b/>
        </w:rPr>
        <w:t>Worked example.</w:t>
      </w:r>
      <w:r>
        <w:rPr>
          <w:b w:val="0"/>
        </w:rPr>
        <w:t xml:space="preserve"> Mother enters the pooja area while father stays in Room 2. The household has activity evidence, but the system cannot conclude that father moved. Sitting still for fifteen minutes can produce no additional PIR edges.</w:t>
      </w:r>
    </w:p>
    <w:p>
      <w:r>
        <w:rPr>
          <w:b/>
        </w:rPr>
        <w:t>Reference implementation boundary.</w:t>
      </w:r>
      <w:r>
        <w:rPr>
          <w:b w:val="0"/>
        </w:rPr>
        <w:t xml:space="preserve"> Generic activity remains household-level evidence. The implemented morning sequence is explicit configuration rather than learned behavior: configured bedroom motion starts it; configured bathroom and kitchen motion may then occur in either order within the applied sequence window; both are required before MORNING_ROUTINE_COMPLETED is emitted. Activity before the bedroom start does not satisfy the current sequence. Current implementation can restart an in-progress sequence on another configured-bedroom event, which remains an explicit design-review item. Person-specific inference remains outside P0.</w:t>
      </w:r>
    </w:p>
    <w:p>
      <w:r>
        <w:rPr>
          <w:b/>
        </w:rPr>
        <w:t>Acceptance experiment.</w:t>
      </w:r>
      <w:r>
        <w:rPr>
          <w:b w:val="0"/>
        </w:rPr>
        <w:t xml:space="preserve"> Replay allowed/disallowed locations, test events, out-of-window events and duplicate event IDs. Check household wording and separate coverage. A new replay test must expose duplicate evidence IDs rather than assuming journal deduplication protects the reducer.</w:t>
      </w:r>
    </w:p>
    <w:p>
      <w:r>
        <w:rPr>
          <w:b/>
        </w:rPr>
        <w:t>Participants and traceability.</w:t>
      </w:r>
      <w:r>
        <w:rPr>
          <w:b w:val="0"/>
        </w:rPr>
        <w:t xml:space="preserve"> N01, H01, H02, H05, S02, B07, A02. Source paths and test references are in the traceability register. See diagrams/sequences/png and diagrams/sequences/uml for the corresponding F05 flow.</w:t>
      </w:r>
    </w:p>
    <w:p>
      <w:pPr>
        <w:pStyle w:val="Heading2"/>
      </w:pPr>
      <w:r>
        <w:rPr>
          <w:color w:val="000000"/>
        </w:rPr>
        <w:t>F06 Explicit I’m OK check-in</w:t>
      </w:r>
    </w:p>
    <w:p>
      <w:r>
        <w:rPr>
          <w:b/>
        </w:rPr>
        <w:t>Meaning.</w:t>
      </w:r>
      <w:r>
        <w:rPr>
          <w:b w:val="0"/>
        </w:rPr>
        <w:t xml:space="preserve"> An explicit I am OK action is a resident statement recorded separately from passive motion. It should be possible without a phone and should give immediate, understandable local feedback.</w:t>
      </w:r>
    </w:p>
    <w:p>
      <w:r>
        <w:rPr>
          <w:b/>
        </w:rPr>
        <w:t>Worked example.</w:t>
      </w:r>
      <w:r>
        <w:rPr>
          <w:b w:val="0"/>
        </w:rPr>
        <w:t xml:space="preserve"> A parent wakes late and presses OK. The display may say that the check-in was saved locally; if the internet is down it must not say the family has already received it.</w:t>
      </w:r>
    </w:p>
    <w:p>
      <w:r>
        <w:rPr>
          <w:b/>
        </w:rPr>
        <w:t>Reference implementation boundary.</w:t>
      </w:r>
      <w:r>
        <w:rPr>
          <w:b w:val="0"/>
        </w:rPr>
        <w:t xml:space="preserve"> Connected host simulation now carries I am OK through event -&gt; hub/backend projection and validates it as a distinct positive self-check-in with elapsed age in the PWA. If Call Family was raised first, a later I am OK remains a separate chronological event and does not silently resolve the request. Physical button debounce, local display/buzzer timing and the &lt;500 ms feedback target still require hardware measurement.</w:t>
      </w:r>
    </w:p>
    <w:p>
      <w:r>
        <w:rPr>
          <w:b/>
        </w:rPr>
        <w:t>Acceptance experiment.</w:t>
      </w:r>
      <w:r>
        <w:rPr>
          <w:b w:val="0"/>
        </w:rPr>
        <w:t xml:space="preserve"> Test press, bounce, held button, WAN outage and reboot between save and send. Measure the 500 ms local confirmation target on hardware. Verify that a caregiver acknowledgement cannot masquerade as resident OK.</w:t>
      </w:r>
    </w:p>
    <w:p>
      <w:r>
        <w:rPr>
          <w:b/>
        </w:rPr>
        <w:t>Participants and traceability.</w:t>
      </w:r>
      <w:r>
        <w:rPr>
          <w:b w:val="0"/>
        </w:rPr>
        <w:t xml:space="preserve"> H06, H02, H05, S02, B07, A02. Source paths and test references are in the traceability register. See diagrams/sequences/png and diagrams/sequences/uml for the corresponding F06 flow.</w:t>
      </w:r>
    </w:p>
    <w:p>
      <w:pPr>
        <w:pStyle w:val="Heading2"/>
      </w:pPr>
      <w:r>
        <w:rPr>
          <w:color w:val="000000"/>
        </w:rPr>
        <w:t>F07 Call family request</w:t>
      </w:r>
    </w:p>
    <w:p>
      <w:r>
        <w:rPr>
          <w:b/>
        </w:rPr>
        <w:t>Meaning.</w:t>
      </w:r>
      <w:r>
        <w:rPr>
          <w:b w:val="0"/>
        </w:rPr>
        <w:t xml:space="preserve"> Call family means the resident is requesting human contact. It is separate from missing routine evidence, carries higher routing importance and must not wait for the next morning deadline.</w:t>
      </w:r>
    </w:p>
    <w:p>
      <w:r>
        <w:rPr>
          <w:b/>
        </w:rPr>
        <w:t>Worked example.</w:t>
      </w:r>
      <w:r>
        <w:rPr>
          <w:b w:val="0"/>
        </w:rPr>
        <w:t xml:space="preserve"> At 15:00, father presses Call family while the internet is unavailable. The local response should explain that the request is saved and remote contact is unavailable, rather than implying someone is on the way.</w:t>
      </w:r>
    </w:p>
    <w:p>
      <w:r>
        <w:rPr>
          <w:b/>
        </w:rPr>
        <w:t>Reference implementation boundary.</w:t>
      </w:r>
      <w:r>
        <w:rPr>
          <w:b w:val="0"/>
        </w:rPr>
        <w:t xml:space="preserve"> The connected simulator/backend validates Call Family incident creation, primary/backup notification jobs, WAN replay and chronology with later I am OK/activity. A later positive check-in does not silently remove the open family-contact request. Physical button behavior and real provider delivery remain pending; this is not automatic emergency dispatch.</w:t>
      </w:r>
    </w:p>
    <w:p>
      <w:r>
        <w:rPr>
          <w:b/>
        </w:rPr>
        <w:t>Acceptance experiment.</w:t>
      </w:r>
      <w:r>
        <w:rPr>
          <w:b w:val="0"/>
        </w:rPr>
        <w:t xml:space="preserve"> Send the same request twice and verify one incident and one job per recipient/stage. Exercise WAN loss, reboot, provider rejection and a caregiver acknowledgement that cancels pending backup routing.</w:t>
      </w:r>
    </w:p>
    <w:p>
      <w:r>
        <w:rPr>
          <w:b/>
        </w:rPr>
        <w:t>Participants and traceability.</w:t>
      </w:r>
      <w:r>
        <w:rPr>
          <w:b w:val="0"/>
        </w:rPr>
        <w:t xml:space="preserve"> H06, H02, H05, B04, B05, A04. Source paths and test references are in the traceability register. See diagrams/sequences/png and diagrams/sequences/uml for the corresponding F07 flow.</w:t>
      </w:r>
    </w:p>
    <w:p>
      <w:pPr>
        <w:pStyle w:val="Heading2"/>
      </w:pPr>
      <w:r>
        <w:rPr>
          <w:color w:val="000000"/>
        </w:rPr>
        <w:t>F08 Missing morning activity workflow</w:t>
      </w:r>
    </w:p>
    <w:p>
      <w:r>
        <w:rPr>
          <w:b/>
        </w:rPr>
        <w:t>Meaning.</w:t>
      </w:r>
      <w:r>
        <w:rPr>
          <w:b w:val="0"/>
        </w:rPr>
        <w:t xml:space="preserve"> Missing activity is meaningful only when the system had a usable opportunity to observe it. An unknown sensor, an untrusted clock or an intentional pause must not become a resident-risk assertion.</w:t>
      </w:r>
    </w:p>
    <w:p>
      <w:r>
        <w:rPr>
          <w:b/>
        </w:rPr>
        <w:t>Worked example.</w:t>
      </w:r>
      <w:r>
        <w:rPr>
          <w:b w:val="0"/>
        </w:rPr>
        <w:t xml:space="preserve"> At 10:10 there is no qualifying event. If required nodes are healthy and time is trusted, create one missing-morning intent. If NODE-KT is offline, show coverage unavailable instead. Neither outcome proves a medical emergency.</w:t>
      </w:r>
    </w:p>
    <w:p>
      <w:r>
        <w:rPr>
          <w:b/>
        </w:rPr>
        <w:t>Reference implementation boundary.</w:t>
      </w:r>
      <w:r>
        <w:rPr>
          <w:b w:val="0"/>
        </w:rPr>
        <w:t xml:space="preserve"> The connected simulator exercises missing-morning decisions from the C++ RulesCore through backend incident/routing and PWA read models. v3.3.2 separates morning routine pending/not completed yet from a true MISSING_MORNING_ACTIVITY concern; pending state alone leaves the overall care banner normal. After a true concern, later activity is appended chronologically without hiding the earlier event. Full local prompt/grace orchestration and complete full-window historical coverage remain open production gaps.</w:t>
      </w:r>
    </w:p>
    <w:p>
      <w:r>
        <w:rPr>
          <w:b/>
        </w:rPr>
        <w:t>Acceptance experiment.</w:t>
      </w:r>
      <w:r>
        <w:rPr>
          <w:b w:val="0"/>
        </w:rPr>
        <w:t xml:space="preserve"> Run covered quiet, evidence present, node missing, clock invalid, applied consent withdrawal, away, visitor and repeated-deadline cases. After a missing-morning concern, inject later activity and confirm the concern stays in history while subsequent activity appears chronologically.</w:t>
      </w:r>
    </w:p>
    <w:p>
      <w:r>
        <w:rPr>
          <w:b/>
        </w:rPr>
        <w:t>Participants and traceability.</w:t>
      </w:r>
      <w:r>
        <w:rPr>
          <w:b w:val="0"/>
        </w:rPr>
        <w:t xml:space="preserve"> H03, H04, H05, S02, B04, B05. Source paths and test references are in the traceability register. See diagrams/sequences/png and diagrams/sequences/uml for the corresponding F08 flow.</w:t>
      </w:r>
    </w:p>
    <w:p>
      <w:pPr>
        <w:pStyle w:val="Heading2"/>
      </w:pPr>
      <w:r>
        <w:rPr>
          <w:color w:val="000000"/>
        </w:rPr>
        <w:t>F09 Main-door history and quiet notice</w:t>
      </w:r>
    </w:p>
    <w:p>
      <w:r>
        <w:rPr>
          <w:b/>
        </w:rPr>
        <w:t>Meaning.</w:t>
      </w:r>
      <w:r>
        <w:rPr>
          <w:b w:val="0"/>
        </w:rPr>
        <w:t xml:space="preserve"> A reed contact reports that a door opened or closed. One contact or one PIR cannot determine who crossed the door or in which direction. A quiet-hour notice is an optional explanatory advisory, not an intrusion conclusion.</w:t>
      </w:r>
    </w:p>
    <w:p>
      <w:r>
        <w:rPr>
          <w:b/>
        </w:rPr>
        <w:t>Worked example.</w:t>
      </w:r>
      <w:r>
        <w:rPr>
          <w:b w:val="0"/>
        </w:rPr>
        <w:t xml:space="preserve"> The main door opens at 22:00. A caregiver may see a door event if permitted, but the product must not say that a parent left home or that a stranger entered.</w:t>
      </w:r>
    </w:p>
    <w:p>
      <w:r>
        <w:rPr>
          <w:b/>
        </w:rPr>
        <w:t>Reference implementation boundary.</w:t>
      </w:r>
      <w:r>
        <w:rPr>
          <w:b w:val="0"/>
        </w:rPr>
        <w:t xml:space="preserve"> Quiet-hours, door-left-open and post-door-inactivity decisions now execute in the C++ RulesCore using applied household policy. Door concerns are routed into backend/read models and the PWA; qualifying indoor motion cancels post-door inactivity. Real reed hardware, field timing and production notification delivery remain pending.</w:t>
      </w:r>
    </w:p>
    <w:p>
      <w:r>
        <w:rPr>
          <w:b/>
        </w:rPr>
        <w:t>Acceptance experiment.</w:t>
      </w:r>
      <w:r>
        <w:rPr>
          <w:b w:val="0"/>
        </w:rPr>
        <w:t xml:space="preserve"> Test bounce, initial open state, repeat delivery, quiet policy off, policy boundary and test-tagged data. Inspect the notice label for direction or identity claims.</w:t>
      </w:r>
    </w:p>
    <w:p>
      <w:r>
        <w:rPr>
          <w:b/>
        </w:rPr>
        <w:t>Participants and traceability.</w:t>
      </w:r>
      <w:r>
        <w:rPr>
          <w:b w:val="0"/>
        </w:rPr>
        <w:t xml:space="preserve"> N01, H05, S02, B07, B05, A02. Source paths and test references are in the traceability register. See diagrams/sequences/png and diagrams/sequences/uml for the corresponding F09 flow.</w:t>
      </w:r>
    </w:p>
    <w:p>
      <w:pPr>
        <w:pStyle w:val="Heading2"/>
      </w:pPr>
      <w:r>
        <w:rPr>
          <w:color w:val="000000"/>
        </w:rPr>
        <w:t>F10 Away, pause and visitor modes</w:t>
      </w:r>
    </w:p>
    <w:p>
      <w:r>
        <w:rPr>
          <w:b/>
        </w:rPr>
        <w:t>Meaning.</w:t>
      </w:r>
      <w:r>
        <w:rPr>
          <w:b w:val="0"/>
        </w:rPr>
        <w:t xml:space="preserve"> Modes explain why routine interpretation changes. HOME/ACTIVE, AWAY, PAUSED and VISITOR are user-selectable states. Consent withdrawal/internal privacy enforcement is a separate F02 state, not a normal mode toggle.</w:t>
      </w:r>
    </w:p>
    <w:p>
      <w:r>
        <w:rPr>
          <w:b/>
        </w:rPr>
        <w:t>Worked example.</w:t>
      </w:r>
      <w:r>
        <w:rPr>
          <w:b w:val="0"/>
        </w:rPr>
        <w:t xml:space="preserve"> Both parents go out and set AWAY. The deadline should not generate a missing-morning incident. A visitor moving in the kitchen must not be presented as proof of either parent moving.</w:t>
      </w:r>
    </w:p>
    <w:p>
      <w:r>
        <w:rPr>
          <w:b/>
        </w:rPr>
        <w:t>Reference implementation boundary.</w:t>
      </w:r>
      <w:r>
        <w:rPr>
          <w:b w:val="0"/>
        </w:rPr>
        <w:t xml:space="preserve"> The reducer suppresses absence unless mode is Home. Visitor can collect evidence but still suppresses deadline creation. Device propagation, audit detail and recovery of effective mode need integrated validation.</w:t>
      </w:r>
    </w:p>
    <w:p>
      <w:r>
        <w:rPr>
          <w:b/>
        </w:rPr>
        <w:t>Acceptance experiment.</w:t>
      </w:r>
      <w:r>
        <w:rPr>
          <w:b w:val="0"/>
        </w:rPr>
        <w:t xml:space="preserve"> Change each mode before, during and after a window; repeat an old command and reboot. Confirm that collection policy, absence eligibility and displayed mode agree.</w:t>
      </w:r>
    </w:p>
    <w:p>
      <w:r>
        <w:rPr>
          <w:b/>
        </w:rPr>
        <w:t>Participants and traceability.</w:t>
      </w:r>
      <w:r>
        <w:rPr>
          <w:b w:val="0"/>
        </w:rPr>
        <w:t xml:space="preserve"> A03, B02, H07, H06, H05, S02. Source paths and test references are in the traceability register. See diagrams/sequences/png and diagrams/sequences/uml for the corresponding F10 flow.</w:t>
      </w:r>
    </w:p>
    <w:p>
      <w:pPr>
        <w:pStyle w:val="Heading2"/>
      </w:pPr>
      <w:r>
        <w:rPr>
          <w:color w:val="000000"/>
        </w:rPr>
        <w:t>F11 Caregiver dashboard and timeline</w:t>
      </w:r>
    </w:p>
    <w:p>
      <w:r>
        <w:rPr>
          <w:b/>
        </w:rPr>
        <w:t>Meaning.</w:t>
      </w:r>
      <w:r>
        <w:rPr>
          <w:b w:val="0"/>
        </w:rPr>
        <w:t xml:space="preserve"> The dashboard is an explanation of observations and service condition. Last movement, resident OK, sensor availability, hub connectivity and an open family request are separate facts.</w:t>
      </w:r>
    </w:p>
    <w:p>
      <w:r>
        <w:rPr>
          <w:b/>
        </w:rPr>
        <w:t>Worked example.</w:t>
      </w:r>
      <w:r>
        <w:rPr>
          <w:b w:val="0"/>
        </w:rPr>
        <w:t xml:space="preserve"> A screen may legitimately show activity at 08:10 and hub offline since 08:30. Hiding either fact would mislead the caregiver. Never turn an old cached card into a green live-status indicator.</w:t>
      </w:r>
    </w:p>
    <w:p>
      <w:r>
        <w:rPr>
          <w:b/>
        </w:rPr>
        <w:t>Reference implementation boundary.</w:t>
      </w:r>
      <w:r>
        <w:rPr>
          <w:b w:val="0"/>
        </w:rPr>
        <w:t xml:space="preserve"> The PWA is connected to backend read models and has a validation panel plus versioned Device Schedules. Its overall banner is generic household-care status only; routine-specific detail belongs to cards ordered Morning Routine, I am OK, Main Door, Night Activity, Device Health. v3.3.3 fixes the polling/editor race with explicit editor lifecycle state; v3.3.4/v3.3.5 align the final card/banner hierarchy and regression tests; v3.4.x adds battery analytics under Device Health. Validation cleanup restores Reset/PASS after synthetic runs. The current native-WSL mandatory Playwright gate passes 22/22 desktop/mobile checks.</w:t>
      </w:r>
    </w:p>
    <w:p>
      <w:r>
        <w:rPr>
          <w:b/>
        </w:rPr>
        <w:t>Acceptance experiment.</w:t>
      </w:r>
      <w:r>
        <w:rPr>
          <w:b w:val="0"/>
        </w:rPr>
        <w:t xml:space="preserve"> Load fresh, stale, never-seen and disconnected snapshots; change phone time; try H2 credentials for H1; verify labels remain understandable on a small mobile screen. Exercise true missing-morning, post-door inactivity, night-bathroom/common-room and door-left-open concerns: the overall banner stays generic while the affected routine card carries the specific reason. Inject low-battery/high-drain states and verify only Device Health changes. Keep the Device Schedules editor open longer than a polling cycle and save a changed threshold.</w:t>
      </w:r>
    </w:p>
    <w:p>
      <w:r>
        <w:rPr>
          <w:b/>
        </w:rPr>
        <w:t>Participants and traceability.</w:t>
      </w:r>
      <w:r>
        <w:rPr>
          <w:b w:val="0"/>
        </w:rPr>
        <w:t xml:space="preserve"> B07, B08, A02, A05. Source paths and test references are in the traceability register. See diagrams/sequences/png and diagrams/sequences/uml for the corresponding F11 flow.</w:t>
      </w:r>
    </w:p>
    <w:p>
      <w:pPr>
        <w:pStyle w:val="Heading2"/>
      </w:pPr>
      <w:r>
        <w:rPr>
          <w:color w:val="000000"/>
        </w:rPr>
        <w:t>F12 Acknowledgement and resolution</w:t>
      </w:r>
    </w:p>
    <w:p>
      <w:r>
        <w:rPr>
          <w:b/>
        </w:rPr>
        <w:t>Meaning.</w:t>
      </w:r>
      <w:r>
        <w:rPr>
          <w:b w:val="0"/>
        </w:rPr>
        <w:t xml:space="preserve"> Claim means one caregiver is taking responsibility for following up. Acknowledge means a human has seen and accepted the request. Resolve means the follow-up is deliberately closed. None is the same as provider delivery.</w:t>
      </w:r>
    </w:p>
    <w:p>
      <w:r>
        <w:rPr>
          <w:b/>
        </w:rPr>
        <w:t>Worked example.</w:t>
      </w:r>
      <w:r>
        <w:rPr>
          <w:b w:val="0"/>
        </w:rPr>
        <w:t xml:space="preserve"> Rahul claims an incident for five minutes. A second caregiver tries to claim during that lease and sees a conflict. After the lease expires, the backup may take over. A resident OK remains a separate recorded action.</w:t>
      </w:r>
    </w:p>
    <w:p>
      <w:r>
        <w:rPr>
          <w:b/>
        </w:rPr>
        <w:t>Reference implementation boundary.</w:t>
      </w:r>
      <w:r>
        <w:rPr>
          <w:b w:val="0"/>
        </w:rPr>
        <w:t xml:space="preserve"> Claim/acknowledge/resolve methods exist. The present permission check uses read access for mutation and needs a stricter production action policy. Unable-to-reach/handoff and atomic database concurrency are not complete.</w:t>
      </w:r>
    </w:p>
    <w:p>
      <w:r>
        <w:rPr>
          <w:b/>
        </w:rPr>
        <w:t>Acceptance experiment.</w:t>
      </w:r>
      <w:r>
        <w:rPr>
          <w:b w:val="0"/>
        </w:rPr>
        <w:t xml:space="preserve"> Race two claims, expire a lease, try cross-house access, repeat acknowledgement and resolve a closed incident. Verify authorised action permissions and notification cancellation in a transaction-level test.</w:t>
      </w:r>
    </w:p>
    <w:p>
      <w:r>
        <w:rPr>
          <w:b/>
        </w:rPr>
        <w:t>Participants and traceability.</w:t>
      </w:r>
      <w:r>
        <w:rPr>
          <w:b w:val="0"/>
        </w:rPr>
        <w:t xml:space="preserve"> B04, B07, B05, A04, H08. Source paths and test references are in the traceability register. See diagrams/sequences/png and diagrams/sequences/uml for the corresponding F12 flow.</w:t>
      </w:r>
    </w:p>
    <w:p>
      <w:pPr>
        <w:pStyle w:val="Heading2"/>
      </w:pPr>
      <w:r>
        <w:rPr>
          <w:color w:val="000000"/>
        </w:rPr>
        <w:t>F13 Backup routing and delivery visibility</w:t>
      </w:r>
    </w:p>
    <w:p>
      <w:r>
        <w:rPr>
          <w:b/>
        </w:rPr>
        <w:t>Meaning.</w:t>
      </w:r>
      <w:r>
        <w:rPr>
          <w:b w:val="0"/>
        </w:rPr>
        <w:t xml:space="preserve"> Routing is the plan for contacting primary and backup caregivers and reporting what actually happened. A push or SMS provider accepting a request is not evidence that a human read it.</w:t>
      </w:r>
    </w:p>
    <w:p>
      <w:r>
        <w:rPr>
          <w:b/>
        </w:rPr>
        <w:t>Worked example.</w:t>
      </w:r>
      <w:r>
        <w:rPr>
          <w:b w:val="0"/>
        </w:rPr>
        <w:t xml:space="preserve"> The primary receives a job at 10:10. With no human acknowledgement, a backup job becomes due at 10:15 using the reference five-minute delay. If the primary acknowledges at 10:13, an unsent backup job should be cancelled.</w:t>
      </w:r>
    </w:p>
    <w:p>
      <w:r>
        <w:rPr>
          <w:b/>
        </w:rPr>
        <w:t>Reference implementation boundary.</w:t>
      </w:r>
      <w:r>
        <w:rPr>
          <w:b w:val="0"/>
        </w:rPr>
        <w:t xml:space="preserve"> Scheduling and delivery-state helpers exist in memory. Real providers, durable worker claims, retry after FAILED, receipt callbacks, rate limits and route-exhaustion handling need implementation.</w:t>
      </w:r>
    </w:p>
    <w:p>
      <w:r>
        <w:rPr>
          <w:b/>
        </w:rPr>
        <w:t>Acceptance experiment.</w:t>
      </w:r>
      <w:r>
        <w:rPr>
          <w:b w:val="0"/>
        </w:rPr>
        <w:t xml:space="preserve"> Use a fake provider that accepts, rejects and times out. Crash a worker after sending but before saving the result. Verify idempotency and clear uncertain-delivery status instead of claiming guaranteed exactly-once notification.</w:t>
      </w:r>
    </w:p>
    <w:p>
      <w:r>
        <w:rPr>
          <w:b/>
        </w:rPr>
        <w:t>Participants and traceability.</w:t>
      </w:r>
      <w:r>
        <w:rPr>
          <w:b w:val="0"/>
        </w:rPr>
        <w:t xml:space="preserve"> B05, B04, B08, A04, A05. Source paths and test references are in the traceability register. See diagrams/sequences/png and diagrams/sequences/uml for the corresponding F13 flow.</w:t>
      </w:r>
    </w:p>
    <w:p>
      <w:pPr>
        <w:pStyle w:val="Heading2"/>
      </w:pPr>
      <w:r>
        <w:rPr>
          <w:color w:val="000000"/>
        </w:rPr>
        <w:t>F14 Opt-in daily morning summary</w:t>
      </w:r>
    </w:p>
    <w:p>
      <w:r>
        <w:rPr>
          <w:b/>
        </w:rPr>
        <w:t>Meaning.</w:t>
      </w:r>
      <w:r>
        <w:rPr>
          <w:b w:val="0"/>
        </w:rPr>
        <w:t xml:space="preserve"> A daily summary is an optional recap after the window, not another urgent alert. It should include the evidence and its limits, the active mode and unresolved requests.</w:t>
      </w:r>
    </w:p>
    <w:p>
      <w:r>
        <w:rPr>
          <w:b/>
        </w:rPr>
        <w:t>Worked example.</w:t>
      </w:r>
      <w:r>
        <w:rPr>
          <w:b w:val="0"/>
        </w:rPr>
        <w:t xml:space="preserve"> A caregiver opts in to one morning summary. A day with an offline kitchen node should say observation incomplete. An older event from yesterday must not cause today to be reported as active.</w:t>
      </w:r>
    </w:p>
    <w:p>
      <w:r>
        <w:rPr>
          <w:b/>
        </w:rPr>
        <w:t>Reference implementation boundary.</w:t>
      </w:r>
      <w:r>
        <w:rPr>
          <w:b w:val="0"/>
        </w:rPr>
        <w:t xml:space="preserve"> The current helper scans all retained home events instead of filtering the requested local date/window. It also relies on caller-supplied flags and does not itself enforce consent. It is a host scaffold, not a ready scheduled report.</w:t>
      </w:r>
    </w:p>
    <w:p>
      <w:r>
        <w:rPr>
          <w:b/>
        </w:rPr>
        <w:t>Acceptance experiment.</w:t>
      </w:r>
      <w:r>
        <w:rPr>
          <w:b w:val="0"/>
        </w:rPr>
        <w:t xml:space="preserve"> Test no opt-in, no consent, events only from yesterday, partial coverage, repeated scheduling and policy change on the same date. Decide whether a policy revision should update or resend before implementing production routing.</w:t>
      </w:r>
    </w:p>
    <w:p>
      <w:r>
        <w:rPr>
          <w:b/>
        </w:rPr>
        <w:t>Participants and traceability.</w:t>
      </w:r>
      <w:r>
        <w:rPr>
          <w:b w:val="0"/>
        </w:rPr>
        <w:t xml:space="preserve"> B05, B07, A03, A02. Source paths and test references are in the traceability register. See diagrams/sequences/png and diagrams/sequences/uml for the corresponding F14 flow.</w:t>
      </w:r>
    </w:p>
    <w:p>
      <w:pPr>
        <w:pStyle w:val="Heading2"/>
      </w:pPr>
      <w:r>
        <w:rPr>
          <w:color w:val="000000"/>
        </w:rPr>
        <w:t>E01 Node health, battery and coverage</w:t>
      </w:r>
    </w:p>
    <w:p>
      <w:r>
        <w:rPr>
          <w:b/>
        </w:rPr>
        <w:t>Meaning.</w:t>
      </w:r>
      <w:r>
        <w:rPr>
          <w:b w:val="0"/>
        </w:rPr>
        <w:t xml:space="preserve"> Health telemetry tells whether the device and observation path can be trusted. It must not be mixed with resident activity. A responsive MCU can still have a disconnected or poorly aimed sensor.</w:t>
      </w:r>
    </w:p>
    <w:p>
      <w:r>
        <w:rPr>
          <w:b/>
        </w:rPr>
        <w:t>Worked example.</w:t>
      </w:r>
      <w:r>
        <w:rPr>
          <w:b w:val="0"/>
        </w:rPr>
        <w:t xml:space="preserve"> NODE-B1 sends heartbeats but its PIR wire is disconnected. The future fault/status model must be able to show sensor unavailable while radio connectivity remains good.</w:t>
      </w:r>
    </w:p>
    <w:p>
      <w:r>
        <w:rPr>
          <w:b/>
        </w:rPr>
        <w:t>Reference implementation boundary.</w:t>
      </w:r>
      <w:r>
        <w:rPr>
          <w:b w:val="0"/>
        </w:rPr>
        <w:t xml:space="preserve"> The host default is a 60-second heartbeat configuration and a 190-second hub lease. v3.4.0 adds optional NodeMessage power counters and backend BatteryAnalyticsService behavior: non-linear voltage-to-SOC conversion, calibrated energy estimate, historical mAh/day, remaining usable life, LOW/MEDIUM/HIGH confidence, high-drain detection and counter-reset/reboot safety. The PWA exposes percentage, mV, estimated time left, mAh/day, confidence, wakeups/day, RF retries/day and drain state. Device-health battery/drain conditions never change the care banner. Real current/ADC/cell-capacity calibration remains mandatory for field accuracy.</w:t>
      </w:r>
    </w:p>
    <w:p>
      <w:r>
        <w:rPr>
          <w:b/>
        </w:rPr>
        <w:t>Acceptance experiment.</w:t>
      </w:r>
      <w:r>
        <w:rPr>
          <w:b w:val="0"/>
        </w:rPr>
        <w:t xml:space="preserve"> Test never-seen, fresh, expired, explicit sensor fault and invalid/un-calibrated voltage. Replay normal battery history, abnormal high drain, low reserve, counter reset/reboot and invalid power telemetry. Verify prediction confidence and care-banner isolation. On hardware, measure deep-sleep, awake, sensor-active, radio-TX/RX and regulator current plus usable cell capacity; compare predicted versus measured runtime before freezing a commercial profile.</w:t>
      </w:r>
    </w:p>
    <w:p>
      <w:r>
        <w:rPr>
          <w:b/>
        </w:rPr>
        <w:t>Participants and traceability.</w:t>
      </w:r>
      <w:r>
        <w:rPr>
          <w:b w:val="0"/>
        </w:rPr>
        <w:t xml:space="preserve"> N03, N02, H04, B08, A02. Source paths and test references are in the traceability register. See diagrams/sequences/png and diagrams/sequences/uml for the corresponding E01 flow.</w:t>
      </w:r>
    </w:p>
    <w:p>
      <w:pPr>
        <w:pStyle w:val="Heading2"/>
      </w:pPr>
      <w:r>
        <w:rPr>
          <w:color w:val="000000"/>
        </w:rPr>
        <w:t>E02 Reliable transport and duplicate handling</w:t>
      </w:r>
    </w:p>
    <w:p>
      <w:r>
        <w:rPr>
          <w:b/>
        </w:rPr>
        <w:t>Meaning.</w:t>
      </w:r>
      <w:r>
        <w:rPr>
          <w:b w:val="0"/>
        </w:rPr>
        <w:t xml:space="preserve"> Reliable transport means retries do not create new business events and a sender does not delete evidence merely because a radio packet was received. Application acknowledgement and transport success are different layers.</w:t>
      </w:r>
    </w:p>
    <w:p>
      <w:r>
        <w:rPr>
          <w:b/>
        </w:rPr>
        <w:t>Worked example.</w:t>
      </w:r>
      <w:r>
        <w:rPr>
          <w:b w:val="0"/>
        </w:rPr>
        <w:t xml:space="preserve"> The hub stores an event but its ACK is lost. The node retries the same source/session/sequence. The hub recognises the event and returns the appropriate acknowledgement without creating a second backend incident.</w:t>
      </w:r>
    </w:p>
    <w:p>
      <w:r>
        <w:rPr>
          <w:b/>
        </w:rPr>
        <w:t>Reference implementation boundary.</w:t>
      </w:r>
      <w:r>
        <w:rPr>
          <w:b w:val="0"/>
        </w:rPr>
        <w:t xml:space="preserve"> In-memory retention and ACK semantics exist; encrypted radio, authenticated sessions across reboot and real durable flash do not. HubRuntime currently reapplies duplicates to the reducer, so effect-level deduplication is an explicit gap.</w:t>
      </w:r>
    </w:p>
    <w:p>
      <w:r>
        <w:rPr>
          <w:b/>
        </w:rPr>
        <w:t>Acceptance experiment.</w:t>
      </w:r>
      <w:r>
        <w:rPr>
          <w:b w:val="0"/>
        </w:rPr>
        <w:t xml:space="preserve"> Inject lost packet, lost ACK, duplicate packet, reordered packet, peer mismatch and receiver-full conditions. Examine both event counts and side effects such as evidence IDs and notification jobs.</w:t>
      </w:r>
    </w:p>
    <w:p>
      <w:r>
        <w:rPr>
          <w:b/>
        </w:rPr>
        <w:t>Participants and traceability.</w:t>
      </w:r>
      <w:r>
        <w:rPr>
          <w:b w:val="0"/>
        </w:rPr>
        <w:t xml:space="preserve"> N02, N05, H01, H02, H08, B03, S01. Source paths and test references are in the traceability register. See diagrams/sequences/png and diagrams/sequences/uml for the corresponding E02 flow.</w:t>
      </w:r>
    </w:p>
    <w:p>
      <w:pPr>
        <w:pStyle w:val="Heading2"/>
      </w:pPr>
      <w:r>
        <w:rPr>
          <w:color w:val="000000"/>
        </w:rPr>
        <w:t>E03 Local operation during internet failure</w:t>
      </w:r>
    </w:p>
    <w:p>
      <w:r>
        <w:rPr>
          <w:b/>
        </w:rPr>
        <w:t>Meaning.</w:t>
      </w:r>
      <w:r>
        <w:rPr>
          <w:b w:val="0"/>
        </w:rPr>
        <w:t xml:space="preserve"> Offline operation means the home can continue supported local work when the wide-area internet is unavailable. It does not mean a remote caregiver can receive a new alert without any working outbound connection.</w:t>
      </w:r>
    </w:p>
    <w:p>
      <w:r>
        <w:rPr>
          <w:b/>
        </w:rPr>
        <w:t>Worked example.</w:t>
      </w:r>
      <w:r>
        <w:rPr>
          <w:b w:val="0"/>
        </w:rPr>
        <w:t xml:space="preserve"> The internet cable fails while the router and hub still have power. Local sensor events can continue in the target design; remote notifications are queued. If the router itself loses power, radio/channel recovery needs separate testing.</w:t>
      </w:r>
    </w:p>
    <w:p>
      <w:r>
        <w:rPr>
          <w:b/>
        </w:rPr>
        <w:t>Reference implementation boundary.</w:t>
      </w:r>
      <w:r>
        <w:rPr>
          <w:b w:val="0"/>
        </w:rPr>
        <w:t xml:space="preserve"> Host components can simulate disconnection and replay. Real flash, ESP-NOW/Wi-Fi coexistence, channel changes and local UI integration remain open. The home router needs its own power backup for remote access during mains loss.</w:t>
      </w:r>
    </w:p>
    <w:p>
      <w:r>
        <w:rPr>
          <w:b/>
        </w:rPr>
        <w:t>Acceptance experiment.</w:t>
      </w:r>
      <w:r>
        <w:rPr>
          <w:b w:val="0"/>
        </w:rPr>
        <w:t xml:space="preserve"> Separate WAN cut, router off, hub reboot and node off. Check the correct status for each, and verify replay without erasing the observation gap.</w:t>
      </w:r>
    </w:p>
    <w:p>
      <w:r>
        <w:rPr>
          <w:b/>
        </w:rPr>
        <w:t>Participants and traceability.</w:t>
      </w:r>
      <w:r>
        <w:rPr>
          <w:b w:val="0"/>
        </w:rPr>
        <w:t xml:space="preserve"> H03, H04, H05, H06, H02, H08. Source paths and test references are in the traceability register. See diagrams/sequences/png and diagrams/sequences/uml for the corresponding E03 flow.</w:t>
      </w:r>
    </w:p>
    <w:p>
      <w:pPr>
        <w:pStyle w:val="Heading2"/>
      </w:pPr>
      <w:r>
        <w:rPr>
          <w:color w:val="000000"/>
        </w:rPr>
        <w:t>E04 Hub/cloud/app connectivity and freshness</w:t>
      </w:r>
    </w:p>
    <w:p>
      <w:r>
        <w:rPr>
          <w:b/>
        </w:rPr>
        <w:t>Meaning.</w:t>
      </w:r>
      <w:r>
        <w:rPr>
          <w:b w:val="0"/>
        </w:rPr>
        <w:t xml:space="preserve"> Freshness is about when a fact was last observed at a specific boundary. Node-to-hub, hub-to-server, server-to-provider and phone-to-server each need their own status.</w:t>
      </w:r>
    </w:p>
    <w:p>
      <w:r>
        <w:rPr>
          <w:b/>
        </w:rPr>
        <w:t>Worked example.</w:t>
      </w:r>
      <w:r>
        <w:rPr>
          <w:b w:val="0"/>
        </w:rPr>
        <w:t xml:space="preserve"> The phone is offline but the hub and server are communicating. A cached dashboard should say its view is stale, rather than label the household sensor network offline.</w:t>
      </w:r>
    </w:p>
    <w:p>
      <w:r>
        <w:rPr>
          <w:b/>
        </w:rPr>
        <w:t>Reference implementation boundary.</w:t>
      </w:r>
      <w:r>
        <w:rPr>
          <w:b w:val="0"/>
        </w:rPr>
        <w:t xml:space="preserve"> Independent host representations exist. Production heartbeats, authenticated timestamps, streaming refresh and durable stale-state recovery require integration.</w:t>
      </w:r>
    </w:p>
    <w:p>
      <w:r>
        <w:rPr>
          <w:b/>
        </w:rPr>
        <w:t>Acceptance experiment.</w:t>
      </w:r>
      <w:r>
        <w:rPr>
          <w:b w:val="0"/>
        </w:rPr>
        <w:t xml:space="preserve"> Break one boundary at a time and verify that the other statuses remain correct. Confirm that broker retained online state is not used as the sole liveness proof.</w:t>
      </w:r>
    </w:p>
    <w:p>
      <w:r>
        <w:rPr>
          <w:b/>
        </w:rPr>
        <w:t>Participants and traceability.</w:t>
      </w:r>
      <w:r>
        <w:rPr>
          <w:b w:val="0"/>
        </w:rPr>
        <w:t xml:space="preserve"> H08, B08, B07, A05, A02. Source paths and test references are in the traceability register. See diagrams/sequences/png and diagrams/sequences/uml for the corresponding E04 flow.</w:t>
      </w:r>
    </w:p>
    <w:p>
      <w:pPr>
        <w:pStyle w:val="Heading2"/>
      </w:pPr>
      <w:r>
        <w:rPr>
          <w:color w:val="000000"/>
        </w:rPr>
        <w:t>E05 Persistence, recovery and bounded storage</w:t>
      </w:r>
    </w:p>
    <w:p>
      <w:r>
        <w:rPr>
          <w:b/>
        </w:rPr>
        <w:t>Meaning.</w:t>
      </w:r>
      <w:r>
        <w:rPr>
          <w:b w:val="0"/>
        </w:rPr>
        <w:t xml:space="preserve"> Persistence must survive the failure it claims to tolerate. A C++ deque or Python dictionary is useful for testing order and identity, but loses all content when the process stops.</w:t>
      </w:r>
    </w:p>
    <w:p>
      <w:r>
        <w:rPr>
          <w:b/>
        </w:rPr>
        <w:t>Worked example.</w:t>
      </w:r>
      <w:r>
        <w:rPr>
          <w:b w:val="0"/>
        </w:rPr>
        <w:t xml:space="preserve"> Power fails after flash data bytes are written but before a commit marker. Recovery must ignore the incomplete tail, preserve earlier records and avoid acknowledging an event that was never durably committed.</w:t>
      </w:r>
    </w:p>
    <w:p>
      <w:r>
        <w:rPr>
          <w:b/>
        </w:rPr>
        <w:t>Reference implementation boundary.</w:t>
      </w:r>
      <w:r>
        <w:rPr>
          <w:b w:val="0"/>
        </w:rPr>
        <w:t xml:space="preserve"> Reference stores are in memory. HubJournal marks cloud acknowledgements but does not reclaim records; NodeRuntime can leave a stored item stranded if radio enqueue fails. A refill/recovery pump, flash adapter and bounded evidence collection are pending.</w:t>
      </w:r>
    </w:p>
    <w:p>
      <w:r>
        <w:rPr>
          <w:b/>
        </w:rPr>
        <w:t>Acceptance experiment.</w:t>
      </w:r>
      <w:r>
        <w:rPr>
          <w:b w:val="0"/>
        </w:rPr>
        <w:t xml:space="preserve"> Test full capacity, interruption at each commit step, reboot before ACK, compaction and offline retention exhaustion. Require an explicit gap/fault outcome when evidence cannot be retained.</w:t>
      </w:r>
    </w:p>
    <w:p>
      <w:r>
        <w:rPr>
          <w:b/>
        </w:rPr>
        <w:t>Participants and traceability.</w:t>
      </w:r>
      <w:r>
        <w:rPr>
          <w:b w:val="0"/>
        </w:rPr>
        <w:t xml:space="preserve"> N05, H02, B03, B04, B05, B08. Source paths and test references are in the traceability register. See diagrams/sequences/png and diagrams/sequences/uml for the corresponding E05 flow.</w:t>
      </w:r>
    </w:p>
    <w:p>
      <w:pPr>
        <w:pStyle w:val="Heading2"/>
      </w:pPr>
      <w:r>
        <w:rPr>
          <w:color w:val="000000"/>
        </w:rPr>
        <w:t>E06 Trusted time and boundary handling</w:t>
      </w:r>
    </w:p>
    <w:p>
      <w:r>
        <w:rPr>
          <w:b/>
        </w:rPr>
        <w:t>Meaning.</w:t>
      </w:r>
      <w:r>
        <w:rPr>
          <w:b w:val="0"/>
        </w:rPr>
        <w:t xml:space="preserve"> Monotonic time measures elapsed duration; wall time identifies a local morning. Clock uncertainty expresses how much the timestamp could be wrong. Use the appropriate clock for each decision.</w:t>
      </w:r>
    </w:p>
    <w:p>
      <w:r>
        <w:rPr>
          <w:b/>
        </w:rPr>
        <w:t>Worked example.</w:t>
      </w:r>
      <w:r>
        <w:rPr>
          <w:b w:val="0"/>
        </w:rPr>
        <w:t xml:space="preserve"> A restarted hub has no trusted wall-clock anchor. It can respond to a button but must not infer that the 10:10 absence deadline has safely passed. A model timeout still uses monotonic elapsed milliseconds.</w:t>
      </w:r>
    </w:p>
    <w:p>
      <w:r>
        <w:rPr>
          <w:b/>
        </w:rPr>
        <w:t>Reference implementation boundary.</w:t>
      </w:r>
      <w:r>
        <w:rPr>
          <w:b w:val="0"/>
        </w:rPr>
        <w:t xml:space="preserve"> Host estimates exist, including a 72-hour anchor expiry. Production authenticated time acquisition, reboot checkpoints, timezone conversion and overflow/range validation are pending.</w:t>
      </w:r>
    </w:p>
    <w:p>
      <w:r>
        <w:rPr>
          <w:b/>
        </w:rPr>
        <w:t>Acceptance experiment.</w:t>
      </w:r>
      <w:r>
        <w:rPr>
          <w:b w:val="0"/>
        </w:rPr>
        <w:t xml:space="preserve"> Test missing anchor, stale anchor, clock rollback, uncertainty straddling a boundary and daylight-saving dates for non-India homes. Keep absolute timestamps and elapsed timer tests separate.</w:t>
      </w:r>
    </w:p>
    <w:p>
      <w:r>
        <w:rPr>
          <w:b/>
        </w:rPr>
        <w:t>Participants and traceability.</w:t>
      </w:r>
      <w:r>
        <w:rPr>
          <w:b w:val="0"/>
        </w:rPr>
        <w:t xml:space="preserve"> H03, H07, H05, S01, S02. Source paths and test references are in the traceability register. See diagrams/sequences/png and diagrams/sequences/uml for the corresponding E06 flow.</w:t>
      </w:r>
    </w:p>
    <w:p>
      <w:pPr>
        <w:pStyle w:val="Heading2"/>
      </w:pPr>
      <w:r>
        <w:rPr>
          <w:color w:val="000000"/>
        </w:rPr>
        <w:t>E07 Versioned configuration and atomic application</w:t>
      </w:r>
    </w:p>
    <w:p>
      <w:r>
        <w:rPr>
          <w:b/>
        </w:rPr>
        <w:t>Meaning.</w:t>
      </w:r>
      <w:r>
        <w:rPr>
          <w:b w:val="0"/>
        </w:rPr>
        <w:t xml:space="preserve"> Desired configuration is what the caregiver requested; applied configuration is what the device accepted. Keeping both prevents a phone from showing a change that never reached the home.</w:t>
      </w:r>
    </w:p>
    <w:p>
      <w:r>
        <w:rPr>
          <w:b/>
        </w:rPr>
        <w:t>Worked example.</w:t>
      </w:r>
      <w:r>
        <w:rPr>
          <w:b w:val="0"/>
        </w:rPr>
        <w:t xml:space="preserve"> The server publishes version 8 while the hub is offline on version 7. The dashboard shows pending 8 and applied 7. A later delayed version 6 is rejected without replacing version 7.</w:t>
      </w:r>
    </w:p>
    <w:p>
      <w:r>
        <w:rPr>
          <w:b/>
        </w:rPr>
        <w:t>Reference implementation boundary.</w:t>
      </w:r>
      <w:r>
        <w:rPr>
          <w:b w:val="0"/>
        </w:rPr>
        <w:t xml:space="preserve"> The versioned config path carries and validates the expanded household activity policy through Device Schedules -&gt; backend -&gt; HomeConfig/RulesCore, including the household low-battery warning threshold. Stale/invalid settings are rejected, browser tests keep the editor open through polling cycles, and host scenarios prove behavior changes only after accepted configuration. Device electrical power-profile/capacity calibration is intentionally engineering-owned rather than a normal family schedule setting. Durable authenticated target-side atomic persistence, expiry and full wrong-target enforcement remain target integration work.</w:t>
      </w:r>
    </w:p>
    <w:p>
      <w:r>
        <w:rPr>
          <w:b/>
        </w:rPr>
        <w:t>Acceptance experiment.</w:t>
      </w:r>
      <w:r>
        <w:rPr>
          <w:b w:val="0"/>
        </w:rPr>
        <w:t xml:space="preserve"> Reorder versions, duplicate the newest, corrupt one field and power-cycle during application. Verify that the active snapshot is entirely old or entirely new.</w:t>
      </w:r>
    </w:p>
    <w:p>
      <w:r>
        <w:rPr>
          <w:b/>
        </w:rPr>
        <w:t>Participants and traceability.</w:t>
      </w:r>
      <w:r>
        <w:rPr>
          <w:b w:val="0"/>
        </w:rPr>
        <w:t xml:space="preserve"> B06, A03, H07, N04, H08, S01. Source paths and test references are in the traceability register. See diagrams/sequences/png and diagrams/sequences/uml for the corresponding E07 flow.</w:t>
      </w:r>
    </w:p>
    <w:p>
      <w:pPr>
        <w:pStyle w:val="Heading2"/>
      </w:pPr>
      <w:r>
        <w:rPr>
          <w:color w:val="000000"/>
        </w:rPr>
        <w:t>E08 Security, privacy and tenant isolation</w:t>
      </w:r>
    </w:p>
    <w:p>
      <w:r>
        <w:rPr>
          <w:b/>
        </w:rPr>
        <w:t>Meaning.</w:t>
      </w:r>
      <w:r>
        <w:rPr>
          <w:b w:val="0"/>
        </w:rPr>
        <w:t xml:space="preserve"> Security is enforced at the boundary that owns the data or action. A hidden button, a MAC allow-list or a capability flag cannot replace authentication and authorisation.</w:t>
      </w:r>
    </w:p>
    <w:p>
      <w:r>
        <w:rPr>
          <w:b/>
        </w:rPr>
        <w:t>Worked example.</w:t>
      </w:r>
      <w:r>
        <w:rPr>
          <w:b w:val="0"/>
        </w:rPr>
        <w:t xml:space="preserve"> A person changes a home_id in an HTTP request. B01 must deny access before returning data. A node replaying another session must be rejected before changing the hub state.</w:t>
      </w:r>
    </w:p>
    <w:p>
      <w:r>
        <w:rPr>
          <w:b/>
        </w:rPr>
        <w:t>Reference implementation boundary.</w:t>
      </w:r>
      <w:r>
        <w:rPr>
          <w:b w:val="0"/>
        </w:rPr>
        <w:t xml:space="preserve"> Policies and negative host tests exist. TLS, OIDC, ESP-NOW key handling, secure boot, production token validation and strict mutation roles are not complete. Development HTTP headers are not authentication.</w:t>
      </w:r>
    </w:p>
    <w:p>
      <w:r>
        <w:rPr>
          <w:b/>
        </w:rPr>
        <w:t>Acceptance experiment.</w:t>
      </w:r>
      <w:r>
        <w:rPr>
          <w:b w:val="0"/>
        </w:rPr>
        <w:t xml:space="preserve"> Run cross-tenant read/write, revoked credential, wrong session and invalid signature cases. Inspect the deployed endpoints and logs; do not infer security from class names or a mock signature verifier.</w:t>
      </w:r>
    </w:p>
    <w:p>
      <w:r>
        <w:rPr>
          <w:b/>
        </w:rPr>
        <w:t>Participants and traceability.</w:t>
      </w:r>
      <w:r>
        <w:rPr>
          <w:b w:val="0"/>
        </w:rPr>
        <w:t xml:space="preserve"> S03, B01, B02, B06, B08, A05, T01. Source paths and test references are in the traceability register. See diagrams/sequences/png and diagrams/sequences/uml for the corresponding E08 flow.</w:t>
      </w:r>
    </w:p>
    <w:p>
      <w:pPr>
        <w:pStyle w:val="Heading2"/>
      </w:pPr>
      <w:r>
        <w:rPr>
          <w:color w:val="000000"/>
        </w:rPr>
        <w:t>E09 Signed firmware update and recovery</w:t>
      </w:r>
    </w:p>
    <w:p>
      <w:r>
        <w:rPr>
          <w:b/>
        </w:rPr>
        <w:t>Meaning.</w:t>
      </w:r>
      <w:r>
        <w:rPr>
          <w:b w:val="0"/>
        </w:rPr>
        <w:t xml:space="preserve"> OTA is a controlled update with authenticity checks and a recoverable boot path. Version comparison alone does not establish that a firmware image is genuine or healthy.</w:t>
      </w:r>
    </w:p>
    <w:p>
      <w:r>
        <w:rPr>
          <w:b/>
        </w:rPr>
        <w:t>Worked example.</w:t>
      </w:r>
      <w:r>
        <w:rPr>
          <w:b w:val="0"/>
        </w:rPr>
        <w:t xml:space="preserve"> An image signed for a different board arrives. Reject it even if its version is newer. If a valid image boots but repeatedly fails health checks, the target boot strategy must restore the prior working image.</w:t>
      </w:r>
    </w:p>
    <w:p>
      <w:r>
        <w:rPr>
          <w:b/>
        </w:rPr>
        <w:t>Reference implementation boundary.</w:t>
      </w:r>
      <w:r>
        <w:rPr>
          <w:b w:val="0"/>
        </w:rPr>
        <w:t xml:space="preserve"> The current code validates manifest metadata through a testable seam. Image download, real hash/signature verification, flash partitions, bootloader rollback, watchdog and signed fleet rollout are pending.</w:t>
      </w:r>
    </w:p>
    <w:p>
      <w:r>
        <w:rPr>
          <w:b/>
        </w:rPr>
        <w:t>Acceptance experiment.</w:t>
      </w:r>
      <w:r>
        <w:rPr>
          <w:b w:val="0"/>
        </w:rPr>
        <w:t xml:space="preserve"> Test wrong board, stale version, bad hash text and rejected signature on host. Later interrupt download/write/first boot on hardware and demonstrate recovery before a field update.</w:t>
      </w:r>
    </w:p>
    <w:p>
      <w:r>
        <w:rPr>
          <w:b/>
        </w:rPr>
        <w:t>Participants and traceability.</w:t>
      </w:r>
      <w:r>
        <w:rPr>
          <w:b w:val="0"/>
        </w:rPr>
        <w:t xml:space="preserve"> S03, H07, N04, B06, B08, T02. Source paths and test references are in the traceability register. See diagrams/sequences/png and diagrams/sequences/uml for the corresponding E09 flow.</w:t>
      </w:r>
    </w:p>
    <w:p>
      <w:pPr>
        <w:pStyle w:val="Heading2"/>
      </w:pPr>
      <w:r>
        <w:rPr>
          <w:color w:val="000000"/>
        </w:rPr>
        <w:t>E10 Verification, observability and release evidence</w:t>
      </w:r>
    </w:p>
    <w:p>
      <w:r>
        <w:rPr>
          <w:b/>
        </w:rPr>
        <w:t>Meaning.</w:t>
      </w:r>
      <w:r>
        <w:rPr>
          <w:b w:val="0"/>
        </w:rPr>
        <w:t xml:space="preserve"> Observability lets an engineer explain where a flow stopped without collecting unnecessary household information. A useful log identifies the module and failure boundary; a green test report identifies exactly what was tested.</w:t>
      </w:r>
    </w:p>
    <w:p>
      <w:r>
        <w:rPr>
          <w:b/>
        </w:rPr>
        <w:t>Worked example.</w:t>
      </w:r>
      <w:r>
        <w:rPr>
          <w:b w:val="0"/>
        </w:rPr>
        <w:t xml:space="preserve"> A Call family request does not appear on the phone. Follow the same event through node retention, hub commit, cloud replay, backend incident, notification job and app freshness. Do not start by assuming a sensor failure.</w:t>
      </w:r>
    </w:p>
    <w:p>
      <w:r>
        <w:rPr>
          <w:b/>
        </w:rPr>
        <w:t>Reference implementation boundary.</w:t>
      </w:r>
      <w:r>
        <w:rPr>
          <w:b w:val="0"/>
        </w:rPr>
        <w:t xml:space="preserve"> The logging/diagnostic seam remains bounded and host-testable, and the final release framework now gates the 92-case functional catalog, PWA bridge/API/frontend semantics, legacy browser E2E and a mandatory 22-test Playwright/Chromium desktop/mobile suite. The validated native-WSL release run passes all of those software gates together with C++ sanitizer/trace profiles. Target crash/panic/coredump/resource evidence remains HIL work; host logs, simulators and browser automation do not replace physical acceptance.</w:t>
      </w:r>
    </w:p>
    <w:p>
      <w:r>
        <w:rPr>
          <w:b/>
        </w:rPr>
        <w:t>Acceptance experiment.</w:t>
      </w:r>
      <w:r>
        <w:rPr>
          <w:b w:val="0"/>
        </w:rPr>
        <w:t xml:space="preserve"> Inject queue exhaustion, provider failure and missing sink; verify error records without secrets. Run TRACE-on/off and sanitizer profiles. Run make release-gate-final from a clean native-WSL checkout with project dependencies installed and require both Host release gate: PASS and 22/22 Playwright desktop/mobile PASS. Keep target crash-recovery, HIL and real-provider tests separate and record toolchain, command, result and remaining limitations.</w:t>
      </w:r>
    </w:p>
    <w:p>
      <w:r>
        <w:rPr>
          <w:b/>
        </w:rPr>
        <w:t>Participants and traceability.</w:t>
      </w:r>
      <w:r>
        <w:rPr>
          <w:b w:val="0"/>
        </w:rPr>
        <w:t xml:space="preserve"> B08, A02, T01, T02, T03, H02, H08. Source paths and test references are in the traceability register. See diagrams/sequences/png and diagrams/sequences/uml for the corresponding E10 flow.</w:t>
      </w:r>
    </w:p>
    <w:p>
      <w:pPr>
        <w:pStyle w:val="Heading1"/>
      </w:pPr>
      <w:r>
        <w:rPr>
          <w:color w:val="000000"/>
        </w:rPr>
        <w:t>AI extension carried forward from version 1 4</w:t>
      </w:r>
    </w:p>
    <w:p>
      <w:r>
        <w:t>The implemented AI-specific addition is an interaction session controller and product build gate. It is testable without microphones, speakers or a real model. The provider interface contains only start and cancel requests; it has no transcript/audio payload contract. A real voice pipeline therefore requires additional adapters and schemas.</w:t>
      </w:r>
    </w:p>
    <w:p>
      <w:pPr>
        <w:pStyle w:val="Heading2"/>
      </w:pPr>
      <w:r>
        <w:rPr>
          <w:color w:val="000000"/>
        </w:rPr>
        <w:t>Build choice</w:t>
      </w:r>
    </w:p>
    <w:p>
      <w:r>
        <w:rPr>
          <w:b/>
        </w:rPr>
        <w:t>Current code.</w:t>
      </w:r>
      <w:r>
        <w:rPr>
          <w:b w:val="0"/>
        </w:rPr>
        <w:t xml:space="preserve"> PRODUCT=base supplies GS_PRODUCT_AI=0; PRODUCT=ai supplies 1. Unknown product names fail make.</w:t>
      </w:r>
    </w:p>
    <w:p>
      <w:r>
        <w:rPr>
          <w:b/>
        </w:rPr>
        <w:t>Integration design.</w:t>
      </w:r>
      <w:r>
        <w:rPr>
          <w:b w:val="0"/>
        </w:rPr>
        <w:t xml:space="preserve"> Ship and validate Base first. Keep optional interfaces in the repository without enabling recording.</w:t>
      </w:r>
    </w:p>
    <w:p>
      <w:r>
        <w:rPr>
          <w:b/>
        </w:rPr>
        <w:t>Required evidence.</w:t>
      </w:r>
      <w:r>
        <w:rPr>
          <w:b w:val="0"/>
        </w:rPr>
        <w:t xml:space="preserve"> Build both profiles; in Base verify fake provider start count stays zero.</w:t>
      </w:r>
    </w:p>
    <w:p>
      <w:pPr>
        <w:pStyle w:val="Heading2"/>
      </w:pPr>
      <w:r>
        <w:rPr>
          <w:color w:val="000000"/>
        </w:rPr>
        <w:t>Session admission</w:t>
      </w:r>
    </w:p>
    <w:p>
      <w:r>
        <w:rPr>
          <w:b/>
        </w:rPr>
        <w:t>Current code.</w:t>
      </w:r>
      <w:r>
        <w:rPr>
          <w:b w:val="0"/>
        </w:rPr>
        <w:t xml:space="preserve"> begin rejects Disabled, NoConsent, Offline, Busy and ID Exhausted conditions before starting a new request.</w:t>
      </w:r>
    </w:p>
    <w:p>
      <w:r>
        <w:rPr>
          <w:b/>
        </w:rPr>
        <w:t>Integration design.</w:t>
      </w:r>
      <w:r>
        <w:rPr>
          <w:b w:val="0"/>
        </w:rPr>
        <w:t xml:space="preserve"> Obtain consent and connectivity from authoritative owner state, not arbitrary booleans from a web client.</w:t>
      </w:r>
    </w:p>
    <w:p>
      <w:r>
        <w:rPr>
          <w:b/>
        </w:rPr>
        <w:t>Required evidence.</w:t>
      </w:r>
      <w:r>
        <w:rPr>
          <w:b w:val="0"/>
        </w:rPr>
        <w:t xml:space="preserve"> Exercise every rejection and verify no provider side effect.</w:t>
      </w:r>
    </w:p>
    <w:p>
      <w:pPr>
        <w:pStyle w:val="Heading2"/>
      </w:pPr>
      <w:r>
        <w:rPr>
          <w:color w:val="000000"/>
        </w:rPr>
        <w:t>Start and completion</w:t>
      </w:r>
    </w:p>
    <w:p>
      <w:r>
        <w:rPr>
          <w:b/>
        </w:rPr>
        <w:t>Current code.</w:t>
      </w:r>
      <w:r>
        <w:rPr>
          <w:b w:val="0"/>
        </w:rPr>
        <w:t xml:space="preserve"> A permitted start advances a uint64 ID and enters Waiting. complete accepts only the active Waiting ID.</w:t>
      </w:r>
    </w:p>
    <w:p>
      <w:r>
        <w:rPr>
          <w:b/>
        </w:rPr>
        <w:t>Integration design.</w:t>
      </w:r>
      <w:r>
        <w:rPr>
          <w:b w:val="0"/>
        </w:rPr>
        <w:t xml:space="preserve"> Route asynchronous results through H10 and give each boot/session a safe correlation epoch in a real adapter.</w:t>
      </w:r>
    </w:p>
    <w:p>
      <w:r>
        <w:rPr>
          <w:b/>
        </w:rPr>
        <w:t>Required evidence.</w:t>
      </w:r>
      <w:r>
        <w:rPr>
          <w:b w:val="0"/>
        </w:rPr>
        <w:t xml:space="preserve"> Test wrong ID, duplicate completion, completion after cancel and callback after reboot.</w:t>
      </w:r>
    </w:p>
    <w:p>
      <w:pPr>
        <w:pStyle w:val="Heading2"/>
      </w:pPr>
      <w:r>
        <w:rPr>
          <w:color w:val="000000"/>
        </w:rPr>
        <w:t>Timeout</w:t>
      </w:r>
    </w:p>
    <w:p>
      <w:r>
        <w:rPr>
          <w:b/>
        </w:rPr>
        <w:t>Current code.</w:t>
      </w:r>
      <w:r>
        <w:rPr>
          <w:b w:val="0"/>
        </w:rPr>
        <w:t xml:space="preserve"> tick uses elapsed monotonic milliseconds and fails the request at 30000 ms, cancelling the provider.</w:t>
      </w:r>
    </w:p>
    <w:p>
      <w:r>
        <w:rPr>
          <w:b/>
        </w:rPr>
        <w:t>Integration design.</w:t>
      </w:r>
      <w:r>
        <w:rPr>
          <w:b w:val="0"/>
        </w:rPr>
        <w:t xml:space="preserve"> Schedule tick even when no network response arrives; bound the worker queue and provider deadline too.</w:t>
      </w:r>
    </w:p>
    <w:p>
      <w:r>
        <w:rPr>
          <w:b/>
        </w:rPr>
        <w:t>Required evidence.</w:t>
      </w:r>
      <w:r>
        <w:rPr>
          <w:b w:val="0"/>
        </w:rPr>
        <w:t xml:space="preserve"> Test 29999 and 30000 ms and ensure monitoring continues during stalled provider work.</w:t>
      </w:r>
    </w:p>
    <w:p>
      <w:pPr>
        <w:pStyle w:val="Heading2"/>
      </w:pPr>
      <w:r>
        <w:rPr>
          <w:color w:val="000000"/>
        </w:rPr>
        <w:t>Cancellation</w:t>
      </w:r>
    </w:p>
    <w:p>
      <w:r>
        <w:rPr>
          <w:b/>
        </w:rPr>
        <w:t>Current code.</w:t>
      </w:r>
      <w:r>
        <w:rPr>
          <w:b w:val="0"/>
        </w:rPr>
        <w:t xml:space="preserve"> cancel resets H09 to Idle and invokes Provider.cancel only while Waiting.</w:t>
      </w:r>
    </w:p>
    <w:p>
      <w:r>
        <w:rPr>
          <w:b/>
        </w:rPr>
        <w:t>Integration design.</w:t>
      </w:r>
      <w:r>
        <w:rPr>
          <w:b w:val="0"/>
        </w:rPr>
        <w:t xml:space="preserve"> H10/H11 must separately stop recording and playback, including audio already buffered after Ready.</w:t>
      </w:r>
    </w:p>
    <w:p>
      <w:r>
        <w:rPr>
          <w:b/>
        </w:rPr>
        <w:t>Required evidence.</w:t>
      </w:r>
      <w:r>
        <w:rPr>
          <w:b w:val="0"/>
        </w:rPr>
        <w:t xml:space="preserve"> Revoke consent during capture, network wait and playback; inspect that buffers and workers stop.</w:t>
      </w:r>
    </w:p>
    <w:p>
      <w:pPr>
        <w:pStyle w:val="Heading2"/>
      </w:pPr>
      <w:r>
        <w:rPr>
          <w:color w:val="000000"/>
        </w:rPr>
        <w:t>Errors</w:t>
      </w:r>
    </w:p>
    <w:p>
      <w:r>
        <w:rPr>
          <w:b/>
        </w:rPr>
        <w:t>Current code.</w:t>
      </w:r>
      <w:r>
        <w:rPr>
          <w:b w:val="0"/>
        </w:rPr>
        <w:t xml:space="preserve"> A false Provider.start puts state in Failed but begin still returns Accepted. Errors and timeout have metadata hooks.</w:t>
      </w:r>
    </w:p>
    <w:p>
      <w:r>
        <w:rPr>
          <w:b/>
        </w:rPr>
        <w:t>Integration design.</w:t>
      </w:r>
      <w:r>
        <w:rPr>
          <w:b w:val="0"/>
        </w:rPr>
        <w:t xml:space="preserve"> Review an explicit start-failed result when the public API evolves; do not equate Accepted with spoken output.</w:t>
      </w:r>
    </w:p>
    <w:p>
      <w:r>
        <w:rPr>
          <w:b/>
        </w:rPr>
        <w:t>Required evidence.</w:t>
      </w:r>
      <w:r>
        <w:rPr>
          <w:b w:val="0"/>
        </w:rPr>
        <w:t xml:space="preserve"> Inject immediate start failure and negative completion; verify state and diagnostics.</w:t>
      </w:r>
    </w:p>
    <w:p>
      <w:pPr>
        <w:pStyle w:val="Heading2"/>
      </w:pPr>
      <w:r>
        <w:rPr>
          <w:color w:val="000000"/>
        </w:rPr>
        <w:t>Privacy and authority</w:t>
      </w:r>
    </w:p>
    <w:p>
      <w:r>
        <w:rPr>
          <w:b/>
        </w:rPr>
        <w:t>Current code.</w:t>
      </w:r>
      <w:r>
        <w:rPr>
          <w:b w:val="0"/>
        </w:rPr>
        <w:t xml:space="preserve"> H09 carries IDs and lifecycle state, not audio/transcript buffers, and exposes no incident mutation interface.</w:t>
      </w:r>
    </w:p>
    <w:p>
      <w:r>
        <w:rPr>
          <w:b/>
        </w:rPr>
        <w:t>Integration design.</w:t>
      </w:r>
      <w:r>
        <w:rPr>
          <w:b w:val="0"/>
        </w:rPr>
        <w:t xml:space="preserve"> Define retention, provider processing region, redaction and separate AI consent before any real provider activation.</w:t>
      </w:r>
    </w:p>
    <w:p>
      <w:r>
        <w:rPr>
          <w:b/>
        </w:rPr>
        <w:t>Required evidence.</w:t>
      </w:r>
      <w:r>
        <w:rPr>
          <w:b w:val="0"/>
        </w:rPr>
        <w:t xml:space="preserve"> Prove no transcript in logs and no model-generated acknowledgement or resolution.</w:t>
      </w:r>
    </w:p>
    <w:p>
      <w:pPr>
        <w:pStyle w:val="Heading2"/>
      </w:pPr>
      <w:r>
        <w:rPr>
          <w:color w:val="000000"/>
        </w:rPr>
        <w:t>Cost and hardware</w:t>
      </w:r>
    </w:p>
    <w:p>
      <w:r>
        <w:rPr>
          <w:b/>
        </w:rPr>
        <w:t>Current code.</w:t>
      </w:r>
      <w:r>
        <w:rPr>
          <w:b w:val="0"/>
        </w:rPr>
        <w:t xml:space="preserve"> There is no model, speech pipeline, quota gateway or audio implementation in this release.</w:t>
      </w:r>
    </w:p>
    <w:p>
      <w:r>
        <w:rPr>
          <w:b/>
        </w:rPr>
        <w:t>Integration design.</w:t>
      </w:r>
      <w:r>
        <w:rPr>
          <w:b w:val="0"/>
        </w:rPr>
        <w:t xml:space="preserve"> Select provider/audio hardware later after Base acceptance; measure recurring costs, RAM and cancellation latency.</w:t>
      </w:r>
    </w:p>
    <w:p>
      <w:r>
        <w:rPr>
          <w:b/>
        </w:rPr>
        <w:t>Required evidence.</w:t>
      </w:r>
      <w:r>
        <w:rPr>
          <w:b w:val="0"/>
        </w:rPr>
        <w:t xml:space="preserve"> Use a fake streaming adapter first, then measured provider and hardware trials; do not publish speculative costs.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rPr>
          <w:tblHeader/>
        </w:trPr>
        <w:tc>
          <w:tcPr>
            <w:tcW w:type="dxa" w:w="1584"/>
            <w:tcMar>
              <w:top w:w="100" w:type="dxa"/>
              <w:left w:w="100" w:type="dxa"/>
              <w:bottom w:w="100" w:type="dxa"/>
              <w:right w:w="100" w:type="dxa"/>
            </w:tcMar>
            <w:shd w:fill="E7EDF4"/>
          </w:tcPr>
          <w:p>
            <w:pPr>
              <w:spacing w:after="80" w:before="60"/>
            </w:pPr>
            <w:r>
              <w:rPr>
                <w:b/>
                <w:sz w:val="18"/>
              </w:rPr>
              <w:t>State or result</w:t>
            </w:r>
          </w:p>
        </w:tc>
        <w:tc>
          <w:tcPr>
            <w:tcW w:type="dxa" w:w="7776"/>
            <w:tcMar>
              <w:top w:w="100" w:type="dxa"/>
              <w:left w:w="100" w:type="dxa"/>
              <w:bottom w:w="100" w:type="dxa"/>
              <w:right w:w="100" w:type="dxa"/>
            </w:tcMar>
            <w:shd w:fill="E7EDF4"/>
          </w:tcPr>
          <w:p>
            <w:pPr>
              <w:spacing w:after="80" w:before="60"/>
            </w:pPr>
            <w:r>
              <w:rPr>
                <w:b/>
                <w:sz w:val="18"/>
              </w:rPr>
              <w:t>Meaning</w:t>
            </w:r>
          </w:p>
        </w:tc>
      </w:tr>
      <w:tr>
        <w:tc>
          <w:tcPr>
            <w:tcW w:type="dxa" w:w="1584"/>
            <w:tcMar>
              <w:top w:w="100" w:type="dxa"/>
              <w:left w:w="100" w:type="dxa"/>
              <w:bottom w:w="100" w:type="dxa"/>
              <w:right w:w="100" w:type="dxa"/>
            </w:tcMar>
          </w:tcPr>
          <w:p>
            <w:pPr>
              <w:spacing w:after="80" w:before="60"/>
            </w:pPr>
            <w:r>
              <w:rPr>
                <w:b w:val="0"/>
                <w:sz w:val="18"/>
              </w:rPr>
              <w:t>Idle</w:t>
            </w:r>
          </w:p>
        </w:tc>
        <w:tc>
          <w:tcPr>
            <w:tcW w:type="dxa" w:w="7776"/>
            <w:tcMar>
              <w:top w:w="100" w:type="dxa"/>
              <w:left w:w="100" w:type="dxa"/>
              <w:bottom w:w="100" w:type="dxa"/>
              <w:right w:w="100" w:type="dxa"/>
            </w:tcMar>
          </w:tcPr>
          <w:p>
            <w:pPr>
              <w:spacing w:after="80" w:before="60"/>
            </w:pPr>
            <w:r>
              <w:rPr>
                <w:b w:val="0"/>
                <w:sz w:val="18"/>
              </w:rPr>
              <w:t>No active wait; begin may admit a new request if policy permits.</w:t>
            </w:r>
          </w:p>
        </w:tc>
      </w:tr>
      <w:tr>
        <w:tc>
          <w:tcPr>
            <w:tcW w:type="dxa" w:w="1584"/>
            <w:tcMar>
              <w:top w:w="100" w:type="dxa"/>
              <w:left w:w="100" w:type="dxa"/>
              <w:bottom w:w="100" w:type="dxa"/>
              <w:right w:w="100" w:type="dxa"/>
            </w:tcMar>
          </w:tcPr>
          <w:p>
            <w:pPr>
              <w:spacing w:after="80" w:before="60"/>
            </w:pPr>
            <w:r>
              <w:rPr>
                <w:b w:val="0"/>
                <w:sz w:val="18"/>
              </w:rPr>
              <w:t>Waiting</w:t>
            </w:r>
          </w:p>
        </w:tc>
        <w:tc>
          <w:tcPr>
            <w:tcW w:type="dxa" w:w="7776"/>
            <w:tcMar>
              <w:top w:w="100" w:type="dxa"/>
              <w:left w:w="100" w:type="dxa"/>
              <w:bottom w:w="100" w:type="dxa"/>
              <w:right w:w="100" w:type="dxa"/>
            </w:tcMar>
          </w:tcPr>
          <w:p>
            <w:pPr>
              <w:spacing w:after="80" w:before="60"/>
            </w:pPr>
            <w:r>
              <w:rPr>
                <w:b w:val="0"/>
                <w:sz w:val="18"/>
              </w:rPr>
              <w:t>Provider was requested; only matching completion can finish this session.</w:t>
            </w:r>
          </w:p>
        </w:tc>
      </w:tr>
      <w:tr>
        <w:tc>
          <w:tcPr>
            <w:tcW w:type="dxa" w:w="1584"/>
            <w:tcMar>
              <w:top w:w="100" w:type="dxa"/>
              <w:left w:w="100" w:type="dxa"/>
              <w:bottom w:w="100" w:type="dxa"/>
              <w:right w:w="100" w:type="dxa"/>
            </w:tcMar>
          </w:tcPr>
          <w:p>
            <w:pPr>
              <w:spacing w:after="80" w:before="60"/>
            </w:pPr>
            <w:r>
              <w:rPr>
                <w:b w:val="0"/>
                <w:sz w:val="18"/>
              </w:rPr>
              <w:t>Ready</w:t>
            </w:r>
          </w:p>
        </w:tc>
        <w:tc>
          <w:tcPr>
            <w:tcW w:type="dxa" w:w="7776"/>
            <w:tcMar>
              <w:top w:w="100" w:type="dxa"/>
              <w:left w:w="100" w:type="dxa"/>
              <w:bottom w:w="100" w:type="dxa"/>
              <w:right w:w="100" w:type="dxa"/>
            </w:tcMar>
          </w:tcPr>
          <w:p>
            <w:pPr>
              <w:spacing w:after="80" w:before="60"/>
            </w:pPr>
            <w:r>
              <w:rPr>
                <w:b w:val="0"/>
                <w:sz w:val="18"/>
              </w:rPr>
              <w:t>Completion succeeded. This does not itself mean that audio has played.</w:t>
            </w:r>
          </w:p>
        </w:tc>
      </w:tr>
      <w:tr>
        <w:tc>
          <w:tcPr>
            <w:tcW w:type="dxa" w:w="1584"/>
            <w:tcMar>
              <w:top w:w="100" w:type="dxa"/>
              <w:left w:w="100" w:type="dxa"/>
              <w:bottom w:w="100" w:type="dxa"/>
              <w:right w:w="100" w:type="dxa"/>
            </w:tcMar>
          </w:tcPr>
          <w:p>
            <w:pPr>
              <w:spacing w:after="80" w:before="60"/>
            </w:pPr>
            <w:r>
              <w:rPr>
                <w:b w:val="0"/>
                <w:sz w:val="18"/>
              </w:rPr>
              <w:t>Failed</w:t>
            </w:r>
          </w:p>
        </w:tc>
        <w:tc>
          <w:tcPr>
            <w:tcW w:type="dxa" w:w="7776"/>
            <w:tcMar>
              <w:top w:w="100" w:type="dxa"/>
              <w:left w:w="100" w:type="dxa"/>
              <w:bottom w:w="100" w:type="dxa"/>
              <w:right w:w="100" w:type="dxa"/>
            </w:tcMar>
          </w:tcPr>
          <w:p>
            <w:pPr>
              <w:spacing w:after="80" w:before="60"/>
            </w:pPr>
            <w:r>
              <w:rPr>
                <w:b w:val="0"/>
                <w:sz w:val="18"/>
              </w:rPr>
              <w:t>Start, completion or timeout failed; a new begin can create a new ID.</w:t>
            </w:r>
          </w:p>
        </w:tc>
      </w:tr>
      <w:tr>
        <w:tc>
          <w:tcPr>
            <w:tcW w:type="dxa" w:w="1584"/>
            <w:tcMar>
              <w:top w:w="100" w:type="dxa"/>
              <w:left w:w="100" w:type="dxa"/>
              <w:bottom w:w="100" w:type="dxa"/>
              <w:right w:w="100" w:type="dxa"/>
            </w:tcMar>
          </w:tcPr>
          <w:p>
            <w:pPr>
              <w:spacing w:after="80" w:before="60"/>
            </w:pPr>
            <w:r>
              <w:rPr>
                <w:b w:val="0"/>
                <w:sz w:val="18"/>
              </w:rPr>
              <w:t>Accepted</w:t>
            </w:r>
          </w:p>
        </w:tc>
        <w:tc>
          <w:tcPr>
            <w:tcW w:type="dxa" w:w="7776"/>
            <w:tcMar>
              <w:top w:w="100" w:type="dxa"/>
              <w:left w:w="100" w:type="dxa"/>
              <w:bottom w:w="100" w:type="dxa"/>
              <w:right w:w="100" w:type="dxa"/>
            </w:tcMar>
          </w:tcPr>
          <w:p>
            <w:pPr>
              <w:spacing w:after="80" w:before="60"/>
            </w:pPr>
            <w:r>
              <w:rPr>
                <w:b w:val="0"/>
                <w:sz w:val="18"/>
              </w:rPr>
              <w:t>Admission occurred; inspect state because immediate provider start failure also returns Accepted.</w:t>
            </w:r>
          </w:p>
        </w:tc>
      </w:tr>
      <w:tr>
        <w:tc>
          <w:tcPr>
            <w:tcW w:type="dxa" w:w="1584"/>
            <w:tcMar>
              <w:top w:w="100" w:type="dxa"/>
              <w:left w:w="100" w:type="dxa"/>
              <w:bottom w:w="100" w:type="dxa"/>
              <w:right w:w="100" w:type="dxa"/>
            </w:tcMar>
          </w:tcPr>
          <w:p>
            <w:pPr>
              <w:spacing w:after="80" w:before="60"/>
            </w:pPr>
            <w:r>
              <w:rPr>
                <w:b w:val="0"/>
                <w:sz w:val="18"/>
              </w:rPr>
              <w:t>Disabled / NoConsent / Offline / Busy / Exhausted</w:t>
            </w:r>
          </w:p>
        </w:tc>
        <w:tc>
          <w:tcPr>
            <w:tcW w:type="dxa" w:w="7776"/>
            <w:tcMar>
              <w:top w:w="100" w:type="dxa"/>
              <w:left w:w="100" w:type="dxa"/>
              <w:bottom w:w="100" w:type="dxa"/>
              <w:right w:w="100" w:type="dxa"/>
            </w:tcMar>
          </w:tcPr>
          <w:p>
            <w:pPr>
              <w:spacing w:after="80" w:before="60"/>
            </w:pPr>
            <w:r>
              <w:rPr>
                <w:b w:val="0"/>
                <w:sz w:val="18"/>
              </w:rPr>
              <w:t>Admission refusal reasons; no new provider start for these cases.</w:t>
            </w:r>
          </w:p>
        </w:tc>
      </w:tr>
    </w:tbl>
    <w:p>
      <w:pPr>
        <w:pStyle w:val="Heading2"/>
      </w:pPr>
      <w:r>
        <w:rPr>
          <w:color w:val="000000"/>
        </w:rPr>
        <w:t>Worked timeout and cancellation example</w:t>
      </w:r>
    </w:p>
    <w:p>
      <w:r>
        <w:t>Assume an AI build, consent true and online true. begin(1000, true, true) creates request 1 and enters Waiting. complete(99, true) returns false because the ID is wrong. tick(30999) leaves Waiting; tick(31000) reaches the 30000 ms timeout, enters Failed and calls provider.cancel(1). A subsequent complete(1, true) returns false. The next begin uses request 2, so a late result from request 1 cannot complete it.</w:t>
      </w:r>
    </w:p>
    <w:p>
      <w:r>
        <w:t>The controller borrows the Provider object, which must outlive it. Provider methods must return promptly and must not call back into Controller synchronously. H10, still planned, will serialize callback messages on one owner. Cancellation after Ready requires separate playback handling because H09 only invokes Provider.cancel while Waiting.</w:t>
      </w:r>
    </w:p>
    <w:p>
      <w:pPr>
        <w:pStyle w:val="Heading2"/>
      </w:pPr>
      <w:r>
        <w:rPr>
          <w:color w:val="000000"/>
        </w:rPr>
        <w:t>AI requirement register</w:t>
      </w:r>
    </w:p>
    <w:p>
      <w:pPr>
        <w:pStyle w:val="Heading3"/>
      </w:pPr>
      <w:r>
        <w:rPr>
          <w:color w:val="000000"/>
        </w:rPr>
        <w:t>V01 Build-selected product identity</w:t>
      </w:r>
    </w:p>
    <w:p>
      <w:r>
        <w:rPr>
          <w:b/>
        </w:rPr>
        <w:t>Scope:</w:t>
      </w:r>
      <w:r>
        <w:rPr>
          <w:b w:val="0"/>
        </w:rPr>
        <w:t xml:space="preserve"> Both. Participants: S04, T01.</w:t>
      </w:r>
    </w:p>
    <w:p>
      <w:r>
        <w:rPr>
          <w:b/>
        </w:rPr>
        <w:t>Acceptance requirement.</w:t>
      </w:r>
      <w:r>
        <w:rPr>
          <w:b w:val="0"/>
        </w:rPr>
        <w:t xml:space="preserve"> make verify PRODUCT=base|ai; invalid PRODUCT fails; Product::name/version identify build.</w:t>
      </w:r>
    </w:p>
    <w:p>
      <w:r>
        <w:rPr>
          <w:b/>
        </w:rPr>
        <w:t>Implementation status.</w:t>
      </w:r>
      <w:r>
        <w:rPr>
          <w:b w:val="0"/>
        </w:rPr>
        <w:t xml:space="preserve"> Passed at the stated component boundary. Product enum/profile tests and invalid-build check.</w:t>
      </w:r>
    </w:p>
    <w:p>
      <w:pPr>
        <w:pStyle w:val="Heading3"/>
      </w:pPr>
      <w:r>
        <w:rPr>
          <w:color w:val="000000"/>
        </w:rPr>
        <w:t>AI01 Base provider exclusion</w:t>
      </w:r>
    </w:p>
    <w:p>
      <w:r>
        <w:rPr>
          <w:b/>
        </w:rPr>
        <w:t>Scope:</w:t>
      </w:r>
      <w:r>
        <w:rPr>
          <w:b w:val="0"/>
        </w:rPr>
        <w:t xml:space="preserve"> Base. Participants: S04, H09, T01.</w:t>
      </w:r>
    </w:p>
    <w:p>
      <w:r>
        <w:rPr>
          <w:b/>
        </w:rPr>
        <w:t>Acceptance requirement.</w:t>
      </w:r>
      <w:r>
        <w:rPr>
          <w:b w:val="0"/>
        </w:rPr>
        <w:t xml:space="preserve"> Base begin returns Disabled and fake provider receives zero starts.</w:t>
      </w:r>
    </w:p>
    <w:p>
      <w:r>
        <w:rPr>
          <w:b/>
        </w:rPr>
        <w:t>Implementation status.</w:t>
      </w:r>
      <w:r>
        <w:rPr>
          <w:b w:val="0"/>
        </w:rPr>
        <w:t xml:space="preserve"> Passed at the stated component boundary. tests/cpp/test_product.cpp: base branch.</w:t>
      </w:r>
    </w:p>
    <w:p>
      <w:pPr>
        <w:pStyle w:val="Heading3"/>
      </w:pPr>
      <w:r>
        <w:rPr>
          <w:color w:val="000000"/>
        </w:rPr>
        <w:t>AI02 Consented interaction admission</w:t>
      </w:r>
    </w:p>
    <w:p>
      <w:r>
        <w:rPr>
          <w:b/>
        </w:rPr>
        <w:t>Scope:</w:t>
      </w:r>
      <w:r>
        <w:rPr>
          <w:b w:val="0"/>
        </w:rPr>
        <w:t xml:space="preserve"> AI. Participants: H09, B02, H10.</w:t>
      </w:r>
    </w:p>
    <w:p>
      <w:r>
        <w:rPr>
          <w:b/>
        </w:rPr>
        <w:t>Acceptance requirement.</w:t>
      </w:r>
      <w:r>
        <w:rPr>
          <w:b w:val="0"/>
        </w:rPr>
        <w:t xml:space="preserve"> Reject missing consent/offline before start; active session rejects a second start.</w:t>
      </w:r>
    </w:p>
    <w:p>
      <w:r>
        <w:rPr>
          <w:b/>
        </w:rPr>
        <w:t>Implementation status.</w:t>
      </w:r>
      <w:r>
        <w:rPr>
          <w:b w:val="0"/>
        </w:rPr>
        <w:t xml:space="preserve"> Partial at the stated component boundary. Controller tests pass; consent propagation and audio capture gate pending.</w:t>
      </w:r>
    </w:p>
    <w:p>
      <w:pPr>
        <w:pStyle w:val="Heading3"/>
      </w:pPr>
      <w:r>
        <w:rPr>
          <w:color w:val="000000"/>
        </w:rPr>
        <w:t>AI03 Correlated completion and timeout</w:t>
      </w:r>
    </w:p>
    <w:p>
      <w:r>
        <w:rPr>
          <w:b/>
        </w:rPr>
        <w:t>Scope:</w:t>
      </w:r>
      <w:r>
        <w:rPr>
          <w:b w:val="0"/>
        </w:rPr>
        <w:t xml:space="preserve"> AI. Participants: H09, T01.</w:t>
      </w:r>
    </w:p>
    <w:p>
      <w:r>
        <w:rPr>
          <w:b/>
        </w:rPr>
        <w:t>Acceptance requirement.</w:t>
      </w:r>
      <w:r>
        <w:rPr>
          <w:b w:val="0"/>
        </w:rPr>
        <w:t xml:space="preserve"> Reject wrong, duplicate and late IDs; expire at 30000 monotonic milliseconds.</w:t>
      </w:r>
    </w:p>
    <w:p>
      <w:r>
        <w:rPr>
          <w:b/>
        </w:rPr>
        <w:t>Implementation status.</w:t>
      </w:r>
      <w:r>
        <w:rPr>
          <w:b w:val="0"/>
        </w:rPr>
        <w:t xml:space="preserve"> Passed at the stated component boundary. tests/cpp/test_product.cpp: timeout and completion checks.</w:t>
      </w:r>
    </w:p>
    <w:p>
      <w:pPr>
        <w:pStyle w:val="Heading3"/>
      </w:pPr>
      <w:r>
        <w:rPr>
          <w:color w:val="000000"/>
        </w:rPr>
        <w:t>AI04 Resident cancellation and privacy revocation</w:t>
      </w:r>
    </w:p>
    <w:p>
      <w:r>
        <w:rPr>
          <w:b/>
        </w:rPr>
        <w:t>Scope:</w:t>
      </w:r>
      <w:r>
        <w:rPr>
          <w:b w:val="0"/>
        </w:rPr>
        <w:t xml:space="preserve"> AI. Participants: H09, H10, H11, B02.</w:t>
      </w:r>
    </w:p>
    <w:p>
      <w:r>
        <w:rPr>
          <w:b/>
        </w:rPr>
        <w:t>Acceptance requirement.</w:t>
      </w:r>
      <w:r>
        <w:rPr>
          <w:b w:val="0"/>
        </w:rPr>
        <w:t xml:space="preserve"> Controller cancels pending provider; physical cancel and consent withdrawal stop recording/playback.</w:t>
      </w:r>
    </w:p>
    <w:p>
      <w:r>
        <w:rPr>
          <w:b/>
        </w:rPr>
        <w:t>Implementation status.</w:t>
      </w:r>
      <w:r>
        <w:rPr>
          <w:b w:val="0"/>
        </w:rPr>
        <w:t xml:space="preserve"> Partial at the stated component boundary. Controller cancellation tested; physical and privacy wiring pending.</w:t>
      </w:r>
    </w:p>
    <w:p>
      <w:pPr>
        <w:pStyle w:val="Heading3"/>
      </w:pPr>
      <w:r>
        <w:rPr>
          <w:color w:val="000000"/>
        </w:rPr>
        <w:t>AI05 Monitoring priority over conversation</w:t>
      </w:r>
    </w:p>
    <w:p>
      <w:r>
        <w:rPr>
          <w:b/>
        </w:rPr>
        <w:t>Scope:</w:t>
      </w:r>
      <w:r>
        <w:rPr>
          <w:b w:val="0"/>
        </w:rPr>
        <w:t xml:space="preserve"> AI. Participants: H05, H06, H09, H10.</w:t>
      </w:r>
    </w:p>
    <w:p>
      <w:r>
        <w:rPr>
          <w:b/>
        </w:rPr>
        <w:t>Acceptance requirement.</w:t>
      </w:r>
      <w:r>
        <w:rPr>
          <w:b w:val="0"/>
        </w:rPr>
        <w:t xml:space="preserve"> Monitoring never waits for model response; urgent prompt preempts interaction.</w:t>
      </w:r>
    </w:p>
    <w:p>
      <w:r>
        <w:rPr>
          <w:b/>
        </w:rPr>
        <w:t>Implementation status.</w:t>
      </w:r>
      <w:r>
        <w:rPr>
          <w:b w:val="0"/>
        </w:rPr>
        <w:t xml:space="preserve"> Pending at the stated component boundary. Coordinator and load/latency tests not implemented.</w:t>
      </w:r>
    </w:p>
    <w:p>
      <w:pPr>
        <w:pStyle w:val="Heading3"/>
      </w:pPr>
      <w:r>
        <w:rPr>
          <w:color w:val="000000"/>
        </w:rPr>
        <w:t>AI06 Audio and model-provider integration</w:t>
      </w:r>
    </w:p>
    <w:p>
      <w:r>
        <w:rPr>
          <w:b/>
        </w:rPr>
        <w:t>Scope:</w:t>
      </w:r>
      <w:r>
        <w:rPr>
          <w:b w:val="0"/>
        </w:rPr>
        <w:t xml:space="preserve"> AI. Participants: H11, B09.</w:t>
      </w:r>
    </w:p>
    <w:p>
      <w:r>
        <w:rPr>
          <w:b/>
        </w:rPr>
        <w:t>Acceptance requirement.</w:t>
      </w:r>
      <w:r>
        <w:rPr>
          <w:b w:val="0"/>
        </w:rPr>
        <w:t xml:space="preserve"> Bounded audio buffers; authenticated provider path; explain offline/unavailable state.</w:t>
      </w:r>
    </w:p>
    <w:p>
      <w:r>
        <w:rPr>
          <w:b/>
        </w:rPr>
        <w:t>Implementation status.</w:t>
      </w:r>
      <w:r>
        <w:rPr>
          <w:b w:val="0"/>
        </w:rPr>
        <w:t xml:space="preserve"> Pending at the stated component boundary. No live provider, microphone capture or speech synthesis implemented.</w:t>
      </w:r>
    </w:p>
    <w:p>
      <w:pPr>
        <w:pStyle w:val="Heading3"/>
      </w:pPr>
      <w:r>
        <w:rPr>
          <w:color w:val="000000"/>
        </w:rPr>
        <w:t>AI07 Capability and cost policy</w:t>
      </w:r>
    </w:p>
    <w:p>
      <w:r>
        <w:rPr>
          <w:b/>
        </w:rPr>
        <w:t>Scope:</w:t>
      </w:r>
      <w:r>
        <w:rPr>
          <w:b w:val="0"/>
        </w:rPr>
        <w:t xml:space="preserve"> AI. Participants: S04, B09, A06, B01.</w:t>
      </w:r>
    </w:p>
    <w:p>
      <w:r>
        <w:rPr>
          <w:b/>
        </w:rPr>
        <w:t>Acceptance requirement.</w:t>
      </w:r>
      <w:r>
        <w:rPr>
          <w:b w:val="0"/>
        </w:rPr>
        <w:t xml:space="preserve"> Server enforces tenant/edition/consent/quota; UI reflects availability, not authorization.</w:t>
      </w:r>
    </w:p>
    <w:p>
      <w:r>
        <w:rPr>
          <w:b/>
        </w:rPr>
        <w:t>Implementation status.</w:t>
      </w:r>
      <w:r>
        <w:rPr>
          <w:b w:val="0"/>
        </w:rPr>
        <w:t xml:space="preserve"> Pending at the stated component boundary. No capability endpoint or spending limiter implemented.</w:t>
      </w:r>
    </w:p>
    <w:p>
      <w:pPr>
        <w:pStyle w:val="Heading3"/>
      </w:pPr>
      <w:r>
        <w:rPr>
          <w:color w:val="000000"/>
        </w:rPr>
        <w:t>AI08 Diagnostic and monitoring separation</w:t>
      </w:r>
    </w:p>
    <w:p>
      <w:r>
        <w:rPr>
          <w:b/>
        </w:rPr>
        <w:t>Scope:</w:t>
      </w:r>
      <w:r>
        <w:rPr>
          <w:b w:val="0"/>
        </w:rPr>
        <w:t xml:space="preserve"> AI. Participants: S05, H09, S02.</w:t>
      </w:r>
    </w:p>
    <w:p>
      <w:r>
        <w:rPr>
          <w:b/>
        </w:rPr>
        <w:t>Acceptance requirement.</w:t>
      </w:r>
      <w:r>
        <w:rPr>
          <w:b w:val="0"/>
        </w:rPr>
        <w:t xml:space="preserve"> Controller logs no audio/transcript; AI response cannot acknowledge or resolve incidents.</w:t>
      </w:r>
    </w:p>
    <w:p>
      <w:r>
        <w:rPr>
          <w:b/>
        </w:rPr>
        <w:t>Implementation status.</w:t>
      </w:r>
      <w:r>
        <w:rPr>
          <w:b w:val="0"/>
        </w:rPr>
        <w:t xml:space="preserve"> Partial at the stated component boundary. Metadata-only hooks exist; live adapter and incident-isolation integration tests pending.</w:t>
      </w:r>
    </w:p>
    <w:p>
      <w:r>
        <w:t>Base P0 development should continue without implementing H10, H11, B09 or A06. Retain these designs so future work does not introduce an AI dependency into deterministic monitoring. S3/audio selection and live service costs are open decisions, not purchases required for Base.</w:t>
      </w:r>
    </w:p>
    <w:p>
      <w:pPr>
        <w:pStyle w:val="Heading1"/>
      </w:pPr>
      <w:r>
        <w:rPr>
          <w:color w:val="000000"/>
        </w:rPr>
        <w:t>Revision and implementation status</w:t>
      </w:r>
    </w:p>
    <w:p>
      <w:r>
        <w:t>Edition 2.3 preserves the supplied baseline and future AI session design while updating Base P0 implementation status through reference code 1.5.4 plus Parivar Sathi PWA/BatteryAnalytics v3.4.2. Current host code includes the expanded configurable routine rules, typed node↔hub protocol, relational data-model contract, Device Schedules/PWA state handling, battery analytics and the regression framework with 92 connected scenarios. The native-WSL final release gate is qualified with all host/software stages PASS and 22/22 mandatory Playwright Chromium checks PASS across desktop and mobile. Physical ESP32/RF/flash/power/OTA/provider/HIL and installed-home pilot gates remain separate acceptance evidence.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Ghar Sajag | Documentation 2.3 | Page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t>Ghar Sajag | Documentation 2.3 | Reference code 1.5.4 + PWA/BatteryAnalytics v3.4.2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Ghar Sajag Software Requirements Document SRD v2.1</dc:title>
  <dc:subject>Ghar Sajag Documentation 2.1 / Reference code 1.5.4 corrected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