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ENGLISH VERSION TO KOMARAM BHEEM SONG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Komaram bheem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O komaram Bheem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torch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a torch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Komaram Bheem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O Komaram Bheem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You are a scorching sun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You are  a scorching sun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Do not Bow your head as servant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O son of the mother forest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Don’t bow down your head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to the Brutal Crown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Komaram Bheem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O Komaram Bheem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a torch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a torch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Bear with grit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the skin that flayed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the blood that flowed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That tears of yours are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Feeding the mother forest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Komaram Bheem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O Komaram Bheem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torch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Fire like torch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The blood of yours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Is sindhur to mother earth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Is a turmeric on the feet mother earth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the smile of mother earth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Komaram Bheem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O Komaram Bheem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You  become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a present to mother earth.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