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Layout w:type="fixed"/>
        <w:tblLook w:val="06A0" w:firstRow="1" w:lastRow="0" w:firstColumn="1" w:lastColumn="0" w:noHBand="1" w:noVBand="1"/>
      </w:tblPr>
      <w:tblGrid>
        <w:gridCol w:w="751"/>
        <w:gridCol w:w="885"/>
        <w:gridCol w:w="578"/>
        <w:gridCol w:w="645"/>
        <w:gridCol w:w="585"/>
        <w:gridCol w:w="570"/>
        <w:gridCol w:w="765"/>
        <w:gridCol w:w="1845"/>
        <w:gridCol w:w="2736"/>
      </w:tblGrid>
      <w:tr w:rsidR="442DE462" w:rsidTr="442DE462" w14:paraId="4B19744B">
        <w:trPr>
          <w:trHeight w:val="615"/>
        </w:trPr>
        <w:tc>
          <w:tcPr>
            <w:tcW w:w="751" w:type="dxa"/>
            <w:tcBorders>
              <w:top w:val="single" w:color="000000" w:themeColor="text1" w:sz="8"/>
              <w:left w:val="single" w:color="000000" w:themeColor="text1" w:sz="8"/>
              <w:bottom w:val="single" w:color="000000" w:themeColor="text1" w:sz="4"/>
              <w:right w:val="single" w:color="000000" w:themeColor="text1" w:sz="4"/>
            </w:tcBorders>
            <w:shd w:val="clear" w:color="auto" w:fill="FFFF00"/>
            <w:tcMar>
              <w:top w:w="15" w:type="dxa"/>
              <w:left w:w="15" w:type="dxa"/>
              <w:right w:w="15" w:type="dxa"/>
            </w:tcMar>
            <w:vAlign w:val="center"/>
          </w:tcPr>
          <w:p w:rsidR="442DE462" w:rsidP="442DE462" w:rsidRDefault="442DE462" w14:paraId="5B47985E" w14:textId="5845983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Experiment No</w:t>
            </w:r>
          </w:p>
        </w:tc>
        <w:tc>
          <w:tcPr>
            <w:tcW w:w="885" w:type="dxa"/>
            <w:tcBorders>
              <w:top w:val="single" w:color="000000" w:themeColor="text1" w:sz="8"/>
              <w:left w:val="single" w:color="000000" w:themeColor="text1" w:sz="4"/>
              <w:bottom w:val="single" w:color="000000" w:themeColor="text1" w:sz="4"/>
              <w:right w:val="single" w:color="000000" w:themeColor="text1" w:sz="4"/>
            </w:tcBorders>
            <w:shd w:val="clear" w:color="auto" w:fill="FFFF00"/>
            <w:tcMar>
              <w:top w:w="15" w:type="dxa"/>
              <w:left w:w="15" w:type="dxa"/>
              <w:right w:w="15" w:type="dxa"/>
            </w:tcMar>
            <w:vAlign w:val="center"/>
          </w:tcPr>
          <w:p w:rsidR="442DE462" w:rsidP="442DE462" w:rsidRDefault="442DE462" w14:paraId="2C704AA5" w14:textId="6E7C558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Model</w:t>
            </w:r>
          </w:p>
        </w:tc>
        <w:tc>
          <w:tcPr>
            <w:tcW w:w="578" w:type="dxa"/>
            <w:tcBorders>
              <w:top w:val="single" w:color="000000" w:themeColor="text1" w:sz="8"/>
              <w:left w:val="single" w:color="000000" w:themeColor="text1" w:sz="4"/>
              <w:bottom w:val="single" w:color="000000" w:themeColor="text1" w:sz="4"/>
              <w:right w:val="single" w:color="000000" w:themeColor="text1" w:sz="4"/>
            </w:tcBorders>
            <w:shd w:val="clear" w:color="auto" w:fill="FFFF00"/>
            <w:tcMar>
              <w:top w:w="15" w:type="dxa"/>
              <w:left w:w="15" w:type="dxa"/>
              <w:right w:w="15" w:type="dxa"/>
            </w:tcMar>
            <w:vAlign w:val="center"/>
          </w:tcPr>
          <w:p w:rsidR="442DE462" w:rsidP="442DE462" w:rsidRDefault="442DE462" w14:paraId="365017A4" w14:textId="5A2B631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No of Images</w:t>
            </w:r>
          </w:p>
        </w:tc>
        <w:tc>
          <w:tcPr>
            <w:tcW w:w="645" w:type="dxa"/>
            <w:tcBorders>
              <w:top w:val="single" w:color="000000" w:themeColor="text1" w:sz="8"/>
              <w:left w:val="single" w:color="000000" w:themeColor="text1" w:sz="4"/>
              <w:bottom w:val="single" w:color="000000" w:themeColor="text1" w:sz="4"/>
              <w:right w:val="single" w:color="000000" w:themeColor="text1" w:sz="4"/>
            </w:tcBorders>
            <w:shd w:val="clear" w:color="auto" w:fill="FFFF00"/>
            <w:tcMar>
              <w:top w:w="15" w:type="dxa"/>
              <w:left w:w="15" w:type="dxa"/>
              <w:right w:w="15" w:type="dxa"/>
            </w:tcMar>
            <w:vAlign w:val="center"/>
          </w:tcPr>
          <w:p w:rsidR="442DE462" w:rsidP="442DE462" w:rsidRDefault="442DE462" w14:paraId="2B01ACDF" w14:textId="25C3966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 xml:space="preserve">Image Size </w:t>
            </w:r>
          </w:p>
        </w:tc>
        <w:tc>
          <w:tcPr>
            <w:tcW w:w="585" w:type="dxa"/>
            <w:tcBorders>
              <w:top w:val="single" w:color="000000" w:themeColor="text1" w:sz="8"/>
              <w:left w:val="single" w:color="000000" w:themeColor="text1" w:sz="4"/>
              <w:bottom w:val="single" w:color="000000" w:themeColor="text1" w:sz="4"/>
              <w:right w:val="single" w:color="000000" w:themeColor="text1" w:sz="4"/>
            </w:tcBorders>
            <w:shd w:val="clear" w:color="auto" w:fill="FFFF00"/>
            <w:tcMar>
              <w:top w:w="15" w:type="dxa"/>
              <w:left w:w="15" w:type="dxa"/>
              <w:right w:w="15" w:type="dxa"/>
            </w:tcMar>
            <w:vAlign w:val="center"/>
          </w:tcPr>
          <w:p w:rsidR="442DE462" w:rsidP="442DE462" w:rsidRDefault="442DE462" w14:paraId="4BAADE1B" w14:textId="525A4D2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No of epoch</w:t>
            </w:r>
          </w:p>
        </w:tc>
        <w:tc>
          <w:tcPr>
            <w:tcW w:w="570" w:type="dxa"/>
            <w:tcBorders>
              <w:top w:val="single" w:color="000000" w:themeColor="text1" w:sz="8"/>
              <w:left w:val="single" w:color="000000" w:themeColor="text1" w:sz="4"/>
              <w:bottom w:val="single" w:color="000000" w:themeColor="text1" w:sz="4"/>
              <w:right w:val="single" w:color="000000" w:themeColor="text1" w:sz="4"/>
            </w:tcBorders>
            <w:shd w:val="clear" w:color="auto" w:fill="FFFF00"/>
            <w:tcMar>
              <w:top w:w="15" w:type="dxa"/>
              <w:left w:w="15" w:type="dxa"/>
              <w:right w:w="15" w:type="dxa"/>
            </w:tcMar>
            <w:vAlign w:val="center"/>
          </w:tcPr>
          <w:p w:rsidR="442DE462" w:rsidP="442DE462" w:rsidRDefault="442DE462" w14:paraId="2D86F998" w14:textId="645F4BF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Batch size</w:t>
            </w:r>
          </w:p>
        </w:tc>
        <w:tc>
          <w:tcPr>
            <w:tcW w:w="765" w:type="dxa"/>
            <w:tcBorders>
              <w:top w:val="single" w:color="000000" w:themeColor="text1" w:sz="8"/>
              <w:left w:val="single" w:color="000000" w:themeColor="text1" w:sz="4"/>
              <w:bottom w:val="single" w:color="000000" w:themeColor="text1" w:sz="4"/>
              <w:right w:val="single" w:color="000000" w:themeColor="text1" w:sz="4"/>
            </w:tcBorders>
            <w:shd w:val="clear" w:color="auto" w:fill="FFFF00"/>
            <w:tcMar>
              <w:top w:w="15" w:type="dxa"/>
              <w:left w:w="15" w:type="dxa"/>
              <w:right w:w="15" w:type="dxa"/>
            </w:tcMar>
            <w:vAlign w:val="center"/>
          </w:tcPr>
          <w:p w:rsidR="442DE462" w:rsidP="442DE462" w:rsidRDefault="442DE462" w14:paraId="136ACE59" w14:textId="3C546A5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No of params</w:t>
            </w:r>
          </w:p>
        </w:tc>
        <w:tc>
          <w:tcPr>
            <w:tcW w:w="1845" w:type="dxa"/>
            <w:tcBorders>
              <w:top w:val="single" w:color="000000" w:themeColor="text1" w:sz="8"/>
              <w:left w:val="single" w:color="000000" w:themeColor="text1" w:sz="4"/>
              <w:bottom w:val="single" w:color="000000" w:themeColor="text1" w:sz="4"/>
              <w:right w:val="single" w:color="000000" w:themeColor="text1" w:sz="4"/>
            </w:tcBorders>
            <w:shd w:val="clear" w:color="auto" w:fill="FFFF00"/>
            <w:tcMar>
              <w:top w:w="15" w:type="dxa"/>
              <w:left w:w="15" w:type="dxa"/>
              <w:right w:w="15" w:type="dxa"/>
            </w:tcMar>
            <w:vAlign w:val="center"/>
          </w:tcPr>
          <w:p w:rsidR="442DE462" w:rsidP="442DE462" w:rsidRDefault="442DE462" w14:paraId="3B93F402" w14:textId="4C33A0F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 xml:space="preserve">Result </w:t>
            </w:r>
          </w:p>
        </w:tc>
        <w:tc>
          <w:tcPr>
            <w:tcW w:w="2736" w:type="dxa"/>
            <w:tcBorders>
              <w:top w:val="single" w:color="000000" w:themeColor="text1" w:sz="8"/>
              <w:left w:val="single" w:color="000000" w:themeColor="text1" w:sz="4"/>
              <w:bottom w:val="single" w:color="000000" w:themeColor="text1" w:sz="4"/>
              <w:right w:val="single" w:color="000000" w:themeColor="text1" w:sz="4"/>
            </w:tcBorders>
            <w:shd w:val="clear" w:color="auto" w:fill="FFFF00"/>
            <w:tcMar>
              <w:top w:w="15" w:type="dxa"/>
              <w:left w:w="15" w:type="dxa"/>
              <w:right w:w="15" w:type="dxa"/>
            </w:tcMar>
            <w:vAlign w:val="center"/>
          </w:tcPr>
          <w:p w:rsidR="442DE462" w:rsidP="442DE462" w:rsidRDefault="442DE462" w14:paraId="5247B9C0" w14:textId="1D38339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Decision + Explanation</w:t>
            </w:r>
          </w:p>
        </w:tc>
      </w:tr>
      <w:tr w:rsidR="442DE462" w:rsidTr="442DE462" w14:paraId="05A6B7D3">
        <w:trPr>
          <w:trHeight w:val="3270"/>
        </w:trPr>
        <w:tc>
          <w:tcPr>
            <w:tcW w:w="751" w:type="dxa"/>
            <w:tcBorders>
              <w:top w:val="single" w:color="000000" w:themeColor="text1" w:sz="4"/>
              <w:left w:val="single" w:color="000000" w:themeColor="text1" w:sz="8"/>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2FD34BFC" w14:textId="75113679">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w:t>
            </w:r>
          </w:p>
        </w:tc>
        <w:tc>
          <w:tcPr>
            <w:tcW w:w="8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6DFF15A9" w14:textId="2B28DCA3">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Conv3D</w:t>
            </w:r>
          </w:p>
        </w:tc>
        <w:tc>
          <w:tcPr>
            <w:tcW w:w="578"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67B934F1" w14:textId="1818053C">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30</w:t>
            </w:r>
          </w:p>
        </w:tc>
        <w:tc>
          <w:tcPr>
            <w:tcW w:w="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74A3CC86" w14:textId="5D80434F">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160x160</w:t>
            </w:r>
          </w:p>
        </w:tc>
        <w:tc>
          <w:tcPr>
            <w:tcW w:w="5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14C85BFD" w14:textId="48C97BA5">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30</w:t>
            </w:r>
          </w:p>
        </w:tc>
        <w:tc>
          <w:tcPr>
            <w:tcW w:w="5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53D58BB7" w14:textId="0FFB70EB">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40</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21C6C2DE" w14:textId="5C01EB04">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9902149</w:t>
            </w:r>
          </w:p>
        </w:tc>
        <w:tc>
          <w:tcPr>
            <w:tcW w:w="18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03FCCA1D" w14:textId="691B7A50">
            <w:pPr>
              <w:spacing w:before="0" w:beforeAutospacing="off" w:after="0" w:afterAutospacing="off"/>
              <w:jc w:val="center"/>
            </w:pPr>
            <w:r w:rsidRPr="442DE462" w:rsidR="442DE462">
              <w:rPr>
                <w:rFonts w:ascii="Calibri" w:hAnsi="Calibri" w:eastAsia="Calibri" w:cs="Calibri"/>
                <w:b w:val="1"/>
                <w:bCs w:val="1"/>
                <w:i w:val="0"/>
                <w:iCs w:val="0"/>
                <w:strike w:val="0"/>
                <w:dstrike w:val="0"/>
                <w:color w:val="000000" w:themeColor="text1" w:themeTint="FF" w:themeShade="FF"/>
                <w:sz w:val="22"/>
                <w:szCs w:val="22"/>
                <w:u w:val="none"/>
              </w:rPr>
              <w:t>train_accuracy 99% and validation accuracy 47%</w:t>
            </w:r>
          </w:p>
        </w:tc>
        <w:tc>
          <w:tcPr>
            <w:tcW w:w="27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75ADF882" w14:textId="20219FB3">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The model heavily overfitted, as seen in the large gap between training (99%) and validation (47%) accuracies. The high parameter count (~9.9M) combined with limited data likely caused overfitting. The architecture uses a simple TimeDistributed CNN followed by an LSTM, which provides a good baseline but lacks advanced regularization techniques like BatchNormalization or dropout. It is suitable for initial experiments but limited by shallow feature extraction and high memory requirements. For initial experiments, this approach is viable, but deeper feature extraction and regularization are required.</w:t>
            </w:r>
          </w:p>
        </w:tc>
      </w:tr>
      <w:tr w:rsidR="442DE462" w:rsidTr="442DE462" w14:paraId="4E7A7901">
        <w:trPr>
          <w:trHeight w:val="2880"/>
        </w:trPr>
        <w:tc>
          <w:tcPr>
            <w:tcW w:w="751" w:type="dxa"/>
            <w:tcBorders>
              <w:top w:val="single" w:color="000000" w:themeColor="text1" w:sz="4"/>
              <w:left w:val="single" w:color="000000" w:themeColor="text1" w:sz="8"/>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182CDBE6" w14:textId="0A6893A6">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2</w:t>
            </w:r>
          </w:p>
        </w:tc>
        <w:tc>
          <w:tcPr>
            <w:tcW w:w="8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4EDA2CEF" w14:textId="60BD81F8">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Conv3D</w:t>
            </w:r>
          </w:p>
        </w:tc>
        <w:tc>
          <w:tcPr>
            <w:tcW w:w="578"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5D16F0F6" w14:textId="32B67236">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18</w:t>
            </w:r>
          </w:p>
        </w:tc>
        <w:tc>
          <w:tcPr>
            <w:tcW w:w="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3FD28A49" w14:textId="2D631046">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120x120</w:t>
            </w:r>
          </w:p>
        </w:tc>
        <w:tc>
          <w:tcPr>
            <w:tcW w:w="5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2C2A716A" w14:textId="6A687BC2">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15</w:t>
            </w:r>
          </w:p>
        </w:tc>
        <w:tc>
          <w:tcPr>
            <w:tcW w:w="5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1A40D311" w14:textId="1DBB5C60">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25</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70DB97AF" w14:textId="00BB7F94">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79941</w:t>
            </w:r>
          </w:p>
        </w:tc>
        <w:tc>
          <w:tcPr>
            <w:tcW w:w="18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407DA1F2" w14:textId="55F2C0A6">
            <w:pPr>
              <w:spacing w:before="0" w:beforeAutospacing="off" w:after="0" w:afterAutospacing="off"/>
              <w:jc w:val="center"/>
            </w:pPr>
            <w:r w:rsidRPr="442DE462" w:rsidR="442DE462">
              <w:rPr>
                <w:rFonts w:ascii="Calibri" w:hAnsi="Calibri" w:eastAsia="Calibri" w:cs="Calibri"/>
                <w:b w:val="1"/>
                <w:bCs w:val="1"/>
                <w:i w:val="0"/>
                <w:iCs w:val="0"/>
                <w:strike w:val="0"/>
                <w:dstrike w:val="0"/>
                <w:color w:val="000000" w:themeColor="text1" w:themeTint="FF" w:themeShade="FF"/>
                <w:sz w:val="22"/>
                <w:szCs w:val="22"/>
                <w:u w:val="none"/>
              </w:rPr>
              <w:t>train_accuracy of 45 % and val_accuracy of 51 %.</w:t>
            </w:r>
          </w:p>
        </w:tc>
        <w:tc>
          <w:tcPr>
            <w:tcW w:w="27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6348B364" w14:textId="10C95312">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Reducing input size and number of frames drastically reduced parameters (~79k), leading to better generalization but causing underfitting due to insufficient feature extraction. Validation accuracy (51%) improved slightly compared to Experiment 1. This improved baseline adds extra convolution layers but still lacks regularization layers for stable training. Future iterations should increase the number of epochs and batch size to prevent premature convergence.</w:t>
            </w:r>
          </w:p>
        </w:tc>
      </w:tr>
      <w:tr w:rsidR="442DE462" w:rsidTr="442DE462" w14:paraId="32044DF4">
        <w:trPr>
          <w:trHeight w:val="2640"/>
        </w:trPr>
        <w:tc>
          <w:tcPr>
            <w:tcW w:w="751" w:type="dxa"/>
            <w:tcBorders>
              <w:top w:val="single" w:color="000000" w:themeColor="text1" w:sz="4"/>
              <w:left w:val="single" w:color="000000" w:themeColor="text1" w:sz="8"/>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2B76CD11" w14:textId="2A7F9EDC">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3</w:t>
            </w:r>
          </w:p>
        </w:tc>
        <w:tc>
          <w:tcPr>
            <w:tcW w:w="8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02CF0B66" w14:textId="3D0D3C7B">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Conv3D</w:t>
            </w:r>
          </w:p>
        </w:tc>
        <w:tc>
          <w:tcPr>
            <w:tcW w:w="578"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565CBBCE" w14:textId="485DA851">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18</w:t>
            </w:r>
          </w:p>
        </w:tc>
        <w:tc>
          <w:tcPr>
            <w:tcW w:w="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47E5CE0A" w14:textId="24013323">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120x120</w:t>
            </w:r>
          </w:p>
        </w:tc>
        <w:tc>
          <w:tcPr>
            <w:tcW w:w="5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57A42374" w14:textId="3BDB7E06">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20</w:t>
            </w:r>
          </w:p>
        </w:tc>
        <w:tc>
          <w:tcPr>
            <w:tcW w:w="5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10D696C0" w14:textId="28C52E55">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30</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0E85F714" w14:textId="7E00C9F4">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79941</w:t>
            </w:r>
          </w:p>
        </w:tc>
        <w:tc>
          <w:tcPr>
            <w:tcW w:w="18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4DEFB86E" w14:textId="46E68252">
            <w:pPr>
              <w:spacing w:before="0" w:beforeAutospacing="off" w:after="0" w:afterAutospacing="off"/>
              <w:jc w:val="center"/>
            </w:pPr>
            <w:r w:rsidRPr="442DE462" w:rsidR="442DE462">
              <w:rPr>
                <w:rFonts w:ascii="Calibri" w:hAnsi="Calibri" w:eastAsia="Calibri" w:cs="Calibri"/>
                <w:b w:val="1"/>
                <w:bCs w:val="1"/>
                <w:i w:val="0"/>
                <w:iCs w:val="0"/>
                <w:strike w:val="0"/>
                <w:dstrike w:val="0"/>
                <w:color w:val="000000" w:themeColor="text1" w:themeTint="FF" w:themeShade="FF"/>
                <w:sz w:val="22"/>
                <w:szCs w:val="22"/>
                <w:u w:val="none"/>
              </w:rPr>
              <w:t>train_accuracy of 89 % and val_accuracy of  76 % .</w:t>
            </w:r>
          </w:p>
        </w:tc>
        <w:tc>
          <w:tcPr>
            <w:tcW w:w="27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1606FADF" w14:textId="378988EA">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Increasing training epochs improved learning, raising validation accuracy to 76%. However, the architecture’s limited feature extraction capabilities caused a plateau in performance. The input resolution (120x120) provides a balance between computational efficiency and spatial granularity but may need dropout or augmentation to address overfitting.</w:t>
            </w:r>
          </w:p>
        </w:tc>
      </w:tr>
      <w:tr w:rsidR="442DE462" w:rsidTr="442DE462" w14:paraId="7993A80B">
        <w:trPr>
          <w:trHeight w:val="2760"/>
        </w:trPr>
        <w:tc>
          <w:tcPr>
            <w:tcW w:w="751" w:type="dxa"/>
            <w:tcBorders>
              <w:top w:val="single" w:color="000000" w:themeColor="text1" w:sz="4"/>
              <w:left w:val="single" w:color="000000" w:themeColor="text1" w:sz="8"/>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78BB7573" w14:textId="286D1F67">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4</w:t>
            </w:r>
          </w:p>
        </w:tc>
        <w:tc>
          <w:tcPr>
            <w:tcW w:w="8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40F8B52B" w14:textId="5B6C0D81">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Conv3D</w:t>
            </w:r>
          </w:p>
        </w:tc>
        <w:tc>
          <w:tcPr>
            <w:tcW w:w="578"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4783D0F6" w14:textId="2C8A6DA4">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18</w:t>
            </w:r>
          </w:p>
        </w:tc>
        <w:tc>
          <w:tcPr>
            <w:tcW w:w="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305805D1" w14:textId="19A3B509">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160x160</w:t>
            </w:r>
          </w:p>
        </w:tc>
        <w:tc>
          <w:tcPr>
            <w:tcW w:w="5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4F36FDCF" w14:textId="50EF5CD9">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50</w:t>
            </w:r>
          </w:p>
        </w:tc>
        <w:tc>
          <w:tcPr>
            <w:tcW w:w="5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16098C1A" w14:textId="216395F1">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30</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2E70809B" w14:textId="4BE13726">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79941</w:t>
            </w:r>
          </w:p>
        </w:tc>
        <w:tc>
          <w:tcPr>
            <w:tcW w:w="18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1741B2DC" w14:textId="695E16F7">
            <w:pPr>
              <w:spacing w:before="0" w:beforeAutospacing="off" w:after="0" w:afterAutospacing="off"/>
              <w:jc w:val="center"/>
            </w:pPr>
            <w:r w:rsidRPr="442DE462" w:rsidR="442DE462">
              <w:rPr>
                <w:rFonts w:ascii="Calibri" w:hAnsi="Calibri" w:eastAsia="Calibri" w:cs="Calibri"/>
                <w:b w:val="1"/>
                <w:bCs w:val="1"/>
                <w:i w:val="0"/>
                <w:iCs w:val="0"/>
                <w:strike w:val="0"/>
                <w:dstrike w:val="0"/>
                <w:color w:val="000000" w:themeColor="text1" w:themeTint="FF" w:themeShade="FF"/>
                <w:sz w:val="22"/>
                <w:szCs w:val="22"/>
                <w:u w:val="none"/>
              </w:rPr>
              <w:t>train_accuracy of 93 % and val_accuracy of 77 %.</w:t>
            </w:r>
          </w:p>
        </w:tc>
        <w:tc>
          <w:tcPr>
            <w:tcW w:w="27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3C5669FD" w14:textId="0BE2A36D">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Increasing the input resolution and parameters improved feature extraction but led to marginal gains in validation accuracy (77%). The increased computational cost outweighs the benefits, suggesting a need to explore hybrid architectures (e.g., CNN+RNN) for better performance. This model is well-suited for datasets requiring higher spatial detail.</w:t>
            </w:r>
          </w:p>
        </w:tc>
      </w:tr>
      <w:tr w:rsidR="442DE462" w:rsidTr="442DE462" w14:paraId="6BF45A40">
        <w:trPr>
          <w:trHeight w:val="2910"/>
        </w:trPr>
        <w:tc>
          <w:tcPr>
            <w:tcW w:w="751" w:type="dxa"/>
            <w:tcBorders>
              <w:top w:val="single" w:color="000000" w:themeColor="text1" w:sz="4"/>
              <w:left w:val="single" w:color="000000" w:themeColor="text1" w:sz="8"/>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224ECB52" w14:textId="7F4A2B53">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5</w:t>
            </w:r>
          </w:p>
        </w:tc>
        <w:tc>
          <w:tcPr>
            <w:tcW w:w="8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2FED092B" w14:textId="4523009D">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CNN + LSTM</w:t>
            </w:r>
          </w:p>
        </w:tc>
        <w:tc>
          <w:tcPr>
            <w:tcW w:w="578"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0CB8BA3D" w14:textId="45790158">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20</w:t>
            </w:r>
          </w:p>
        </w:tc>
        <w:tc>
          <w:tcPr>
            <w:tcW w:w="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5575DB12" w14:textId="0C297C70">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120x120</w:t>
            </w:r>
          </w:p>
        </w:tc>
        <w:tc>
          <w:tcPr>
            <w:tcW w:w="5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4FDC7E56" w14:textId="65CF183D">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30</w:t>
            </w:r>
          </w:p>
        </w:tc>
        <w:tc>
          <w:tcPr>
            <w:tcW w:w="5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4BD8475D" w14:textId="4717DD53">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30</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36CA6E9A" w14:textId="2F4753D9">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14922949</w:t>
            </w:r>
          </w:p>
        </w:tc>
        <w:tc>
          <w:tcPr>
            <w:tcW w:w="18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1AA095BA" w14:textId="16C5BA2A">
            <w:pPr>
              <w:spacing w:before="0" w:beforeAutospacing="off" w:after="0" w:afterAutospacing="off"/>
              <w:jc w:val="center"/>
            </w:pPr>
            <w:r w:rsidRPr="442DE462" w:rsidR="442DE462">
              <w:rPr>
                <w:rFonts w:ascii="Calibri" w:hAnsi="Calibri" w:eastAsia="Calibri" w:cs="Calibri"/>
                <w:b w:val="1"/>
                <w:bCs w:val="1"/>
                <w:i w:val="0"/>
                <w:iCs w:val="0"/>
                <w:strike w:val="0"/>
                <w:dstrike w:val="0"/>
                <w:color w:val="000000" w:themeColor="text1" w:themeTint="FF" w:themeShade="FF"/>
                <w:sz w:val="22"/>
                <w:szCs w:val="22"/>
                <w:u w:val="none"/>
              </w:rPr>
              <w:t>train_accuracy of 99 % and val_accuracy of 60 %.</w:t>
            </w:r>
          </w:p>
        </w:tc>
        <w:tc>
          <w:tcPr>
            <w:tcW w:w="27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6B84900B" w14:textId="532AB321">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The hybrid architecture improved temporal modeling, but validation accuracy (60%) indicated underfitting due to limited training epochs. Incorporates BatchNormalization and pooling layers, improving stability, but lacks dropout, leading to potential overfitting on larger datasets. Suggested increasing epochs and exploring data augmentation for further improvements. This approach is suitable for initial experiments requiring sequence modeling.</w:t>
            </w:r>
          </w:p>
        </w:tc>
      </w:tr>
      <w:tr w:rsidR="442DE462" w:rsidTr="442DE462" w14:paraId="1759700B">
        <w:trPr>
          <w:trHeight w:val="2550"/>
        </w:trPr>
        <w:tc>
          <w:tcPr>
            <w:tcW w:w="751" w:type="dxa"/>
            <w:tcBorders>
              <w:top w:val="single" w:color="000000" w:themeColor="text1" w:sz="4"/>
              <w:left w:val="single" w:color="000000" w:themeColor="text1" w:sz="8"/>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37F88299" w14:textId="2AFD224E">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6</w:t>
            </w:r>
          </w:p>
        </w:tc>
        <w:tc>
          <w:tcPr>
            <w:tcW w:w="8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5E5F2D49" w14:textId="7093A8EE">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CNN + LSTM</w:t>
            </w:r>
          </w:p>
        </w:tc>
        <w:tc>
          <w:tcPr>
            <w:tcW w:w="578"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39EC614A" w14:textId="6ABB4CDF">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20</w:t>
            </w:r>
          </w:p>
        </w:tc>
        <w:tc>
          <w:tcPr>
            <w:tcW w:w="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6322B087" w14:textId="1C3E878C">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120x120</w:t>
            </w:r>
          </w:p>
        </w:tc>
        <w:tc>
          <w:tcPr>
            <w:tcW w:w="5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27710EDE" w14:textId="09E0F2D7">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50</w:t>
            </w:r>
          </w:p>
        </w:tc>
        <w:tc>
          <w:tcPr>
            <w:tcW w:w="5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33771604" w14:textId="756DBAA8">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30</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1CD115FF" w14:textId="4BA43B0D">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26391749</w:t>
            </w:r>
          </w:p>
        </w:tc>
        <w:tc>
          <w:tcPr>
            <w:tcW w:w="18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2C68A0CB" w14:textId="7D67B032">
            <w:pPr>
              <w:spacing w:before="0" w:beforeAutospacing="off" w:after="0" w:afterAutospacing="off"/>
              <w:jc w:val="center"/>
            </w:pPr>
            <w:r w:rsidRPr="442DE462" w:rsidR="442DE462">
              <w:rPr>
                <w:rFonts w:ascii="Calibri" w:hAnsi="Calibri" w:eastAsia="Calibri" w:cs="Calibri"/>
                <w:b w:val="1"/>
                <w:bCs w:val="1"/>
                <w:i w:val="0"/>
                <w:iCs w:val="0"/>
                <w:strike w:val="0"/>
                <w:dstrike w:val="0"/>
                <w:color w:val="000000" w:themeColor="text1" w:themeTint="FF" w:themeShade="FF"/>
                <w:sz w:val="22"/>
                <w:szCs w:val="22"/>
                <w:u w:val="none"/>
              </w:rPr>
              <w:t>train_accuracy of 99 % and val_accuracy of 67 %.</w:t>
            </w:r>
          </w:p>
        </w:tc>
        <w:tc>
          <w:tcPr>
            <w:tcW w:w="27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3BF8E999" w14:textId="349B3D30">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Increasing epochs improved validation accuracy to 67%, but the model was computationally expensive (~26M parameters). Explored reducing complexity by tuning resolution and experimenting with alternative hybrid architectures. A well-rounded model for balanced performance with BatchNormalization, L2 regularization, and appropriate pooling layers. The resolution (120x120) might limit finer detail extraction in complex datasets.</w:t>
            </w:r>
          </w:p>
        </w:tc>
      </w:tr>
      <w:tr w:rsidR="442DE462" w:rsidTr="442DE462" w14:paraId="4E93AD64">
        <w:trPr>
          <w:trHeight w:val="2850"/>
        </w:trPr>
        <w:tc>
          <w:tcPr>
            <w:tcW w:w="751" w:type="dxa"/>
            <w:tcBorders>
              <w:top w:val="single" w:color="000000" w:themeColor="text1" w:sz="4"/>
              <w:left w:val="single" w:color="000000" w:themeColor="text1" w:sz="8"/>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5534A259" w14:textId="79316C99">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7</w:t>
            </w:r>
          </w:p>
        </w:tc>
        <w:tc>
          <w:tcPr>
            <w:tcW w:w="8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15CFD9E9" w14:textId="4AFEC37D">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CNN-LSTM Model</w:t>
            </w:r>
          </w:p>
        </w:tc>
        <w:tc>
          <w:tcPr>
            <w:tcW w:w="578"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00D49B09" w14:textId="56FA40E2">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20</w:t>
            </w:r>
          </w:p>
        </w:tc>
        <w:tc>
          <w:tcPr>
            <w:tcW w:w="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02751F81" w14:textId="6CD39D5B">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160x160</w:t>
            </w:r>
          </w:p>
        </w:tc>
        <w:tc>
          <w:tcPr>
            <w:tcW w:w="5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15150BE2" w14:textId="62D304A5">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20</w:t>
            </w:r>
          </w:p>
        </w:tc>
        <w:tc>
          <w:tcPr>
            <w:tcW w:w="5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3271A4B4" w14:textId="29621A30">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20</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7CB2C5BD" w14:textId="5ED0F548">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5080677</w:t>
            </w:r>
          </w:p>
        </w:tc>
        <w:tc>
          <w:tcPr>
            <w:tcW w:w="18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0E035470" w14:textId="02394043">
            <w:pPr>
              <w:spacing w:before="0" w:beforeAutospacing="off" w:after="0" w:afterAutospacing="off"/>
              <w:jc w:val="center"/>
            </w:pPr>
            <w:r w:rsidRPr="442DE462" w:rsidR="442DE462">
              <w:rPr>
                <w:rFonts w:ascii="Calibri" w:hAnsi="Calibri" w:eastAsia="Calibri" w:cs="Calibri"/>
                <w:b w:val="1"/>
                <w:bCs w:val="1"/>
                <w:i w:val="0"/>
                <w:iCs w:val="0"/>
                <w:strike w:val="0"/>
                <w:dstrike w:val="0"/>
                <w:color w:val="000000" w:themeColor="text1" w:themeTint="FF" w:themeShade="FF"/>
                <w:sz w:val="22"/>
                <w:szCs w:val="22"/>
                <w:u w:val="none"/>
              </w:rPr>
              <w:t>train_accuracy of 99% and val_accuracy of 65 %.</w:t>
            </w:r>
          </w:p>
        </w:tc>
        <w:tc>
          <w:tcPr>
            <w:tcW w:w="27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5B6CE99C" w14:textId="72B747D1">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Reduced parameter count by optimizing architecture, decreasing computational load but maintaining performance. Validation accuracy remained at 65%, showing diminishing returns. Decided to try GRU for reduced complexity and faster convergence. Suitable for memory-efficient tasks with temporal dependencies. Incorporates BatchNormalization and dropout for regularization.</w:t>
            </w:r>
          </w:p>
        </w:tc>
      </w:tr>
      <w:tr w:rsidR="442DE462" w:rsidTr="442DE462" w14:paraId="52961017">
        <w:trPr>
          <w:trHeight w:val="2400"/>
        </w:trPr>
        <w:tc>
          <w:tcPr>
            <w:tcW w:w="751" w:type="dxa"/>
            <w:tcBorders>
              <w:top w:val="single" w:color="000000" w:themeColor="text1" w:sz="4"/>
              <w:left w:val="single" w:color="000000" w:themeColor="text1" w:sz="8"/>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2A93289C" w14:textId="58D8B703">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8</w:t>
            </w:r>
          </w:p>
        </w:tc>
        <w:tc>
          <w:tcPr>
            <w:tcW w:w="8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31880078" w14:textId="2D2B1977">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CNN-GRU Model</w:t>
            </w:r>
          </w:p>
        </w:tc>
        <w:tc>
          <w:tcPr>
            <w:tcW w:w="578"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6E2F2610" w14:textId="44312BF2">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20</w:t>
            </w:r>
          </w:p>
        </w:tc>
        <w:tc>
          <w:tcPr>
            <w:tcW w:w="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686A4C19" w14:textId="1994E668">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160x160</w:t>
            </w:r>
          </w:p>
        </w:tc>
        <w:tc>
          <w:tcPr>
            <w:tcW w:w="5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22CC885D" w14:textId="77E6E78D">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20</w:t>
            </w:r>
          </w:p>
        </w:tc>
        <w:tc>
          <w:tcPr>
            <w:tcW w:w="5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088B978A" w14:textId="51DADC47">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30</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772CC17A" w14:textId="126D62BC">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409285</w:t>
            </w:r>
          </w:p>
        </w:tc>
        <w:tc>
          <w:tcPr>
            <w:tcW w:w="18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4806BF9C" w14:textId="4CC07DB6">
            <w:pPr>
              <w:spacing w:before="0" w:beforeAutospacing="off" w:after="0" w:afterAutospacing="off"/>
              <w:jc w:val="center"/>
            </w:pPr>
            <w:r w:rsidRPr="442DE462" w:rsidR="442DE462">
              <w:rPr>
                <w:rFonts w:ascii="Calibri" w:hAnsi="Calibri" w:eastAsia="Calibri" w:cs="Calibri"/>
                <w:b w:val="1"/>
                <w:bCs w:val="1"/>
                <w:i w:val="0"/>
                <w:iCs w:val="0"/>
                <w:strike w:val="0"/>
                <w:dstrike w:val="0"/>
                <w:color w:val="000000" w:themeColor="text1" w:themeTint="FF" w:themeShade="FF"/>
                <w:sz w:val="22"/>
                <w:szCs w:val="22"/>
                <w:u w:val="none"/>
              </w:rPr>
              <w:t>train_accuracy of 99% and val_accuracy of 48 %.</w:t>
            </w:r>
          </w:p>
        </w:tc>
        <w:tc>
          <w:tcPr>
            <w:tcW w:w="27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5BE1A2EA" w14:textId="12AFC605">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GRU-based architecture was lightweight (~409k params), but performance was poor, with validation accuracy dropping to 48%. Decided to leverage transfer learning with MobileNet for efficient feature extraction. Adds more Conv2D layers and dropout, making it robust to overfitting while still being computationally efficient.</w:t>
            </w:r>
          </w:p>
        </w:tc>
      </w:tr>
      <w:tr w:rsidR="442DE462" w:rsidTr="442DE462" w14:paraId="41DDD0BC">
        <w:trPr>
          <w:trHeight w:val="2790"/>
        </w:trPr>
        <w:tc>
          <w:tcPr>
            <w:tcW w:w="751" w:type="dxa"/>
            <w:tcBorders>
              <w:top w:val="single" w:color="000000" w:themeColor="text1" w:sz="4"/>
              <w:left w:val="single" w:color="000000" w:themeColor="text1" w:sz="8"/>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34BE826F" w14:textId="09EED1FB">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9</w:t>
            </w:r>
          </w:p>
        </w:tc>
        <w:tc>
          <w:tcPr>
            <w:tcW w:w="8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21AB08FD" w14:textId="4E3722E2">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MobileNet Transfer Learning Model - without updating weights + LSTM</w:t>
            </w:r>
          </w:p>
        </w:tc>
        <w:tc>
          <w:tcPr>
            <w:tcW w:w="578"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3C480C9B" w14:textId="38A1D3D6">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20</w:t>
            </w:r>
          </w:p>
        </w:tc>
        <w:tc>
          <w:tcPr>
            <w:tcW w:w="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066CA529" w14:textId="62AACC7F">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160x160</w:t>
            </w:r>
          </w:p>
        </w:tc>
        <w:tc>
          <w:tcPr>
            <w:tcW w:w="5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03D594AF" w14:textId="6BEBA3BB">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20</w:t>
            </w:r>
          </w:p>
        </w:tc>
        <w:tc>
          <w:tcPr>
            <w:tcW w:w="5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1AB5B3C9" w14:textId="55962F2A">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30</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6BAA2E2E" w14:textId="74F5A60F">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5413317</w:t>
            </w:r>
          </w:p>
        </w:tc>
        <w:tc>
          <w:tcPr>
            <w:tcW w:w="18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54916739" w14:textId="2487840B">
            <w:pPr>
              <w:spacing w:before="0" w:beforeAutospacing="off" w:after="0" w:afterAutospacing="off"/>
              <w:jc w:val="center"/>
            </w:pPr>
            <w:r w:rsidRPr="442DE462" w:rsidR="442DE462">
              <w:rPr>
                <w:rFonts w:ascii="Calibri" w:hAnsi="Calibri" w:eastAsia="Calibri" w:cs="Calibri"/>
                <w:b w:val="1"/>
                <w:bCs w:val="1"/>
                <w:i w:val="0"/>
                <w:iCs w:val="0"/>
                <w:strike w:val="0"/>
                <w:dstrike w:val="0"/>
                <w:color w:val="000000" w:themeColor="text1" w:themeTint="FF" w:themeShade="FF"/>
                <w:sz w:val="22"/>
                <w:szCs w:val="22"/>
                <w:u w:val="none"/>
              </w:rPr>
              <w:t>train_accuracy of 99% and val_accuracy of 76 %.</w:t>
            </w:r>
          </w:p>
        </w:tc>
        <w:tc>
          <w:tcPr>
            <w:tcW w:w="27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45D52A28" w14:textId="735F433E">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Transfer learning significantly boosted performance, with validation accuracy reaching 76%. However, the lack of weight updates limited the model’s ability to fine-tune to the dataset. Enabled weight updates for further improvements. Good for leveraging pre-trained models in a computationally efficient manner. Uses MobileNet with frozen weights for feature extraction but limited fine-tuning capacity.</w:t>
            </w:r>
          </w:p>
        </w:tc>
      </w:tr>
      <w:tr w:rsidR="442DE462" w:rsidTr="442DE462" w14:paraId="2F54D778">
        <w:trPr>
          <w:trHeight w:val="2820"/>
        </w:trPr>
        <w:tc>
          <w:tcPr>
            <w:tcW w:w="751" w:type="dxa"/>
            <w:tcBorders>
              <w:top w:val="single" w:color="000000" w:themeColor="text1" w:sz="4"/>
              <w:left w:val="single" w:color="000000" w:themeColor="text1" w:sz="8"/>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0DEB6465" w14:textId="2C491AC0">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10</w:t>
            </w:r>
          </w:p>
        </w:tc>
        <w:tc>
          <w:tcPr>
            <w:tcW w:w="8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111E7801" w14:textId="1F53ECAF">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MobileNet Transfer Learning Model - with updating weights + GRU</w:t>
            </w:r>
          </w:p>
        </w:tc>
        <w:tc>
          <w:tcPr>
            <w:tcW w:w="578"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5A8F757A" w:rsidP="442DE462" w:rsidRDefault="5A8F757A" w14:paraId="0C7032EE" w14:textId="74AA929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442DE462" w:rsidR="5A8F757A">
              <w:rPr>
                <w:rFonts w:ascii="Calibri" w:hAnsi="Calibri" w:eastAsia="Calibri" w:cs="Calibri"/>
                <w:b w:val="0"/>
                <w:bCs w:val="0"/>
                <w:i w:val="0"/>
                <w:iCs w:val="0"/>
                <w:strike w:val="0"/>
                <w:dstrike w:val="0"/>
                <w:color w:val="000000" w:themeColor="text1" w:themeTint="FF" w:themeShade="FF"/>
                <w:sz w:val="22"/>
                <w:szCs w:val="22"/>
                <w:u w:val="none"/>
              </w:rPr>
              <w:t>18</w:t>
            </w:r>
          </w:p>
        </w:tc>
        <w:tc>
          <w:tcPr>
            <w:tcW w:w="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719D365F" w14:textId="09075401">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120x120</w:t>
            </w:r>
          </w:p>
        </w:tc>
        <w:tc>
          <w:tcPr>
            <w:tcW w:w="5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2A595E60" w14:textId="360B2199">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20</w:t>
            </w:r>
          </w:p>
        </w:tc>
        <w:tc>
          <w:tcPr>
            <w:tcW w:w="5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0E22F299" w14:textId="01722AAB">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20</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61277156" w:rsidP="442DE462" w:rsidRDefault="61277156" w14:paraId="11C29EA0" w14:textId="670597A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2"/>
                <w:szCs w:val="22"/>
                <w:u w:val="none"/>
              </w:rPr>
            </w:pPr>
            <w:r w:rsidRPr="442DE462" w:rsidR="61277156">
              <w:rPr>
                <w:rFonts w:ascii="Calibri" w:hAnsi="Calibri" w:eastAsia="Calibri" w:cs="Calibri"/>
                <w:b w:val="0"/>
                <w:bCs w:val="0"/>
                <w:i w:val="0"/>
                <w:iCs w:val="0"/>
                <w:strike w:val="0"/>
                <w:dstrike w:val="0"/>
                <w:color w:val="000000" w:themeColor="text1" w:themeTint="FF" w:themeShade="FF"/>
                <w:sz w:val="22"/>
                <w:szCs w:val="22"/>
                <w:u w:val="none"/>
              </w:rPr>
              <w:t>3693253</w:t>
            </w:r>
          </w:p>
        </w:tc>
        <w:tc>
          <w:tcPr>
            <w:tcW w:w="18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1AEFCBD3" w14:textId="6C449719">
            <w:pPr>
              <w:spacing w:before="0" w:beforeAutospacing="off" w:after="0" w:afterAutospacing="off"/>
              <w:jc w:val="center"/>
              <w:rPr>
                <w:rFonts w:ascii="Calibri" w:hAnsi="Calibri" w:eastAsia="Calibri" w:cs="Calibri"/>
                <w:b w:val="1"/>
                <w:bCs w:val="1"/>
                <w:i w:val="0"/>
                <w:iCs w:val="0"/>
                <w:strike w:val="0"/>
                <w:dstrike w:val="0"/>
                <w:color w:val="000000" w:themeColor="text1" w:themeTint="FF" w:themeShade="FF"/>
                <w:sz w:val="22"/>
                <w:szCs w:val="22"/>
                <w:u w:val="none"/>
              </w:rPr>
            </w:pPr>
            <w:r w:rsidRPr="442DE462" w:rsidR="442DE462">
              <w:rPr>
                <w:rFonts w:ascii="Calibri" w:hAnsi="Calibri" w:eastAsia="Calibri" w:cs="Calibri"/>
                <w:b w:val="1"/>
                <w:bCs w:val="1"/>
                <w:i w:val="0"/>
                <w:iCs w:val="0"/>
                <w:strike w:val="0"/>
                <w:dstrike w:val="0"/>
                <w:color w:val="000000" w:themeColor="text1" w:themeTint="FF" w:themeShade="FF"/>
                <w:sz w:val="22"/>
                <w:szCs w:val="22"/>
                <w:u w:val="none"/>
              </w:rPr>
              <w:t>train_accuracy</w:t>
            </w:r>
            <w:r w:rsidRPr="442DE462" w:rsidR="442DE462">
              <w:rPr>
                <w:rFonts w:ascii="Calibri" w:hAnsi="Calibri" w:eastAsia="Calibri" w:cs="Calibri"/>
                <w:b w:val="1"/>
                <w:bCs w:val="1"/>
                <w:i w:val="0"/>
                <w:iCs w:val="0"/>
                <w:strike w:val="0"/>
                <w:dstrike w:val="0"/>
                <w:color w:val="000000" w:themeColor="text1" w:themeTint="FF" w:themeShade="FF"/>
                <w:sz w:val="22"/>
                <w:szCs w:val="22"/>
                <w:u w:val="none"/>
              </w:rPr>
              <w:t xml:space="preserve"> of 99% and </w:t>
            </w:r>
            <w:r w:rsidRPr="442DE462" w:rsidR="442DE462">
              <w:rPr>
                <w:rFonts w:ascii="Calibri" w:hAnsi="Calibri" w:eastAsia="Calibri" w:cs="Calibri"/>
                <w:b w:val="1"/>
                <w:bCs w:val="1"/>
                <w:i w:val="0"/>
                <w:iCs w:val="0"/>
                <w:strike w:val="0"/>
                <w:dstrike w:val="0"/>
                <w:color w:val="000000" w:themeColor="text1" w:themeTint="FF" w:themeShade="FF"/>
                <w:sz w:val="22"/>
                <w:szCs w:val="22"/>
                <w:u w:val="none"/>
              </w:rPr>
              <w:t>val_accuracy</w:t>
            </w:r>
            <w:r w:rsidRPr="442DE462" w:rsidR="442DE462">
              <w:rPr>
                <w:rFonts w:ascii="Calibri" w:hAnsi="Calibri" w:eastAsia="Calibri" w:cs="Calibri"/>
                <w:b w:val="1"/>
                <w:bCs w:val="1"/>
                <w:i w:val="0"/>
                <w:iCs w:val="0"/>
                <w:strike w:val="0"/>
                <w:dstrike w:val="0"/>
                <w:color w:val="000000" w:themeColor="text1" w:themeTint="FF" w:themeShade="FF"/>
                <w:sz w:val="22"/>
                <w:szCs w:val="22"/>
                <w:u w:val="none"/>
              </w:rPr>
              <w:t xml:space="preserve"> of </w:t>
            </w:r>
            <w:r w:rsidRPr="442DE462" w:rsidR="5696D606">
              <w:rPr>
                <w:rFonts w:ascii="Calibri" w:hAnsi="Calibri" w:eastAsia="Calibri" w:cs="Calibri"/>
                <w:b w:val="1"/>
                <w:bCs w:val="1"/>
                <w:i w:val="0"/>
                <w:iCs w:val="0"/>
                <w:strike w:val="0"/>
                <w:dstrike w:val="0"/>
                <w:color w:val="000000" w:themeColor="text1" w:themeTint="FF" w:themeShade="FF"/>
                <w:sz w:val="22"/>
                <w:szCs w:val="22"/>
                <w:u w:val="none"/>
              </w:rPr>
              <w:t>89</w:t>
            </w:r>
            <w:r w:rsidRPr="442DE462" w:rsidR="442DE462">
              <w:rPr>
                <w:rFonts w:ascii="Calibri" w:hAnsi="Calibri" w:eastAsia="Calibri" w:cs="Calibri"/>
                <w:b w:val="1"/>
                <w:bCs w:val="1"/>
                <w:i w:val="0"/>
                <w:iCs w:val="0"/>
                <w:strike w:val="0"/>
                <w:dstrike w:val="0"/>
                <w:color w:val="000000" w:themeColor="text1" w:themeTint="FF" w:themeShade="FF"/>
                <w:sz w:val="22"/>
                <w:szCs w:val="22"/>
                <w:u w:val="none"/>
              </w:rPr>
              <w:t xml:space="preserve"> %.</w:t>
            </w:r>
          </w:p>
        </w:tc>
        <w:tc>
          <w:tcPr>
            <w:tcW w:w="273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center"/>
          </w:tcPr>
          <w:p w:rsidR="442DE462" w:rsidP="442DE462" w:rsidRDefault="442DE462" w14:paraId="6E842F33" w14:textId="5CB18B87">
            <w:pPr>
              <w:spacing w:before="0" w:beforeAutospacing="off" w:after="0" w:afterAutospacing="off"/>
              <w:jc w:val="center"/>
            </w:pP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Updating weights allowed fine-tuning, enabling the model to learn dataset-specific features. Achieved the highest validation accuracy (</w:t>
            </w:r>
            <w:r w:rsidRPr="442DE462" w:rsidR="066D0251">
              <w:rPr>
                <w:rFonts w:ascii="Calibri" w:hAnsi="Calibri" w:eastAsia="Calibri" w:cs="Calibri"/>
                <w:b w:val="0"/>
                <w:bCs w:val="0"/>
                <w:i w:val="0"/>
                <w:iCs w:val="0"/>
                <w:strike w:val="0"/>
                <w:dstrike w:val="0"/>
                <w:color w:val="000000" w:themeColor="text1" w:themeTint="FF" w:themeShade="FF"/>
                <w:sz w:val="22"/>
                <w:szCs w:val="22"/>
                <w:u w:val="none"/>
              </w:rPr>
              <w:t>89</w:t>
            </w: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 xml:space="preserve">%) with a </w:t>
            </w: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relatively lightweight</w:t>
            </w: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 xml:space="preserve"> architecture (~</w:t>
            </w:r>
            <w:r w:rsidRPr="442DE462" w:rsidR="06BEB228">
              <w:rPr>
                <w:rFonts w:ascii="Calibri" w:hAnsi="Calibri" w:eastAsia="Calibri" w:cs="Calibri"/>
                <w:b w:val="0"/>
                <w:bCs w:val="0"/>
                <w:i w:val="0"/>
                <w:iCs w:val="0"/>
                <w:strike w:val="0"/>
                <w:dstrike w:val="0"/>
                <w:color w:val="000000" w:themeColor="text1" w:themeTint="FF" w:themeShade="FF"/>
                <w:sz w:val="22"/>
                <w:szCs w:val="22"/>
                <w:u w:val="none"/>
              </w:rPr>
              <w:t>3</w:t>
            </w: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w:t>
            </w:r>
            <w:r w:rsidRPr="442DE462" w:rsidR="3DF3A4A0">
              <w:rPr>
                <w:rFonts w:ascii="Calibri" w:hAnsi="Calibri" w:eastAsia="Calibri" w:cs="Calibri"/>
                <w:b w:val="0"/>
                <w:bCs w:val="0"/>
                <w:i w:val="0"/>
                <w:iCs w:val="0"/>
                <w:strike w:val="0"/>
                <w:dstrike w:val="0"/>
                <w:color w:val="000000" w:themeColor="text1" w:themeTint="FF" w:themeShade="FF"/>
                <w:sz w:val="22"/>
                <w:szCs w:val="22"/>
                <w:u w:val="none"/>
              </w:rPr>
              <w:t>7</w:t>
            </w:r>
            <w:r w:rsidRPr="442DE462" w:rsidR="442DE462">
              <w:rPr>
                <w:rFonts w:ascii="Calibri" w:hAnsi="Calibri" w:eastAsia="Calibri" w:cs="Calibri"/>
                <w:b w:val="0"/>
                <w:bCs w:val="0"/>
                <w:i w:val="0"/>
                <w:iCs w:val="0"/>
                <w:strike w:val="0"/>
                <w:dstrike w:val="0"/>
                <w:color w:val="000000" w:themeColor="text1" w:themeTint="FF" w:themeShade="FF"/>
                <w:sz w:val="22"/>
                <w:szCs w:val="22"/>
                <w:u w:val="none"/>
              </w:rPr>
              <w:t>M params). This was chosen as the final model. Builds on Model 9 but allows training of MobileNet layers. This flexibility provides better feature learning and customization for specific datasets, making it ideal for complex and diverse datasets.</w:t>
            </w:r>
          </w:p>
        </w:tc>
      </w:tr>
    </w:tbl>
    <w:p w:rsidR="442DE462" w:rsidP="442DE462" w:rsidRDefault="442DE462" w14:paraId="00A02D46" w14:textId="1C136969">
      <w:pPr>
        <w:pStyle w:val="Normal"/>
      </w:pPr>
    </w:p>
    <w:sectPr w:rsidRPr="009B5EE7" w:rsidR="009B5EE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3B4D31"/>
    <w:rsid w:val="008D5AB7"/>
    <w:rsid w:val="00966338"/>
    <w:rsid w:val="009B5EE7"/>
    <w:rsid w:val="00A579C4"/>
    <w:rsid w:val="00B32392"/>
    <w:rsid w:val="00C412F0"/>
    <w:rsid w:val="00E5552A"/>
    <w:rsid w:val="05CF15AF"/>
    <w:rsid w:val="066D0251"/>
    <w:rsid w:val="06BEB228"/>
    <w:rsid w:val="0E2929DE"/>
    <w:rsid w:val="3DF3A4A0"/>
    <w:rsid w:val="43238455"/>
    <w:rsid w:val="442DE462"/>
    <w:rsid w:val="5696D606"/>
    <w:rsid w:val="5A8F757A"/>
    <w:rsid w:val="61277156"/>
    <w:rsid w:val="6816AD04"/>
    <w:rsid w:val="6ADDB1AD"/>
    <w:rsid w:val="6ADDB1AD"/>
    <w:rsid w:val="7561C54E"/>
    <w:rsid w:val="7885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555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Kaustabh Singh</dc:creator>
  <keywords/>
  <dc:description/>
  <lastModifiedBy>Uday Kiran Pujaari</lastModifiedBy>
  <revision>7</revision>
  <dcterms:created xsi:type="dcterms:W3CDTF">2018-07-08T13:18:00.0000000Z</dcterms:created>
  <dcterms:modified xsi:type="dcterms:W3CDTF">2024-12-31T16:26:08.5040139Z</dcterms:modified>
</coreProperties>
</file>