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6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60" w:line="259"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and bioprocess support.</w:t>
      </w:r>
    </w:p>
    <w:p w14:paraId="01E0683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60" w:line="259"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31B06BF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NSS (National Service Scheme) – </w:t>
      </w:r>
      <w:r w:rsidRPr="0092541A">
        <w:rPr>
          <w:rFonts w:eastAsia="Calibri" w:cs="Calibri"/>
          <w:sz w:val="21"/>
          <w:szCs w:val="21"/>
        </w:rPr>
        <w:t>Participated in community service and social outreach activities with 60% attendance</w:t>
      </w:r>
    </w:p>
    <w:p w14:paraId="63FFF04D"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PCR – </w:t>
      </w:r>
      <w:r w:rsidRPr="0092541A">
        <w:rPr>
          <w:rFonts w:eastAsia="Calibri" w:cs="Calibri"/>
          <w:sz w:val="21"/>
          <w:szCs w:val="21"/>
        </w:rPr>
        <w:t>Amplification and analysis of target DNA sequences</w:t>
      </w:r>
    </w:p>
    <w:p w14:paraId="493E3CA9"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ELISA – </w:t>
      </w:r>
      <w:r w:rsidRPr="0092541A">
        <w:rPr>
          <w:rFonts w:eastAsia="Calibri" w:cs="Calibri"/>
          <w:sz w:val="21"/>
          <w:szCs w:val="21"/>
        </w:rPr>
        <w:t>Antigen-antibody detection for qualitative and quantitative assays</w:t>
      </w:r>
    </w:p>
    <w:p w14:paraId="73A9FC2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Chromatography – </w:t>
      </w:r>
      <w:r w:rsidRPr="0092541A">
        <w:rPr>
          <w:rFonts w:eastAsia="Calibri" w:cs="Calibri"/>
          <w:sz w:val="21"/>
          <w:szCs w:val="21"/>
        </w:rPr>
        <w:t>Separation and analysis of compounds using HPLC and related methods</w:t>
      </w:r>
    </w:p>
    <w:p w14:paraId="0FC8AACC"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Electrophoresis – </w:t>
      </w:r>
      <w:r w:rsidRPr="0092541A">
        <w:rPr>
          <w:rFonts w:eastAsia="Calibri" w:cs="Calibri"/>
          <w:sz w:val="21"/>
          <w:szCs w:val="21"/>
        </w:rPr>
        <w:t>Gel-based separation of nucleic acids and proteins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Gram staining – </w:t>
      </w:r>
      <w:r w:rsidRPr="0092541A">
        <w:rPr>
          <w:rFonts w:eastAsia="Calibri" w:cs="Calibri"/>
          <w:sz w:val="21"/>
          <w:szCs w:val="21"/>
        </w:rPr>
        <w:t>Differentiation of bacteria using Gram-positive and Gram-negative staining</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Sterilization techniques – </w:t>
      </w:r>
      <w:r w:rsidRPr="0092541A">
        <w:rPr>
          <w:rFonts w:eastAsia="Calibri" w:cs="Calibri"/>
          <w:sz w:val="21"/>
          <w:szCs w:val="21"/>
        </w:rPr>
        <w:t>Aseptic handling, autoclaving, and contamination control methods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DNA isolation – </w:t>
      </w:r>
      <w:r w:rsidRPr="0092541A">
        <w:rPr>
          <w:rFonts w:eastAsia="Calibri" w:cs="Calibri"/>
          <w:sz w:val="21"/>
          <w:szCs w:val="21"/>
        </w:rPr>
        <w:t>Extraction and purification of genomic DNA from biological samples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Blotting techniques – </w:t>
      </w:r>
      <w:r w:rsidRPr="0092541A">
        <w:rPr>
          <w:rFonts w:eastAsia="Calibri" w:cs="Calibri"/>
          <w:sz w:val="21"/>
          <w:szCs w:val="21"/>
        </w:rPr>
        <w:t>Southern, Northern, and Western blot methods for molecular analysis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Central dogma of molecular biology – </w:t>
      </w:r>
      <w:r w:rsidRPr="0092541A">
        <w:rPr>
          <w:rFonts w:eastAsia="Calibri" w:cs="Calibri"/>
          <w:sz w:val="21"/>
          <w:szCs w:val="21"/>
        </w:rPr>
        <w:t>Understanding of DNA replication, transcription, and translation in gene expression</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Data documentation – </w:t>
      </w:r>
      <w:r w:rsidRPr="0092541A">
        <w:rPr>
          <w:rFonts w:eastAsia="Calibri" w:cs="Calibri"/>
          <w:sz w:val="21"/>
          <w:szCs w:val="21"/>
        </w:rPr>
        <w:t>Accurate recording, reporting, and traceability of laboratory results</w:t>
      </w:r>
    </w:p>
    <w:p w14:paraId="5F9F8AB6"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1480F1D4"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7268431A"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