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1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6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60" w:line="259"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and bioprocess support.</w:t>
      </w:r>
    </w:p>
    <w:p w14:paraId="01E0683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60" w:line="259"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1480F1D4"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31B06BF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Basics – </w:t>
      </w:r>
      <w:r w:rsidRPr="0092541A">
        <w:rPr>
          <w:rFonts w:eastAsia="Calibri" w:cs="Calibri"/>
          <w:sz w:val="21"/>
          <w:szCs w:val="21"/>
        </w:rPr>
        <w:t>Introductory HPLC exposure and strong academic grounding in scientific analysis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PCR</w:t>
      </w:r>
      <w:r w:rsidRPr="0092541A">
        <w:rPr>
          <w:rFonts w:eastAsia="Calibri" w:cs="Calibri"/>
          <w:sz w:val="21"/>
          <w:szCs w:val="21"/>
        </w:rPr>
      </w:r>
    </w:p>
    <w:p w14:paraId="493E3CA9"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ELISA</w:t>
      </w:r>
      <w:r w:rsidRPr="0092541A">
        <w:rPr>
          <w:rFonts w:eastAsia="Calibri" w:cs="Calibri"/>
          <w:sz w:val="21"/>
          <w:szCs w:val="21"/>
        </w:rPr>
      </w:r>
    </w:p>
    <w:p w14:paraId="73A9FC2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Chromatography</w:t>
      </w:r>
      <w:r w:rsidRPr="0092541A">
        <w:rPr>
          <w:rFonts w:eastAsia="Calibri" w:cs="Calibri"/>
          <w:sz w:val="21"/>
          <w:szCs w:val="21"/>
        </w:rPr>
      </w:r>
    </w:p>
    <w:p w14:paraId="0FC8AACC"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Electrophoresis</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Gram staining</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Sterilization techniques</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DNA isolation</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Blotting techniques</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Replication of DNA</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Transcription</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Translation</w:t>
      </w:r>
      <w:r w:rsidRPr="0092541A">
        <w:rPr>
          <w:rFonts w:eastAsia="Calibri" w:cs="Calibri"/>
          <w:sz w:val="21"/>
          <w:szCs w:val="21"/>
        </w:rPr>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Data documentation</w:t>
      </w:r>
      <w:r w:rsidRPr="0092541A">
        <w:rPr>
          <w:rFonts w:eastAsia="Calibri" w:cs="Calibri"/>
          <w:sz w:val="21"/>
          <w:szCs w:val="21"/>
        </w:rPr>
      </w:r>
    </w:p>
    <w:p w14:paraId="7268431A"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