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18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8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80" w:line="276"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analytical testing, or bioprocess support.</w:t>
      </w:r>
    </w:p>
    <w:p w14:paraId="01E06837" w14:textId="77777777" w:rsidR="0082183A" w:rsidRPr="0092541A" w:rsidRDefault="00000000">
      <w:pPr>
        <w:keepNext/>
        <w:pBdr>
          <w:bottom w:val="single" w:sz="6" w:space="1" w:color="1B4F5C"/>
        </w:pBdr>
        <w:spacing w:before="180" w:after="8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80" w:line="276"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18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1480F1D4"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31B06BFF"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Basics – </w:t>
      </w:r>
      <w:r w:rsidRPr="0092541A">
        <w:rPr>
          <w:rFonts w:eastAsia="Calibri" w:cs="Calibri"/>
          <w:sz w:val="21"/>
          <w:szCs w:val="21"/>
        </w:rPr>
        <w:t>Introductory HPLC exposure and strong academic grounding in scientific analysis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Techniques – </w:t>
      </w:r>
      <w:r w:rsidRPr="0092541A">
        <w:rPr>
          <w:rFonts w:eastAsia="Calibri" w:cs="Calibri"/>
          <w:sz w:val="21"/>
          <w:szCs w:val="21"/>
        </w:rPr>
        <w:t>Bacterial culture, staining techniques, microscopy, and pure culture maintenance</w:t>
      </w:r>
    </w:p>
    <w:p w14:paraId="493E3CA9"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Molecular Biology – </w:t>
      </w:r>
      <w:r w:rsidRPr="0092541A">
        <w:rPr>
          <w:rFonts w:eastAsia="Calibri" w:cs="Calibri"/>
          <w:sz w:val="21"/>
          <w:szCs w:val="21"/>
        </w:rPr>
        <w:t>DNA extraction, gel electrophoresis, and PCR techniques</w:t>
      </w:r>
    </w:p>
    <w:p w14:paraId="73A9FC2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Immunology – </w:t>
      </w:r>
      <w:r w:rsidRPr="0092541A">
        <w:rPr>
          <w:rFonts w:eastAsia="Calibri" w:cs="Calibri"/>
          <w:sz w:val="21"/>
          <w:szCs w:val="21"/>
        </w:rPr>
        <w:t>Basic principles of immune response and antigen-antibody interactions</w:t>
      </w:r>
    </w:p>
    <w:p w14:paraId="0FC8AACC"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Techniques – </w:t>
      </w:r>
      <w:r w:rsidRPr="0092541A">
        <w:rPr>
          <w:rFonts w:eastAsia="Calibri" w:cs="Calibri"/>
          <w:sz w:val="21"/>
          <w:szCs w:val="21"/>
        </w:rPr>
        <w:t>Foundational familiarity with laboratory analysis workflows and data interpretation</w:t>
      </w:r>
    </w:p>
    <w:p w14:paraId="7268431A" w14:textId="77777777" w:rsidR="0082183A" w:rsidRPr="0092541A" w:rsidRDefault="00000000">
      <w:pPr>
        <w:keepNext/>
        <w:pBdr>
          <w:bottom w:val="single" w:sz="6" w:space="1" w:color="1B4F5C"/>
        </w:pBdr>
        <w:spacing w:before="18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18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18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