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24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12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120" w:line="276"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analytical testing, or bioprocess support.</w:t>
      </w:r>
    </w:p>
    <w:p w14:paraId="01E06837"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120" w:line="276"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1480F1D4"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31B06BFF"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5F9F8AB6"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63FFF04D"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Chromatography – </w:t>
      </w:r>
      <w:r w:rsidRPr="0092541A">
        <w:rPr>
          <w:rFonts w:eastAsia="Calibri" w:cs="Calibri"/>
          <w:sz w:val="21"/>
          <w:szCs w:val="21"/>
        </w:rPr>
        <w:t>HPLC and separation-based analytical methods</w:t>
      </w:r>
    </w:p>
    <w:p w14:paraId="493E3CA9"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Electrophoresis – </w:t>
      </w:r>
      <w:r w:rsidRPr="0092541A">
        <w:rPr>
          <w:rFonts w:eastAsia="Calibri" w:cs="Calibri"/>
          <w:sz w:val="21"/>
          <w:szCs w:val="21"/>
        </w:rPr>
        <w:t>Gel electrophoresis and nucleic acid analysis</w:t>
      </w:r>
    </w:p>
    <w:p w14:paraId="73A9FC2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Techniques – </w:t>
      </w:r>
      <w:r w:rsidRPr="0092541A">
        <w:rPr>
          <w:rFonts w:eastAsia="Calibri" w:cs="Calibri"/>
          <w:sz w:val="21"/>
          <w:szCs w:val="21"/>
        </w:rPr>
        <w:t>Foundational familiarity with laboratory analysis workflows and data interpretation</w:t>
      </w:r>
    </w:p>
    <w:p w14:paraId="7268431A"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