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HighEducation Project Overview</w:t>
      </w:r>
    </w:p>
    <w:p>
      <w:pPr>
        <w:spacing w:after="360"/>
      </w:pPr>
      <w:r>
        <w:rPr>
          <w:color w:val="5A6B78"/>
          <w:sz w:val="24"/>
        </w:rPr>
        <w:t>Scholarship administration and CSR fund management</w:t>
      </w:r>
    </w:p>
    <w:p>
      <w:r>
        <w:t>HighEducation is a web-based Java application that supports scholarship administration for KSS and corporate social responsibility (CSR) fund tracking for KSS and SSS. It brings approval, project, invoice, receipt, and vendor-payment records into one application, with institution-specific data kept in separate MySQL schemas.</w:t>
      </w:r>
    </w:p>
    <w:p>
      <w:pPr>
        <w:pStyle w:val="Heading1"/>
      </w:pPr>
      <w:r>
        <w:t>Project at a glance</w:t>
      </w:r>
    </w:p>
    <w:tbl>
      <w:tblPr>
        <w:tblStyle w:val="TableGrid"/>
        <w:tblW w:type="auto" w:w="0"/>
        <w:jc w:val="center"/>
        <w:tblLook w:firstColumn="1" w:firstRow="1" w:lastColumn="0" w:lastRow="0" w:noHBand="0" w:noVBand="1" w:val="04A0"/>
      </w:tblPr>
      <w:tblGrid>
        <w:gridCol w:w="4997"/>
        <w:gridCol w:w="4997"/>
      </w:tblGrid>
      <w:tr>
        <w:tc>
          <w:tcPr>
            <w:tcW w:type="dxa" w:w="2160"/>
            <w:shd w:fill="17324D"/>
          </w:tcPr>
          <w:p>
            <w:pPr>
              <w:spacing w:after="0"/>
            </w:pPr>
            <w:r/>
            <w:r>
              <w:rPr>
                <w:rFonts w:ascii="Aptos" w:hAnsi="Aptos"/>
                <w:b/>
                <w:color w:val="FFFFFF"/>
                <w:sz w:val="18"/>
              </w:rPr>
              <w:t>Item</w:t>
            </w:r>
          </w:p>
        </w:tc>
        <w:tc>
          <w:tcPr>
            <w:tcW w:type="dxa" w:w="8208"/>
            <w:shd w:fill="17324D"/>
          </w:tcPr>
          <w:p>
            <w:pPr>
              <w:spacing w:after="0"/>
            </w:pPr>
            <w:r/>
            <w:r>
              <w:rPr>
                <w:rFonts w:ascii="Aptos" w:hAnsi="Aptos"/>
                <w:b/>
                <w:color w:val="FFFFFF"/>
                <w:sz w:val="18"/>
              </w:rPr>
              <w:t>Current project details</w:t>
            </w:r>
          </w:p>
        </w:tc>
      </w:tr>
      <w:tr>
        <w:tc>
          <w:tcPr>
            <w:tcW w:type="dxa" w:w="2160"/>
            <w:vAlign w:val="center"/>
            <w:shd w:fill="EAF2F6"/>
          </w:tcPr>
          <w:p>
            <w:pPr>
              <w:spacing w:after="0"/>
            </w:pPr>
            <w:r/>
            <w:r>
              <w:rPr>
                <w:rFonts w:ascii="Aptos" w:hAnsi="Aptos"/>
                <w:b w:val="0"/>
                <w:color w:val="17324D"/>
                <w:sz w:val="18"/>
              </w:rPr>
              <w:t>Application</w:t>
            </w:r>
          </w:p>
        </w:tc>
        <w:tc>
          <w:tcPr>
            <w:tcW w:type="dxa" w:w="8208"/>
            <w:vAlign w:val="center"/>
            <w:shd w:fill="EAF2F6"/>
          </w:tcPr>
          <w:p>
            <w:pPr>
              <w:spacing w:after="0"/>
            </w:pPr>
            <w:r/>
            <w:r>
              <w:rPr>
                <w:rFonts w:ascii="Aptos" w:hAnsi="Aptos"/>
                <w:b w:val="0"/>
                <w:color w:val="17324D"/>
                <w:sz w:val="18"/>
              </w:rPr>
              <w:t>HighEducation; Java web application packaged as a WAR</w:t>
            </w:r>
          </w:p>
        </w:tc>
      </w:tr>
      <w:tr>
        <w:tc>
          <w:tcPr>
            <w:tcW w:type="dxa" w:w="2160"/>
            <w:vAlign w:val="center"/>
          </w:tcPr>
          <w:p>
            <w:pPr>
              <w:spacing w:after="0"/>
            </w:pPr>
            <w:r/>
            <w:r>
              <w:rPr>
                <w:rFonts w:ascii="Aptos" w:hAnsi="Aptos"/>
                <w:b w:val="0"/>
                <w:color w:val="17324D"/>
                <w:sz w:val="18"/>
              </w:rPr>
              <w:t>Institutions</w:t>
            </w:r>
          </w:p>
        </w:tc>
        <w:tc>
          <w:tcPr>
            <w:tcW w:type="dxa" w:w="8208"/>
            <w:vAlign w:val="center"/>
          </w:tcPr>
          <w:p>
            <w:pPr>
              <w:spacing w:after="0"/>
            </w:pPr>
            <w:r/>
            <w:r>
              <w:rPr>
                <w:rFonts w:ascii="Aptos" w:hAnsi="Aptos"/>
                <w:b w:val="0"/>
                <w:color w:val="17324D"/>
                <w:sz w:val="18"/>
              </w:rPr>
              <w:t>KSS (scholarships and CSR) and SSS (CSR only)</w:t>
            </w:r>
          </w:p>
        </w:tc>
      </w:tr>
      <w:tr>
        <w:tc>
          <w:tcPr>
            <w:tcW w:type="dxa" w:w="2160"/>
            <w:vAlign w:val="center"/>
            <w:shd w:fill="EAF2F6"/>
          </w:tcPr>
          <w:p>
            <w:pPr>
              <w:spacing w:after="0"/>
            </w:pPr>
            <w:r/>
            <w:r>
              <w:rPr>
                <w:rFonts w:ascii="Aptos" w:hAnsi="Aptos"/>
                <w:b w:val="0"/>
                <w:color w:val="17324D"/>
                <w:sz w:val="18"/>
              </w:rPr>
              <w:t>Primary users</w:t>
            </w:r>
          </w:p>
        </w:tc>
        <w:tc>
          <w:tcPr>
            <w:tcW w:type="dxa" w:w="8208"/>
            <w:vAlign w:val="center"/>
            <w:shd w:fill="EAF2F6"/>
          </w:tcPr>
          <w:p>
            <w:pPr>
              <w:spacing w:after="0"/>
            </w:pPr>
            <w:r/>
            <w:r>
              <w:rPr>
                <w:rFonts w:ascii="Aptos" w:hAnsi="Aptos"/>
                <w:b w:val="0"/>
                <w:color w:val="17324D"/>
                <w:sz w:val="18"/>
              </w:rPr>
              <w:t>Global users can choose or switch institution; other users work in KSS</w:t>
            </w:r>
          </w:p>
        </w:tc>
      </w:tr>
      <w:tr>
        <w:tc>
          <w:tcPr>
            <w:tcW w:type="dxa" w:w="2160"/>
            <w:vAlign w:val="center"/>
          </w:tcPr>
          <w:p>
            <w:pPr>
              <w:spacing w:after="0"/>
            </w:pPr>
            <w:r/>
            <w:r>
              <w:rPr>
                <w:rFonts w:ascii="Aptos" w:hAnsi="Aptos"/>
                <w:b w:val="0"/>
                <w:color w:val="17324D"/>
                <w:sz w:val="18"/>
              </w:rPr>
              <w:t>Technology</w:t>
            </w:r>
          </w:p>
        </w:tc>
        <w:tc>
          <w:tcPr>
            <w:tcW w:type="dxa" w:w="8208"/>
            <w:vAlign w:val="center"/>
          </w:tcPr>
          <w:p>
            <w:pPr>
              <w:spacing w:after="0"/>
            </w:pPr>
            <w:r/>
            <w:r>
              <w:rPr>
                <w:rFonts w:ascii="Aptos" w:hAnsi="Aptos"/>
                <w:b w:val="0"/>
                <w:color w:val="17324D"/>
                <w:sz w:val="18"/>
              </w:rPr>
              <w:t>Java 17, Servlet 4, JSP, Maven, Tomcat 9, MySQL</w:t>
            </w:r>
          </w:p>
        </w:tc>
      </w:tr>
      <w:tr>
        <w:tc>
          <w:tcPr>
            <w:tcW w:type="dxa" w:w="2160"/>
            <w:vAlign w:val="center"/>
            <w:shd w:fill="EAF2F6"/>
          </w:tcPr>
          <w:p>
            <w:pPr>
              <w:spacing w:after="0"/>
            </w:pPr>
            <w:r/>
            <w:r>
              <w:rPr>
                <w:rFonts w:ascii="Aptos" w:hAnsi="Aptos"/>
                <w:b w:val="0"/>
                <w:color w:val="17324D"/>
                <w:sz w:val="18"/>
              </w:rPr>
              <w:t>Interface</w:t>
            </w:r>
          </w:p>
        </w:tc>
        <w:tc>
          <w:tcPr>
            <w:tcW w:type="dxa" w:w="8208"/>
            <w:vAlign w:val="center"/>
            <w:shd w:fill="EAF2F6"/>
          </w:tcPr>
          <w:p>
            <w:pPr>
              <w:spacing w:after="0"/>
            </w:pPr>
            <w:r/>
            <w:r>
              <w:rPr>
                <w:rFonts w:ascii="Aptos" w:hAnsi="Aptos"/>
                <w:b w:val="0"/>
                <w:color w:val="17324D"/>
                <w:sz w:val="18"/>
              </w:rPr>
              <w:t>Browser-based application with finance-focused CSR pages</w:t>
            </w:r>
          </w:p>
        </w:tc>
      </w:tr>
      <w:tr>
        <w:tc>
          <w:tcPr>
            <w:tcW w:type="dxa" w:w="2160"/>
            <w:vAlign w:val="center"/>
          </w:tcPr>
          <w:p>
            <w:pPr>
              <w:spacing w:after="0"/>
            </w:pPr>
            <w:r/>
            <w:r>
              <w:rPr>
                <w:rFonts w:ascii="Aptos" w:hAnsi="Aptos"/>
                <w:b w:val="0"/>
                <w:color w:val="17324D"/>
                <w:sz w:val="18"/>
              </w:rPr>
              <w:t>Deployment</w:t>
            </w:r>
          </w:p>
        </w:tc>
        <w:tc>
          <w:tcPr>
            <w:tcW w:type="dxa" w:w="8208"/>
            <w:vAlign w:val="center"/>
          </w:tcPr>
          <w:p>
            <w:pPr>
              <w:spacing w:after="0"/>
            </w:pPr>
            <w:r/>
            <w:r>
              <w:rPr>
                <w:rFonts w:ascii="Aptos" w:hAnsi="Aptos"/>
                <w:b w:val="0"/>
                <w:color w:val="17324D"/>
                <w:sz w:val="18"/>
              </w:rPr>
              <w:t>Railway build and deployment using Docker and Tomcat 9</w:t>
            </w:r>
          </w:p>
        </w:tc>
      </w:tr>
    </w:tbl>
    <w:p>
      <w:pPr>
        <w:spacing w:after="20"/>
      </w:pPr>
    </w:p>
    <w:p>
      <w:pPr>
        <w:pStyle w:val="Heading1"/>
      </w:pPr>
      <w:r>
        <w:t>What the application does</w:t>
      </w:r>
    </w:p>
    <w:p>
      <w:pPr>
        <w:pStyle w:val="Heading2"/>
      </w:pPr>
      <w:r>
        <w:t>Scholarship administration</w:t>
      </w:r>
    </w:p>
    <w:p>
      <w:r>
        <w:t>The KSS module provides scholarship portal functions for managing scholarship records and related documents. Scholarship pages are not available while a Global user is working in the SSS institution context.</w:t>
      </w:r>
    </w:p>
    <w:p>
      <w:pPr>
        <w:pStyle w:val="Heading2"/>
      </w:pPr>
      <w:r>
        <w:t>CSR approvals and spending</w:t>
      </w:r>
    </w:p>
    <w:p>
      <w:r>
        <w:t>The CSR workflow follows approved funding from management authorization through work orders, invoices, fund release letters (FRLs), receipts, and vendor payments. Users can review project positions and supporting financial details through dashboards, approval pages, ledgers, and printable statements.</w:t>
      </w:r>
    </w:p>
    <w:p>
      <w:pPr>
        <w:pStyle w:val="ListBullet"/>
      </w:pPr>
      <w:r>
        <w:t>Management approvals with statements, project/work-order positions, pending points, and print views.</w:t>
      </w:r>
    </w:p>
    <w:p>
      <w:pPr>
        <w:pStyle w:val="ListBullet"/>
      </w:pPr>
      <w:r>
        <w:t>Work orders, proforma and tax invoices, FRLs, and fund receipts.</w:t>
      </w:r>
    </w:p>
    <w:p>
      <w:pPr>
        <w:pStyle w:val="ListBullet"/>
      </w:pPr>
      <w:r>
        <w:t>Vendor advances, payment vouchers, deductions, and part payments against invoices.</w:t>
      </w:r>
    </w:p>
    <w:p>
      <w:pPr>
        <w:pStyle w:val="ListBullet"/>
      </w:pPr>
      <w:r>
        <w:t>Work-order debit and credit ledger with paid amounts and closing balance.</w:t>
      </w:r>
    </w:p>
    <w:p>
      <w:pPr>
        <w:pStyle w:val="ListBullet"/>
      </w:pPr>
      <w:r>
        <w:t>Vendor payment summaries showing bills, amounts paid, and balances due.</w:t>
      </w:r>
    </w:p>
    <w:p>
      <w:pPr>
        <w:pStyle w:val="ListBullet"/>
      </w:pPr>
      <w:r>
        <w:t>CSR dashboard with company and unit summaries, monthly receipts versus utilisation, and project status.</w:t>
      </w:r>
    </w:p>
    <w:p>
      <w:pPr>
        <w:pStyle w:val="ListBullet"/>
      </w:pPr>
      <w:r>
        <w:t>Company masters and company-aware approval, FRL, receipt, and print information.</w:t>
      </w:r>
    </w:p>
    <w:p>
      <w:pPr>
        <w:pStyle w:val="Heading1"/>
      </w:pPr>
      <w:r>
        <w:t>How institutions are separated</w:t>
      </w:r>
    </w:p>
    <w:p>
      <w:r>
        <w:t>The application uses one login source and one MySQL server. KSS data is stored in the KSS schema; SSS CSR data is stored in SSS_CSR. A Global user selects an institution after login and can switch from the page header. Non-Global users remain in KSS. The application selects the corresponding schema for each request so records stay within the chosen institution.</w:t>
      </w:r>
    </w:p>
    <w:p>
      <w:pPr>
        <w:pStyle w:val="Heading1"/>
      </w:pPr>
      <w:r>
        <w:t>Project status</w:t>
      </w:r>
    </w:p>
    <w:p>
      <w:r>
        <w:t>The project status notes report the main CSR workflow, institution switching, company support, vendor payments, ledgers, and dashboards as implemented. Before deploying the current funding-company changes, the company schema migration must be applied in both KSS and SSS_CSR. The project notes also identify further work, including security improvements and payment-calculation rule updates.</w:t>
      </w:r>
    </w:p>
    <w:p>
      <w:pPr>
        <w:pStyle w:val="Heading1"/>
      </w:pPr>
      <w:r>
        <w:t>Platform clarification</w:t>
      </w:r>
    </w:p>
    <w:p>
      <w:r>
        <w:t>The inspected workspace is a Java web application, not a native Android application. It contains a Maven WAR project, Servlet controllers, JSP pages, and a Tomcat deployment configuration. These project details describe the application present in the workspace.</w:t>
      </w:r>
    </w:p>
    <w:p>
      <w:pPr>
        <w:pStyle w:val="Heading1"/>
      </w:pPr>
      <w:r>
        <w:t>Purpose of this document</w:t>
      </w:r>
    </w:p>
    <w:p>
      <w:r>
        <w:t>This overview is intended for project stakeholders who need a concise explanation of the application, its users, major functions, and current implementation status.</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B78"/>
        <w:sz w:val="16"/>
      </w:rPr>
      <w:t>HIGHEDUCATION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5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8C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