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HighEducation Technical Specification</w:t>
      </w:r>
    </w:p>
    <w:p>
      <w:pPr>
        <w:spacing w:after="360"/>
      </w:pPr>
      <w:r>
        <w:rPr>
          <w:color w:val="5A6B78"/>
          <w:sz w:val="24"/>
        </w:rPr>
        <w:t>Architecture, modules, data, and operational notes</w:t>
      </w:r>
    </w:p>
    <w:p>
      <w:r>
        <w:t>This specification summarizes the implementation described by the HighEducation source tree and project handover notes. It documents the current web application architecture and key operating rules for developers and maintainers.</w:t>
      </w:r>
    </w:p>
    <w:p>
      <w:pPr>
        <w:pStyle w:val="Heading1"/>
      </w:pPr>
      <w:r>
        <w:t>1.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8136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Presentation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JSP pages, shared header/navigation, CSS including finance theme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Request handling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Java Servlets under com.Controller; ModuleFilter applies request context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Application configuration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AppConfig defines institution configuration and request-scoped selection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Data access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DAO classes and DBUtil provide MySQL access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Database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MySQL schemas KSS and SSS_CSR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Build/package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Maven WAR; Java source/target 17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Runtime/deployment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Tomcat 9; Docker-based Railway deployment</w:t>
            </w:r>
          </w:p>
        </w:tc>
      </w:tr>
    </w:tbl>
    <w:p>
      <w:pPr>
        <w:spacing w:after="20"/>
      </w:pPr>
    </w:p>
    <w:p>
      <w:pPr>
        <w:pStyle w:val="Heading1"/>
      </w:pPr>
      <w:r>
        <w:t>2. Login and institution context</w:t>
      </w:r>
    </w:p>
    <w:p>
      <w:pPr>
        <w:pStyle w:val="ListBullet"/>
      </w:pPr>
      <w:r>
        <w:t>Authentication is sourced from KSS.users.</w:t>
      </w:r>
    </w:p>
    <w:p>
      <w:pPr>
        <w:pStyle w:val="ListBullet"/>
      </w:pPr>
      <w:r>
        <w:t>After login, a Global user chooses KSS or SSS; the header supports switching between them.</w:t>
      </w:r>
    </w:p>
    <w:p>
      <w:pPr>
        <w:pStyle w:val="ListBullet"/>
      </w:pPr>
      <w:r>
        <w:t>Non-Global users are restricted to KSS.</w:t>
      </w:r>
    </w:p>
    <w:p>
      <w:pPr>
        <w:pStyle w:val="ListBullet"/>
      </w:pPr>
      <w:r>
        <w:t>ModuleFilter establishes the institution for each request; AppConfig exposes the selected configuration.</w:t>
      </w:r>
    </w:p>
    <w:p>
      <w:pPr>
        <w:pStyle w:val="ListBullet"/>
      </w:pPr>
      <w:r>
        <w:t>DBUtil connects to MySQL and selects the schema associated with the chosen institution.</w:t>
      </w:r>
    </w:p>
    <w:p>
      <w:pPr>
        <w:pStyle w:val="ListBullet"/>
      </w:pPr>
      <w:r>
        <w:t>KSS supports scholarship and CSR modules. SSS exposes CSR functions only; scholarship routes are redirected to CSR pages.</w:t>
      </w:r>
    </w:p>
    <w:p>
      <w:pPr>
        <w:pStyle w:val="Heading1"/>
      </w:pPr>
      <w:r>
        <w:t>3.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136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Responsibilities and notable behavior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Scholarships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KSS scholarship portal, scholarship records, and document-related operations.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Management approvals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Approval statements and project positions, tabs, pending points, company assignment, and A4 print view.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Work orders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Work-order management and per-order debit/credit ledger.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Invoices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Proforma and tax invoice handling; particulars field; proforma settlement and FRL requirement.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FRLs and receipts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Fund release letter claims and fund receipts linked to approvals/projects.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Vendor payments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Vendor advances, payment vouchers, deductions, part payments, and payment summaries.</w:t>
            </w:r>
          </w:p>
        </w:tc>
      </w:tr>
      <w:tr>
        <w:tc>
          <w:tcPr>
            <w:tcW w:type="dxa" w:w="223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CSR dashboard</w:t>
            </w:r>
          </w:p>
        </w:tc>
        <w:tc>
          <w:tcPr>
            <w:tcW w:type="dxa" w:w="813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Company/unit and project positions, monthly receipts versus utilisation, status/alerts, amount detail views.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Masters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Funding company records used by approvals and downstream CSR pages.</w:t>
            </w:r>
          </w:p>
        </w:tc>
      </w:tr>
    </w:tbl>
    <w:p>
      <w:pPr>
        <w:spacing w:after="20"/>
      </w:pPr>
    </w:p>
    <w:p>
      <w:pPr>
        <w:pStyle w:val="Heading1"/>
      </w:pPr>
      <w:r>
        <w:t>4. Financial workflow and rules</w:t>
      </w:r>
    </w:p>
    <w:p>
      <w:r>
        <w:t>The implemented CSR sequence is Management Approval → Work Orders → Proforma or Tax Invoices → FRLs → Fund Receipts. Vendor payment tracking supports advances against work orders and one or more payment vouchers for a tax invoice. A work-order ledger treats bills as credits and payments/deductions as debits, then presents the closing balance.</w:t>
      </w:r>
    </w:p>
    <w:p>
      <w:pPr>
        <w:pStyle w:val="ListBullet"/>
      </w:pPr>
      <w:r>
        <w:t>Proforma invoices are not bills: they do not appear in the work-order ledger and do not receive payment vouchers.</w:t>
      </w:r>
    </w:p>
    <w:p>
      <w:pPr>
        <w:pStyle w:val="ListBullet"/>
      </w:pPr>
      <w:r>
        <w:t>A tax invoice can have multiple part-payment vouchers.</w:t>
      </w:r>
    </w:p>
    <w:p>
      <w:pPr>
        <w:pStyle w:val="ListBullet"/>
      </w:pPr>
      <w:r>
        <w:t>The current TDS sections are 194C and 194J.</w:t>
      </w:r>
    </w:p>
    <w:p>
      <w:pPr>
        <w:pStyle w:val="ListBullet"/>
      </w:pPr>
      <w:r>
        <w:t>Deletion and editing safeguards prevent changes that would invalidate linked downstream records.</w:t>
      </w:r>
    </w:p>
    <w:p>
      <w:pPr>
        <w:pStyle w:val="ListBullet"/>
      </w:pPr>
      <w:r>
        <w:t>Project notes identify payment-calculation behavior still requiring implementation: advance TDS/net handling, revised TDS and retention bases, retention release entries, and remarks for manual overrides. Confirm these rules with the project owner before changing calculations.</w:t>
      </w:r>
    </w:p>
    <w:p>
      <w:pPr>
        <w:pStyle w:val="Heading1"/>
      </w:pPr>
      <w:r>
        <w:t>5. Data and schema operations</w:t>
      </w:r>
    </w:p>
    <w:p>
      <w:r>
        <w:t>The application uses identically named CSR tables in each institution schema. A CSR schema change generally needs to be applied to both KSS and SSS_CSR. New institutions are provisioned from the CSR database script described in HANDOVER.md.</w:t>
      </w:r>
    </w:p>
    <w:p>
      <w:pPr>
        <w:pStyle w:val="ListBullet"/>
      </w:pPr>
      <w:r>
        <w:t>KSS contains scholarship and CSR data; SSS_CSR contains CSR data only.</w:t>
      </w:r>
    </w:p>
    <w:p>
      <w:pPr>
        <w:pStyle w:val="ListBullet"/>
      </w:pPr>
      <w:r>
        <w:t>Funding-company support adds kss_csr_company and company_id on kss_csr_approval_letter.</w:t>
      </w:r>
    </w:p>
    <w:p>
      <w:pPr>
        <w:pStyle w:val="ListBullet"/>
      </w:pPr>
      <w:r>
        <w:t>The project status notes say Dump20261016\KSS_csr_company.sql must be run once in each schema before deploying the company-aware code.</w:t>
      </w:r>
    </w:p>
    <w:p>
      <w:pPr>
        <w:pStyle w:val="ListBullet"/>
      </w:pPr>
      <w:r>
        <w:t>Payment-related database migrations and current schema state should be checked against PROJECT_STATUS.md and the SQL scripts before deployment.</w:t>
      </w:r>
    </w:p>
    <w:p>
      <w:pPr>
        <w:pStyle w:val="Heading1"/>
      </w:pPr>
      <w:r>
        <w:t>6. Key source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776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Representative files</w:t>
            </w:r>
          </w:p>
        </w:tc>
      </w:tr>
      <w:tr>
        <w:tc>
          <w:tcPr>
            <w:tcW w:type="dxa" w:w="259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Institution and database context</w:t>
            </w:r>
          </w:p>
        </w:tc>
        <w:tc>
          <w:tcPr>
            <w:tcW w:type="dxa" w:w="777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AppConfig.java, ModuleFilter.java, InstitutionServlet.java, DBUtil.java, LoginServlet.java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CSR controllers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CsrDashboardServlet.java, CsrLetterServlet.java, CsrWorkOrderServlet.java, CsrInvoiceServlet.java, CsrFrlServlet.java, CsrFundServlet.java, CsrPaymentServlet.java, CsrCompanyServlet.java</w:t>
            </w:r>
          </w:p>
        </w:tc>
      </w:tr>
      <w:tr>
        <w:tc>
          <w:tcPr>
            <w:tcW w:type="dxa" w:w="259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Scholarship controllers and data</w:t>
            </w:r>
          </w:p>
        </w:tc>
        <w:tc>
          <w:tcPr>
            <w:tcW w:type="dxa" w:w="777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Scholarship servlets and DAO/Bean classes under com.Controller, com.DAO, and com.Bean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Views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CSR JSP pages, selectInstitution.jsp, shared header.jsp</w:t>
            </w:r>
          </w:p>
        </w:tc>
      </w:tr>
      <w:tr>
        <w:tc>
          <w:tcPr>
            <w:tcW w:type="dxa" w:w="2592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Styling</w:t>
            </w:r>
          </w:p>
        </w:tc>
        <w:tc>
          <w:tcPr>
            <w:tcW w:type="dxa" w:w="7776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css/finance.css, css/csrLetter.css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Build/deploy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pom.xml, Dockerfile</w:t>
            </w:r>
          </w:p>
        </w:tc>
      </w:tr>
    </w:tbl>
    <w:p>
      <w:pPr>
        <w:spacing w:after="20"/>
      </w:pPr>
    </w:p>
    <w:p>
      <w:pPr>
        <w:pStyle w:val="Heading1"/>
      </w:pPr>
      <w:r>
        <w:t>7. Build, run, and deployment</w:t>
      </w:r>
    </w:p>
    <w:p>
      <w:pPr>
        <w:pStyle w:val="ListBullet"/>
      </w:pPr>
      <w:r>
        <w:t>Local runtime described by the handover: Eclipse, Tomcat 9, Java 17, and Railway MySQL.</w:t>
      </w:r>
    </w:p>
    <w:p>
      <w:pPr>
        <w:pStyle w:val="ListBullet"/>
      </w:pPr>
      <w:r>
        <w:t>The Maven package is target/HighEducation-1.0-SNAPSHOT.war.</w:t>
      </w:r>
    </w:p>
    <w:p>
      <w:pPr>
        <w:pStyle w:val="ListBullet"/>
      </w:pPr>
      <w:r>
        <w:t>Railway builds the Docker image and deploys the application as ROOT.war on Tomcat 9.</w:t>
      </w:r>
    </w:p>
    <w:p>
      <w:pPr>
        <w:pStyle w:val="ListBullet"/>
      </w:pPr>
      <w:r>
        <w:t>Apply required SQL migrations before deploying code that depends on the new schema. Run CSR migrations in both institution schemas when applicable.</w:t>
      </w:r>
    </w:p>
    <w:p>
      <w:pPr>
        <w:pStyle w:val="ListBullet"/>
      </w:pPr>
      <w:r>
        <w:t>After source changes outside Eclipse, refresh the project, clean the build/server, restart Tomcat, and reload the browser to avoid stale files.</w:t>
      </w:r>
    </w:p>
    <w:p>
      <w:pPr>
        <w:pStyle w:val="Heading1"/>
      </w:pPr>
      <w:r>
        <w:t>8. Open maintenance items</w:t>
      </w:r>
    </w:p>
    <w:p>
      <w:pPr>
        <w:pStyle w:val="ListBullet"/>
      </w:pPr>
      <w:r>
        <w:t>Apply and verify the funding-company migration in both schemas before deploying related code.</w:t>
      </w:r>
    </w:p>
    <w:p>
      <w:pPr>
        <w:pStyle w:val="ListBullet"/>
      </w:pPr>
      <w:r>
        <w:t>Clean and test the application in Eclipse, then deploy.</w:t>
      </w:r>
    </w:p>
    <w:p>
      <w:pPr>
        <w:pStyle w:val="ListBullet"/>
      </w:pPr>
      <w:r>
        <w:t>Move the database password from source code to deployment configuration and rotate the exposed credential.</w:t>
      </w:r>
    </w:p>
    <w:p>
      <w:pPr>
        <w:pStyle w:val="ListBullet"/>
      </w:pPr>
      <w:r>
        <w:t>Hash user passwords and add CSRF protection to AJAX POST requests before wider use.</w:t>
      </w:r>
    </w:p>
    <w:p>
      <w:pPr>
        <w:pStyle w:val="ListBullet"/>
      </w:pPr>
      <w:r>
        <w:t>Review and implement the owner-defined vendor payment calculation rules.</w:t>
      </w:r>
    </w:p>
    <w:p>
      <w:pPr>
        <w:pStyle w:val="ListBullet"/>
      </w:pPr>
      <w:r>
        <w:t>Confirm the required KSS schema columns and FRL claim constraints.</w:t>
      </w:r>
    </w:p>
    <w:p>
      <w:pPr>
        <w:pStyle w:val="ListBullet"/>
      </w:pPr>
      <w:r>
        <w:t>Review placeholder menu items and other items listed in PROJECT_STATUS.md.</w:t>
      </w:r>
    </w:p>
    <w:p>
      <w:pPr>
        <w:pStyle w:val="Heading1"/>
      </w:pPr>
      <w:r>
        <w:t>9. Platform and scope</w:t>
      </w:r>
    </w:p>
    <w:p>
      <w:r>
        <w:t>This repository does not contain a native Android project structure. The build configuration packages a Java web application as a WAR and targets Servlet/JSP on Tomcat. This specification therefore describes the existing HighEducation web system; a native Android client would be a separate project or future extension.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B78"/>
        <w:sz w:val="16"/>
      </w:rPr>
      <w:t>HIGHEDUCATION  | 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5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8C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