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2.png" ContentType="image/png"/>
  <Override PartName="/word/media/rId28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05c55c664ecb46f5da76b89660194d464e6e752"/>
    <w:p>
      <w:pPr>
        <w:pStyle w:val="Heading1"/>
      </w:pPr>
      <w:r>
        <w:t xml:space="preserve">Does attention in drug–target interaction models mark the binding site? An audit across distribution shift, two benchmarks and four models</w:t>
      </w:r>
    </w:p>
    <w:p>
      <w:pPr>
        <w:pStyle w:val="FirstParagraph"/>
      </w:pPr>
      <w:r>
        <w:rPr>
          <w:b/>
          <w:bCs/>
        </w:rPr>
        <w:t xml:space="preserve">Mahim Agarwal</w:t>
      </w:r>
      <w:r>
        <w:t xml:space="preserve">, supervised by</w:t>
      </w:r>
      <w:r>
        <w:t xml:space="preserve"> </w:t>
      </w:r>
      <w:r>
        <w:rPr>
          <w:b/>
          <w:bCs/>
        </w:rPr>
        <w:t xml:space="preserve">Dr. Chandra Mohan Dasari</w:t>
      </w:r>
      <w:r>
        <w:t xml:space="preserve"> </w:t>
      </w:r>
      <w:r>
        <w:t xml:space="preserve">Draft for supervisor review — 20 September 2026</w:t>
      </w:r>
    </w:p>
    <w:p>
      <w:pPr>
        <w:pStyle w:val="BodyText"/>
      </w:pPr>
      <w:r>
        <w:rPr>
          <w:i/>
          <w:iCs/>
        </w:rPr>
        <w:t xml:space="preserve">This is a condensed, venue-neutral draft assembled from the full section drafts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paper/</w:t>
      </w:r>
      <w:r>
        <w:rPr>
          <w:i/>
          <w:iCs/>
        </w:rPr>
        <w:t xml:space="preserve"> </w:t>
      </w:r>
      <w:r>
        <w:rPr>
          <w:i/>
          <w:iCs/>
        </w:rPr>
        <w:t xml:space="preserve">(introduction, methods, results, discussion, limitations, references), which hold</w:t>
      </w:r>
      <w:r>
        <w:rPr>
          <w:i/>
          <w:iCs/>
        </w:rPr>
        <w:t xml:space="preserve"> </w:t>
      </w:r>
      <w:r>
        <w:rPr>
          <w:i/>
          <w:iCs/>
        </w:rPr>
        <w:t xml:space="preserve">every number with its source file. Nothing here is a new number: each is traceable to a</w:t>
      </w:r>
      <w:r>
        <w:rPr>
          <w:i/>
          <w:iCs/>
        </w:rPr>
        <w:t xml:space="preserve"> </w:t>
      </w:r>
      <w:r>
        <w:rPr>
          <w:i/>
          <w:iCs/>
        </w:rPr>
        <w:t xml:space="preserve">committed analysis file. Section references of the form</w:t>
      </w:r>
      <w:r>
        <w:rPr>
          <w:i/>
          <w:iCs/>
        </w:rPr>
        <w:t xml:space="preserve"> </w:t>
      </w:r>
      <w:r>
        <w:rPr>
          <w:i/>
          <w:iCs/>
        </w:rPr>
        <w:t xml:space="preserve">“Results §5”</w:t>
      </w:r>
      <w:r>
        <w:rPr>
          <w:i/>
          <w:iCs/>
        </w:rPr>
        <w:t xml:space="preserve"> </w:t>
      </w:r>
      <w:r>
        <w:rPr>
          <w:i/>
          <w:iCs/>
        </w:rPr>
        <w:t xml:space="preserve">point into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paper/results.md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Attention-based drug–target interaction (DTI) models present attention over the protein as</w:t>
      </w:r>
      <w:r>
        <w:t xml:space="preserve"> </w:t>
      </w:r>
      <w:r>
        <w:t xml:space="preserve">evidence of where the drug binds; we audit that claim. Four attention-based models (three</w:t>
      </w:r>
      <w:r>
        <w:t xml:space="preserve"> </w:t>
      </w:r>
      <w:r>
        <w:t xml:space="preserve">published, including DrugBAN, 2023; one ours) and a no-attention anchor were retrained on</w:t>
      </w:r>
      <w:r>
        <w:t xml:space="preserve"> </w:t>
      </w:r>
      <w:r>
        <w:t xml:space="preserve">identical splits at four levels of shift — random, unseen drug, unseen target, both — three</w:t>
      </w:r>
      <w:r>
        <w:t xml:space="preserve"> </w:t>
      </w:r>
      <w:r>
        <w:t xml:space="preserve">seeds per cell, on DAVIS (60 cells) and at two levels on KIBA (24 cells). Plausibility was</w:t>
      </w:r>
      <w:r>
        <w:t xml:space="preserve"> </w:t>
      </w:r>
      <w:r>
        <w:t xml:space="preserve">scored against UniProt residues, the KLIFS ATP pocket and crystallographic contacts, each</w:t>
      </w:r>
      <w:r>
        <w:t xml:space="preserve"> </w:t>
      </w:r>
      <w:r>
        <w:t xml:space="preserve">against chance, a uniform floor, a positive control and positional, residue-type and</w:t>
      </w:r>
      <w:r>
        <w:t xml:space="preserve"> </w:t>
      </w:r>
      <w:r>
        <w:t xml:space="preserve">drug-identity nulls; faithfulness by size-matched masking in the space each model reads.</w:t>
      </w:r>
      <w:r>
        <w:t xml:space="preserve"> </w:t>
      </w:r>
      <w:r>
        <w:t xml:space="preserve">One of twenty DAVIS cells supported the residue-level claim after Holm correction</w:t>
      </w:r>
      <w:r>
        <w:t xml:space="preserve"> </w:t>
      </w:r>
      <w:r>
        <w:t xml:space="preserve">(HyperAttentionDTI, random split, 1.7× chance) and it did not replicate on KIBA, where none</w:t>
      </w:r>
      <w:r>
        <w:t xml:space="preserve"> </w:t>
      </w:r>
      <w:r>
        <w:t xml:space="preserve">of eight survived. In twelve of twenty-two three-seed cells the seeds disagree about their</w:t>
      </w:r>
      <w:r>
        <w:t xml:space="preserve"> </w:t>
      </w:r>
      <w:r>
        <w:t xml:space="preserve">own verdict; the surviving cell is the only one where all three agree. The 2023 model, the</w:t>
      </w:r>
      <w:r>
        <w:t xml:space="preserve"> </w:t>
      </w:r>
      <w:r>
        <w:t xml:space="preserve">only one whose map changes with the drug, is at chance against the pocket at every level.</w:t>
      </w:r>
      <w:r>
        <w:t xml:space="preserve"> </w:t>
      </w:r>
      <w:r>
        <w:t xml:space="preserve">What replicated was coarser: the older models’ top-ten attention is load-bearing</w:t>
      </w:r>
      <w:r>
        <w:t xml:space="preserve"> </w:t>
      </w:r>
      <w:r>
        <w:t xml:space="preserve">everywhere, and HyperAttentionDTI’s localises the ATP pocket at 1.3–1.5× chance on 422</w:t>
      </w:r>
      <w:r>
        <w:t xml:space="preserve"> </w:t>
      </w:r>
      <w:r>
        <w:t xml:space="preserve">unseen drugs. Three measurement findings generalise: plausibility depends on an unreported</w:t>
      </w:r>
      <w:r>
        <w:t xml:space="preserve"> </w:t>
      </w:r>
      <w:r>
        <w:t xml:space="preserve">readout choice, masking faithfulness does not transfer across tokenisations, and integrated</w:t>
      </w:r>
      <w:r>
        <w:t xml:space="preserve"> </w:t>
      </w:r>
      <w:r>
        <w:t xml:space="preserve">gradients on the same weights survive correction where attention does not (7/12 DAVIS cells</w:t>
      </w:r>
      <w:r>
        <w:t xml:space="preserve"> </w:t>
      </w:r>
      <w:r>
        <w:t xml:space="preserve">against 1/20; 3/4 on KIBA against 0/8).</w:t>
      </w:r>
    </w:p>
    <w:p>
      <w:r>
        <w:pict>
          <v:rect style="width:0;height:1.5pt" o:hralign="center" o:hrstd="t" o:hr="t"/>
        </w:pict>
      </w:r>
    </w:p>
    <w:bookmarkEnd w:id="9"/>
    <w:bookmarkStart w:id="10" w:name="Xbcb7965eef23db817da4efd763afdb1f101e98c"/>
    <w:p>
      <w:pPr>
        <w:pStyle w:val="Heading2"/>
      </w:pPr>
      <w:r>
        <w:t xml:space="preserve">1. What the project asks, and why it is worth asking</w:t>
      </w:r>
    </w:p>
    <w:p>
      <w:pPr>
        <w:pStyle w:val="FirstParagraph"/>
      </w:pPr>
      <w:r>
        <w:t xml:space="preserve">Attention-based DTI models routinely display attention over the protein sequence and</w:t>
      </w:r>
      <w:r>
        <w:t xml:space="preserve"> </w:t>
      </w:r>
      <w:r>
        <w:t xml:space="preserve">conclude that the model has found the binding site. That claim is usually supported on a</w:t>
      </w:r>
      <w:r>
        <w:t xml:space="preserve"> </w:t>
      </w:r>
      <w:r>
        <w:t xml:space="preserve">random split, by inspecting a handful of examples, from a single training run, and without</w:t>
      </w:r>
      <w:r>
        <w:t xml:space="preserve"> </w:t>
      </w:r>
      <w:r>
        <w:t xml:space="preserve">a chance level. Three things follow that no published figure can settle: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Does the claim survive distribution shift?</w:t>
      </w:r>
      <w:r>
        <w:t xml:space="preserve"> </w:t>
      </w:r>
      <w:r>
        <w:t xml:space="preserve">Cold-start generalisation — an unseen</w:t>
      </w:r>
      <w:r>
        <w:t xml:space="preserve"> </w:t>
      </w:r>
      <w:r>
        <w:t xml:space="preserve">drug, an unseen target, or both — is the setting these models are built for. An</w:t>
      </w:r>
      <w:r>
        <w:t xml:space="preserve"> </w:t>
      </w:r>
      <w:r>
        <w:t xml:space="preserve">explanation that only works on a random split explains the easy case.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Does it replicate?</w:t>
      </w:r>
      <w:r>
        <w:t xml:space="preserve"> </w:t>
      </w:r>
      <w:r>
        <w:t xml:space="preserve">Across training seeds, and across datasets.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 the verdict about the model, or about how the attention was read out?</w:t>
      </w:r>
      <w:r>
        <w:t xml:space="preserve"> </w:t>
      </w:r>
      <w:r>
        <w:t xml:space="preserve">Between the</w:t>
      </w:r>
      <w:r>
        <w:t xml:space="preserve"> </w:t>
      </w:r>
      <w:r>
        <w:t xml:space="preserve">tensor inside the network and the one number per residue a figure shows, somebody makes</w:t>
      </w:r>
      <w:r>
        <w:t xml:space="preserve"> </w:t>
      </w:r>
      <w:r>
        <w:t xml:space="preserve">reduction choices that no paper reports.</w:t>
      </w:r>
    </w:p>
    <w:p>
      <w:pPr>
        <w:pStyle w:val="FirstParagraph"/>
      </w:pPr>
      <w:r>
        <w:t xml:space="preserve">This work is an</w:t>
      </w:r>
      <w:r>
        <w:t xml:space="preserve"> </w:t>
      </w:r>
      <w:r>
        <w:rPr>
          <w:b/>
          <w:bCs/>
        </w:rPr>
        <w:t xml:space="preserve">audit</w:t>
      </w:r>
      <w:r>
        <w:t xml:space="preserve">, not a new model. We retrain published models with their authors’</w:t>
      </w:r>
      <w:r>
        <w:t xml:space="preserve"> </w:t>
      </w:r>
      <w:r>
        <w:t xml:space="preserve">own recipes, score their explanations against annotated ground truth with a chance level,</w:t>
      </w:r>
      <w:r>
        <w:t xml:space="preserve"> </w:t>
      </w:r>
      <w:r>
        <w:t xml:space="preserve">a ceiling, a uniform-attention floor and a battery of nulls, correct once for multiplicity</w:t>
      </w:r>
      <w:r>
        <w:t xml:space="preserve"> </w:t>
      </w:r>
      <w:r>
        <w:t xml:space="preserve">across the whole family, and report what survives.</w:t>
      </w:r>
    </w:p>
    <w:p>
      <w:pPr>
        <w:pStyle w:val="BodyText"/>
      </w:pPr>
      <w:r>
        <w:rPr>
          <w:b/>
          <w:bCs/>
        </w:rPr>
        <w:t xml:space="preserve">The subjects.</w:t>
      </w:r>
      <w:r>
        <w:t xml:space="preserve"> </w:t>
      </w:r>
      <w:r>
        <w:t xml:space="preserve">MolTrans (2021), HyperAttentionDTI (2022) and DrugBAN (2023) are</w:t>
      </w:r>
      <w:r>
        <w:t xml:space="preserve"> </w:t>
      </w:r>
      <w:r>
        <w:t xml:space="preserve">published attention-based models whose papers make interpretability claims. ColdSite-DTI is</w:t>
      </w:r>
      <w:r>
        <w:t xml:space="preserve"> </w:t>
      </w:r>
      <w:r>
        <w:t xml:space="preserve">our own model, held to exactly the same standard. DeepDTA (2018) has no attention and is</w:t>
      </w:r>
      <w:r>
        <w:t xml:space="preserve"> </w:t>
      </w:r>
      <w:r>
        <w:t xml:space="preserve">included only as an accuracy anchor, so a reader can see whether the interpretable models</w:t>
      </w:r>
      <w:r>
        <w:t xml:space="preserve"> </w:t>
      </w:r>
      <w:r>
        <w:t xml:space="preserve">pay an accuracy cost. EviDTI (2025,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) is audited at the level of its</w:t>
      </w:r>
      <w:r>
        <w:t xml:space="preserve"> </w:t>
      </w:r>
      <w:r>
        <w:t xml:space="preserve">source code without retraining (§3.7).</w:t>
      </w:r>
    </w:p>
    <w:p>
      <w:r>
        <w:pict>
          <v:rect style="width:0;height:1.5pt" o:hralign="center" o:hrstd="t" o:hr="t"/>
        </w:pict>
      </w:r>
    </w:p>
    <w:bookmarkEnd w:id="10"/>
    <w:bookmarkStart w:id="11" w:name="protocol"/>
    <w:p>
      <w:pPr>
        <w:pStyle w:val="Heading2"/>
      </w:pPr>
      <w:r>
        <w:t xml:space="preserve">2. Protocol</w:t>
      </w:r>
    </w:p>
    <w:p>
      <w:pPr>
        <w:pStyle w:val="FirstParagraph"/>
      </w:pPr>
      <w:r>
        <w:rPr>
          <w:b/>
          <w:bCs/>
        </w:rPr>
        <w:t xml:space="preserve">Datasets and splits.</w:t>
      </w:r>
      <w:r>
        <w:t xml:space="preserve"> </w:t>
      </w:r>
      <w:r>
        <w:t xml:space="preserve">DAVIS (442 targets, 68 drugs) is the primary benchmark, split four</w:t>
      </w:r>
      <w:r>
        <w:t xml:space="preserve"> </w:t>
      </w:r>
      <w:r>
        <w:t xml:space="preserve">ways: random, cold-drug (unseen drugs), cold-target (unseen targets) and cold-pair (both).</w:t>
      </w:r>
      <w:r>
        <w:t xml:space="preserve"> </w:t>
      </w:r>
      <w:r>
        <w:t xml:space="preserve">KIBA is the replication, at random and cold-drug only — its cold-drug level holds out</w:t>
      </w:r>
      <w:r>
        <w:t xml:space="preserve"> </w:t>
      </w:r>
      <w:r>
        <w:rPr>
          <w:b/>
          <w:bCs/>
        </w:rPr>
        <w:t xml:space="preserve">422</w:t>
      </w:r>
      <w:r>
        <w:rPr>
          <w:b/>
          <w:bCs/>
        </w:rPr>
        <w:t xml:space="preserve"> </w:t>
      </w:r>
      <w:r>
        <w:rPr>
          <w:b/>
          <w:bCs/>
        </w:rPr>
        <w:t xml:space="preserve">drugs</w:t>
      </w:r>
      <w:r>
        <w:t xml:space="preserve"> </w:t>
      </w:r>
      <w:r>
        <w:t xml:space="preserve">where DAVIS holds out 13, which is the axis DAVIS is weakest on. Binary labels use</w:t>
      </w:r>
      <w:r>
        <w:t xml:space="preserve"> </w:t>
      </w:r>
      <w:r>
        <w:t xml:space="preserve">one shared threshold per dataset (DAVIS pKd ≥ 7.0, KIBA score ≥ 12.1). Every model sees</w:t>
      </w:r>
      <w:r>
        <w:t xml:space="preserve"> </w:t>
      </w:r>
      <w:r>
        <w:t xml:space="preserve">byte-identical split files.</w:t>
      </w:r>
    </w:p>
    <w:p>
      <w:pPr>
        <w:pStyle w:val="BodyText"/>
      </w:pPr>
      <w:r>
        <w:rPr>
          <w:b/>
          <w:bCs/>
        </w:rPr>
        <w:t xml:space="preserve">Cells.</w:t>
      </w:r>
      <w:r>
        <w:t xml:space="preserve"> </w:t>
      </w:r>
      <w:r>
        <w:t xml:space="preserve">3 training seeds × each (model, level). DAVIS: 60 cells (5 models × 4 levels × 3</w:t>
      </w:r>
      <w:r>
        <w:t xml:space="preserve"> </w:t>
      </w:r>
      <w:r>
        <w:t xml:space="preserve">seeds). KIBA: 24 cells. Every cell was trained to completion, and every checkpoint has a</w:t>
      </w:r>
      <w:r>
        <w:t xml:space="preserve"> </w:t>
      </w:r>
      <w:r>
        <w:t xml:space="preserve">results file beside it.</w:t>
      </w:r>
    </w:p>
    <w:p>
      <w:pPr>
        <w:pStyle w:val="BodyText"/>
      </w:pPr>
      <w:r>
        <w:rPr>
          <w:b/>
          <w:bCs/>
        </w:rPr>
        <w:t xml:space="preserve">A benchmark problem found along the way.</w:t>
      </w:r>
      <w:r>
        <w:t xml:space="preserve"> </w:t>
      </w:r>
      <w:r>
        <w:t xml:space="preserve">In the DAVIS protein file that this literature</w:t>
      </w:r>
      <w:r>
        <w:t xml:space="preserve"> </w:t>
      </w:r>
      <w:r>
        <w:t xml:space="preserve">uses, all 54 mutant targets carry the</w:t>
      </w:r>
      <w:r>
        <w:t xml:space="preserve"> </w:t>
      </w:r>
      <w:r>
        <w:rPr>
          <w:b/>
          <w:bCs/>
        </w:rPr>
        <w:t xml:space="preserve">wild-type sequence</w:t>
      </w:r>
      <w:r>
        <w:t xml:space="preserve"> </w:t>
      </w:r>
      <w:r>
        <w:t xml:space="preserve">(442 targets are 379 distinct</w:t>
      </w:r>
      <w:r>
        <w:t xml:space="preserve"> </w:t>
      </w:r>
      <w:r>
        <w:t xml:space="preserve">sequences), so 12 of 88 cold-target test targets are already seen in training</w:t>
      </w:r>
      <w:r>
        <w:t xml:space="preserve"> </w:t>
      </w:r>
      <w:r>
        <w:rPr>
          <w:i/>
          <w:iCs/>
        </w:rPr>
        <w:t xml:space="preserve">by sequence</w:t>
      </w:r>
      <w:r>
        <w:t xml:space="preserve">.</w:t>
      </w:r>
      <w:r>
        <w:t xml:space="preserve"> </w:t>
      </w:r>
      <w:r>
        <w:t xml:space="preserve">Accuracy at the cold levels is therefore reported on targets genuinely unseen by sequence,</w:t>
      </w:r>
      <w:r>
        <w:t xml:space="preserve"> </w:t>
      </w:r>
      <w:r>
        <w:t xml:space="preserve">by re-scoring each checkpoint with its own trainer’s test pass; all 30 recorded AUROCs</w:t>
      </w:r>
      <w:r>
        <w:t xml:space="preserve"> </w:t>
      </w:r>
      <w:r>
        <w:t xml:space="preserve">reproduce exactly. Leakage inflated cold-target AUROC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model (Results §1b).</w:t>
      </w:r>
    </w:p>
    <w:p>
      <w:pPr>
        <w:pStyle w:val="BodyText"/>
      </w:pPr>
      <w:r>
        <w:rPr>
          <w:b/>
          <w:bCs/>
        </w:rPr>
        <w:t xml:space="preserve">Plausibility</w:t>
      </w:r>
      <w:r>
        <w:t xml:space="preserve"> </w:t>
      </w:r>
      <w:r>
        <w:t xml:space="preserve">is precision@10: of the ten residues an explanation ranks highest, how many</w:t>
      </w:r>
      <w:r>
        <w:t xml:space="preserve"> </w:t>
      </w:r>
      <w:r>
        <w:t xml:space="preserve">are binding-site residues? It is always read against that cell’s own</w:t>
      </w:r>
      <w:r>
        <w:t xml:space="preserve"> </w:t>
      </w:r>
      <w:r>
        <w:rPr>
          <w:b/>
          <w:bCs/>
        </w:rPr>
        <w:t xml:space="preserve">chance level</w:t>
      </w:r>
      <w:r>
        <w:t xml:space="preserve"> </w:t>
      </w:r>
      <w:r>
        <w:t xml:space="preserve">(which</w:t>
      </w:r>
      <w:r>
        <w:t xml:space="preserve"> </w:t>
      </w:r>
      <w:r>
        <w:t xml:space="preserve">depends on the proteins, their lengths and site counts) and its</w:t>
      </w:r>
      <w:r>
        <w:t xml:space="preserve"> </w:t>
      </w:r>
      <w:r>
        <w:rPr>
          <w:b/>
          <w:bCs/>
        </w:rPr>
        <w:t xml:space="preserve">ceiling</w:t>
      </w:r>
      <w:r>
        <w:t xml:space="preserve">. Three ground</w:t>
      </w:r>
      <w:r>
        <w:t xml:space="preserve"> </w:t>
      </w:r>
      <w:r>
        <w:t xml:space="preserve">truths at different resolutions: UniProt’s annotated residues (fine), the 85-residue KLIFS</w:t>
      </w:r>
      <w:r>
        <w:t xml:space="preserve"> </w:t>
      </w:r>
      <w:r>
        <w:t xml:space="preserve">ATP pocket (coarse), and the residues a drug is measured to contact in its own co-crystal</w:t>
      </w:r>
      <w:r>
        <w:t xml:space="preserve"> </w:t>
      </w:r>
      <w:r>
        <w:t xml:space="preserve">structure (per-pair).</w:t>
      </w:r>
    </w:p>
    <w:p>
      <w:pPr>
        <w:pStyle w:val="BodyText"/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comprehensiveness minus a</w:t>
      </w:r>
      <w:r>
        <w:t xml:space="preserve"> </w:t>
      </w:r>
      <w:r>
        <w:rPr>
          <w:b/>
          <w:bCs/>
        </w:rPr>
        <w:t xml:space="preserve">size-matched</w:t>
      </w:r>
      <w:r>
        <w:t xml:space="preserve"> </w:t>
      </w:r>
      <w:r>
        <w:t xml:space="preserve">random-masking control: mask</w:t>
      </w:r>
      <w:r>
        <w:t xml:space="preserve"> </w:t>
      </w:r>
      <w:r>
        <w:t xml:space="preserve">the ten attended residues, mask ten random ones, and take the difference. Positive means the</w:t>
      </w:r>
      <w:r>
        <w:t xml:space="preserve"> </w:t>
      </w:r>
      <w:r>
        <w:t xml:space="preserve">attention is load-bearing. The intervention is applied in the space each model reads, which</w:t>
      </w:r>
      <w:r>
        <w:t xml:space="preserve"> </w:t>
      </w:r>
      <w:r>
        <w:t xml:space="preserve">matters (§3.4).</w:t>
      </w:r>
    </w:p>
    <w:p>
      <w:pPr>
        <w:pStyle w:val="BodyText"/>
      </w:pPr>
      <w:r>
        <w:rPr>
          <w:b/>
          <w:bCs/>
        </w:rPr>
        <w:t xml:space="preserve">Controls, and why they are the substance of the audit.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attention map, the metric’s own floor;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positive control</w:t>
      </w:r>
      <w:r>
        <w:t xml:space="preserve">: synthetic explanations of known quality, to establish at what dose</w:t>
      </w:r>
      <w:r>
        <w:t xml:space="preserve"> </w:t>
      </w:r>
      <w:r>
        <w:t xml:space="preserve">a real signal would have been visible — so a null can be distinguished from a weak test;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nulls</w:t>
      </w:r>
      <w:r>
        <w:t xml:space="preserve"> </w:t>
      </w:r>
      <w:r>
        <w:t xml:space="preserve">for position (a map borrowed from another protein), amino-acid preference</w:t>
      </w:r>
      <w:r>
        <w:t xml:space="preserve"> </w:t>
      </w:r>
      <w:r>
        <w:t xml:space="preserve">(attention permuted among residues of the same type) and location within the site-spanning</w:t>
      </w:r>
      <w:r>
        <w:t xml:space="preserve"> </w:t>
      </w:r>
      <w:r>
        <w:t xml:space="preserve">stretch;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non-kinase transfer panel</w:t>
      </w:r>
      <w:r>
        <w:t xml:space="preserve"> </w:t>
      </w:r>
      <w:r>
        <w:t xml:space="preserve">(60 BindingDB proteins), because both benchmarks are</w:t>
      </w:r>
      <w:r>
        <w:t xml:space="preserve"> </w:t>
      </w:r>
      <w:r>
        <w:t xml:space="preserve">kinases;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alternative readouts</w:t>
      </w:r>
      <w:r>
        <w:t xml:space="preserve"> </w:t>
      </w:r>
      <w:r>
        <w:t xml:space="preserve">of the same checkpoints, one documented choice changed at a time.</w:t>
      </w:r>
    </w:p>
    <w:p>
      <w:pPr>
        <w:pStyle w:val="BodyText"/>
      </w:pPr>
      <w:r>
        <w:rPr>
          <w:b/>
          <w:bCs/>
        </w:rPr>
        <w:t xml:space="preserve">Statistics.</w:t>
      </w:r>
      <w:r>
        <w:t xml:space="preserve"> </w:t>
      </w:r>
      <w:r>
        <w:t xml:space="preserve">A split-level permutation test per cell; a cell’s p is the</w:t>
      </w:r>
      <w:r>
        <w:t xml:space="preserve"> </w:t>
      </w:r>
      <w:r>
        <w:rPr>
          <w:b/>
          <w:bCs/>
        </w:rPr>
        <w:t xml:space="preserve">median over its</w:t>
      </w:r>
      <w:r>
        <w:rPr>
          <w:b/>
          <w:bCs/>
        </w:rPr>
        <w:t xml:space="preserve"> </w:t>
      </w:r>
      <w:r>
        <w:rPr>
          <w:b/>
          <w:bCs/>
        </w:rPr>
        <w:t xml:space="preserve">three seeds</w:t>
      </w:r>
      <w:r>
        <w:t xml:space="preserve">, never the smallest. Holm–Bonferroni once across each dataset’s whole family</w:t>
      </w:r>
      <w:r>
        <w:t xml:space="preserve"> </w:t>
      </w:r>
      <w:r>
        <w:t xml:space="preserve">(20 cells on DAVIS, 8 on KIBA), never per model. Results are reported as mean ± sd over</w:t>
      </w:r>
      <w:r>
        <w:t xml:space="preserve"> </w:t>
      </w:r>
      <w:r>
        <w:t xml:space="preserve">seeds; a difference smaller than the seed spread is not reported as a difference.</w:t>
      </w:r>
    </w:p>
    <w:p>
      <w:r>
        <w:pict>
          <v:rect style="width:0;height:1.5pt" o:hralign="center" o:hrstd="t" o:hr="t"/>
        </w:pict>
      </w:r>
    </w:p>
    <w:bookmarkEnd w:id="11"/>
    <w:bookmarkStart w:id="34" w:name="results"/>
    <w:p>
      <w:pPr>
        <w:pStyle w:val="Heading2"/>
      </w:pPr>
      <w:r>
        <w:t xml:space="preserve">3. Results</w:t>
      </w:r>
    </w:p>
    <w:bookmarkStart w:id="12" w:name="X627a46b7999f2ecf64bf997ad91d4d5976ab629"/>
    <w:p>
      <w:pPr>
        <w:pStyle w:val="Heading3"/>
      </w:pPr>
      <w:r>
        <w:t xml:space="preserve">3.1 The models predict well; the anchor shows no interpretability tax</w:t>
      </w:r>
    </w:p>
    <w:p>
      <w:pPr>
        <w:pStyle w:val="FirstParagraph"/>
      </w:pPr>
      <w:r>
        <w:t xml:space="preserve">DAVIS test AUROC, mean ± sd over three seeds (cold levels on targets unseen by sequence):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cold-target</w:t>
            </w:r>
          </w:p>
        </w:tc>
        <w:tc>
          <w:tcPr/>
          <w:p>
            <w:pPr>
              <w:pStyle w:val="Compact"/>
            </w:pPr>
            <w:r>
              <w:t xml:space="preserve">cold-drug</w:t>
            </w:r>
          </w:p>
        </w:tc>
        <w:tc>
          <w:tcPr/>
          <w:p>
            <w:pPr>
              <w:pStyle w:val="Compact"/>
            </w:pPr>
            <w:r>
              <w:t xml:space="preserve">cold-pair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DeepDTA (anchor, no attention)</w:t>
            </w:r>
          </w:p>
        </w:tc>
        <w:tc>
          <w:tcPr/>
          <w:p>
            <w:pPr>
              <w:pStyle w:val="Compact"/>
            </w:pPr>
            <w:r>
              <w:t xml:space="preserve">0.929 ± 0.002</w:t>
            </w:r>
          </w:p>
        </w:tc>
        <w:tc>
          <w:tcPr/>
          <w:p>
            <w:pPr>
              <w:pStyle w:val="Compact"/>
            </w:pPr>
            <w:r>
              <w:t xml:space="preserve">0.884 ± 0.003</w:t>
            </w:r>
          </w:p>
        </w:tc>
        <w:tc>
          <w:tcPr/>
          <w:p>
            <w:pPr>
              <w:pStyle w:val="Compact"/>
            </w:pPr>
            <w:r>
              <w:t xml:space="preserve">0.692 ± 0.044</w:t>
            </w:r>
          </w:p>
        </w:tc>
        <w:tc>
          <w:tcPr/>
          <w:p>
            <w:pPr>
              <w:pStyle w:val="Compact"/>
            </w:pPr>
            <w:r>
              <w:t xml:space="preserve">0.749 ± 0.044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ColdSite-DTI (ours)</w:t>
            </w:r>
          </w:p>
        </w:tc>
        <w:tc>
          <w:tcPr/>
          <w:p>
            <w:pPr>
              <w:pStyle w:val="Compact"/>
            </w:pPr>
            <w:r>
              <w:t xml:space="preserve">0.924 ± 0.001</w:t>
            </w:r>
          </w:p>
        </w:tc>
        <w:tc>
          <w:tcPr/>
          <w:p>
            <w:pPr>
              <w:pStyle w:val="Compact"/>
            </w:pPr>
            <w:r>
              <w:t xml:space="preserve">0.835 ± 0.015</w:t>
            </w:r>
          </w:p>
        </w:tc>
        <w:tc>
          <w:tcPr/>
          <w:p>
            <w:pPr>
              <w:pStyle w:val="Compact"/>
            </w:pPr>
            <w:r>
              <w:t xml:space="preserve">0.721 ± 0.008</w:t>
            </w:r>
          </w:p>
        </w:tc>
        <w:tc>
          <w:tcPr/>
          <w:p>
            <w:pPr>
              <w:pStyle w:val="Compact"/>
            </w:pPr>
            <w:r>
              <w:t xml:space="preserve">0.607 ± 0.128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HyperAttentionDTI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0.937 ± 0.005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0.893 ± 0.001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0.760 ± 0.042</w:t>
            </w:r>
          </w:p>
        </w:tc>
        <w:tc>
          <w:tcPr/>
          <w:p>
            <w:pPr>
              <w:pStyle w:val="Compact"/>
            </w:pPr>
            <w:r>
              <w:t xml:space="preserve">0.713 ± 0.050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MolTrans</w:t>
            </w:r>
          </w:p>
        </w:tc>
        <w:tc>
          <w:tcPr/>
          <w:p>
            <w:pPr>
              <w:pStyle w:val="Compact"/>
            </w:pPr>
            <w:r>
              <w:t xml:space="preserve">0.923 ± 0.002</w:t>
            </w:r>
          </w:p>
        </w:tc>
        <w:tc>
          <w:tcPr/>
          <w:p>
            <w:pPr>
              <w:pStyle w:val="Compact"/>
            </w:pPr>
            <w:r>
              <w:t xml:space="preserve">0.833 ± 0.008</w:t>
            </w:r>
          </w:p>
        </w:tc>
        <w:tc>
          <w:tcPr/>
          <w:p>
            <w:pPr>
              <w:pStyle w:val="Compact"/>
            </w:pPr>
            <w:r>
              <w:t xml:space="preserve">0.685 ± 0.020</w:t>
            </w:r>
          </w:p>
        </w:tc>
        <w:tc>
          <w:tcPr/>
          <w:p>
            <w:pPr>
              <w:pStyle w:val="Compact"/>
            </w:pPr>
            <w:r>
              <w:t xml:space="preserve">0.530 ± 0.024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DrugBAN (2023)</w:t>
            </w:r>
          </w:p>
        </w:tc>
        <w:tc>
          <w:tcPr/>
          <w:p>
            <w:pPr>
              <w:pStyle w:val="Compact"/>
            </w:pPr>
            <w:r>
              <w:t xml:space="preserve">0.891 ± 0.006</w:t>
            </w:r>
          </w:p>
        </w:tc>
        <w:tc>
          <w:tcPr/>
          <w:p>
            <w:pPr>
              <w:pStyle w:val="Compact"/>
            </w:pPr>
            <w:r>
              <w:t xml:space="preserve">0.801 ± 0.012</w:t>
            </w:r>
          </w:p>
        </w:tc>
        <w:tc>
          <w:tcPr/>
          <w:p>
            <w:pPr>
              <w:pStyle w:val="Compact"/>
            </w:pPr>
            <w:r>
              <w:t xml:space="preserve">0.695 ± 0.033</w:t>
            </w:r>
          </w:p>
        </w:tc>
        <w:tc>
          <w:tcPr/>
          <w:p>
            <w:pPr>
              <w:pStyle w:val="Compact"/>
            </w:pPr>
            <w:r>
              <w:t xml:space="preserve">0.559 ± 0.040</w:t>
            </w:r>
          </w:p>
        </w:tc>
      </w:tr>
    </w:tbl>
    <w:p>
      <w:pPr>
        <w:pStyle w:val="BodyText"/>
      </w:pPr>
      <w:r>
        <w:t xml:space="preserve">The levels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ladder of increasing difficulty: on DAVIS an unseen target costs</w:t>
      </w:r>
      <w:r>
        <w:t xml:space="preserve"> </w:t>
      </w:r>
      <w:r>
        <w:t xml:space="preserve">little and an unseen drug costs a great deal, because DAVIS has only 68 drugs. KIBA, with</w:t>
      </w:r>
      <w:r>
        <w:t xml:space="preserve"> </w:t>
      </w:r>
      <w:r>
        <w:t xml:space="preserve">422 held-out drugs, shows a much smaller drop (0.086–0.107 against DAVIS’s 0.177–0.238), so</w:t>
      </w:r>
      <w:r>
        <w:t xml:space="preserve"> </w:t>
      </w:r>
      <w:r>
        <w:t xml:space="preserve">DAVIS’s cold-drug severity is a property of its 13-drug split rather than of unseen</w:t>
      </w:r>
      <w:r>
        <w:t xml:space="preserve"> </w:t>
      </w:r>
      <w:r>
        <w:t xml:space="preserve">chemistry. MolTrans at cold-pair predicts at chance (0.530), which is reported beside its</w:t>
      </w:r>
      <w:r>
        <w:t xml:space="preserve"> </w:t>
      </w:r>
      <w:r>
        <w:t xml:space="preserve">explanation scores: an explanation of a prediction no better than chance explains nothing.</w:t>
      </w:r>
    </w:p>
    <w:bookmarkEnd w:id="12"/>
    <w:bookmarkStart w:id="16" w:name="X7534cae19a49900f2be6e50b60cad583dde5c4f"/>
    <w:p>
      <w:pPr>
        <w:pStyle w:val="Heading3"/>
      </w:pPr>
      <w:r>
        <w:t xml:space="preserve">3.2 The headline: one cell of twenty survives correction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Figure 1" title="" id="14" name="Picture"/>
            <a:graphic>
              <a:graphicData uri="http://schemas.openxmlformats.org/drawingml/2006/picture">
                <pic:pic>
                  <pic:nvPicPr>
                    <pic:cNvPr descr="../results/figures/fig1_plausibility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precision@10 for every model, level and dataset, against UniProt’s annotated</w:t>
      </w:r>
      <w:r>
        <w:t xml:space="preserve"> </w:t>
      </w:r>
      <w:r>
        <w:t xml:space="preserve">residues (top) and the KLIFS ATP pocket (bottom). Bars are means over three seeds, circles</w:t>
      </w:r>
      <w:r>
        <w:t xml:space="preserve"> </w:t>
      </w:r>
      <w:r>
        <w:t xml:space="preserve">are the seeds, the dashed segment is that cell’s chance level.</w:t>
      </w:r>
    </w:p>
    <w:p>
      <w:pPr>
        <w:pStyle w:val="BodyText"/>
      </w:pPr>
      <w:r>
        <w:t xml:space="preserve">Against UniProt’s annotated residues, with one Holm correction over all twenty DAVIS cells,</w:t>
      </w:r>
      <w:r>
        <w:t xml:space="preserve"> </w:t>
      </w:r>
      <w:r>
        <w:rPr>
          <w:b/>
          <w:bCs/>
        </w:rPr>
        <w:t xml:space="preserve">one cell survives</w:t>
      </w:r>
      <w:r>
        <w:t xml:space="preserve">: HyperAttentionDTI on the random split, at 1.7× chance (precision@10</w:t>
      </w:r>
      <w:r>
        <w:t xml:space="preserve"> </w:t>
      </w:r>
      <w:r>
        <w:t xml:space="preserve">0.034 against 0.020). Re-run at 10,000 permutations its p is 0.0001 — the smallest the test</w:t>
      </w:r>
      <w:r>
        <w:t xml:space="preserve"> </w:t>
      </w:r>
      <w:r>
        <w:t xml:space="preserve">can return — so it survives with a 25-fold margin, and no other verdict changes.</w:t>
      </w:r>
    </w:p>
    <w:p>
      <w:pPr>
        <w:pStyle w:val="BodyText"/>
      </w:pPr>
      <w:r>
        <w:t xml:space="preserve">That cell beats every null: a map borrowed from another protein, attention permuted among</w:t>
      </w:r>
      <w:r>
        <w:t xml:space="preserve"> </w:t>
      </w:r>
      <w:r>
        <w:t xml:space="preserve">residues of the same amino acid, and attention permuted within the site-spanning stretch. So</w:t>
      </w:r>
      <w:r>
        <w:t xml:space="preserve"> </w:t>
      </w:r>
      <w:r>
        <w:t xml:space="preserve">on the split published work reports, for the model that generalises best, the claim holds —</w:t>
      </w:r>
      <w:r>
        <w:t xml:space="preserve"> </w:t>
      </w:r>
      <w:r>
        <w:t xml:space="preserve">and it is</w:t>
      </w:r>
      <w:r>
        <w:t xml:space="preserve"> </w:t>
      </w:r>
      <w:r>
        <w:rPr>
          <w:b/>
          <w:bCs/>
        </w:rPr>
        <w:t xml:space="preserve">small</w:t>
      </w:r>
      <w:r>
        <w:t xml:space="preserve">: worth an equivalent dose of about 1% of the true annotated sites.</w:t>
      </w:r>
    </w:p>
    <w:p>
      <w:pPr>
        <w:pStyle w:val="BodyText"/>
      </w:pPr>
      <w:r>
        <w:rPr>
          <w:b/>
          <w:bCs/>
        </w:rPr>
        <w:t xml:space="preserve">It does not survive shift.</w:t>
      </w:r>
      <w:r>
        <w:t xml:space="preserve"> </w:t>
      </w:r>
      <w:r>
        <w:t xml:space="preserve">The same model reads 1.26× chance at cold-target and 1.18× at</w:t>
      </w:r>
      <w:r>
        <w:t xml:space="preserve"> </w:t>
      </w:r>
      <w:r>
        <w:t xml:space="preserve">cold-pair, beating nothing. MolTrans sits at the uniform control’s floor at every level, and</w:t>
      </w:r>
      <w:r>
        <w:t xml:space="preserve"> </w:t>
      </w:r>
      <w:r>
        <w:t xml:space="preserve">DrugBAN is at chance everywhere (§3.9).</w:t>
      </w:r>
    </w:p>
    <w:p>
      <w:pPr>
        <w:pStyle w:val="BodyText"/>
      </w:pPr>
      <w:r>
        <w:rPr>
          <w:b/>
          <w:bCs/>
        </w:rPr>
        <w:t xml:space="preserve">It does not replicate.</w:t>
      </w:r>
      <w:r>
        <w:t xml:space="preserve"> </w:t>
      </w:r>
      <w:r>
        <w:t xml:space="preserve">On KIBA,</w:t>
      </w:r>
      <w:r>
        <w:t xml:space="preserve"> </w:t>
      </w:r>
      <w:r>
        <w:rPr>
          <w:b/>
          <w:bCs/>
        </w:rPr>
        <w:t xml:space="preserve">none of eight cells</w:t>
      </w:r>
      <w:r>
        <w:t xml:space="preserve"> </w:t>
      </w:r>
      <w:r>
        <w:t xml:space="preserve">survives; the same model at the</w:t>
      </w:r>
      <w:r>
        <w:t xml:space="preserve"> </w:t>
      </w:r>
      <w:r>
        <w:t xml:space="preserve">same level is above chance in one seed of three (§3.10).</w:t>
      </w:r>
    </w:p>
    <w:bookmarkEnd w:id="16"/>
    <w:bookmarkStart w:id="17" w:name="X3b22a1c23dafcd9fd22996c647ca1951ec2de38"/>
    <w:p>
      <w:pPr>
        <w:pStyle w:val="Heading3"/>
      </w:pPr>
      <w:r>
        <w:t xml:space="preserve">3.3 Coarse, not fine: the pocket instead of the residues</w:t>
      </w:r>
    </w:p>
    <w:p>
      <w:pPr>
        <w:pStyle w:val="FirstParagraph"/>
      </w:pPr>
      <w:r>
        <w:t xml:space="preserve">Against the 85-residue KLIFS ATP pocket the picture is different: HyperAttentionDTI reads</w:t>
      </w:r>
      <w:r>
        <w:t xml:space="preserve"> </w:t>
      </w:r>
      <w:r>
        <w:t xml:space="preserve">1.70× chance at random and 1.33–1.37× at all three cold levels, and ColdSite-DTI is above</w:t>
      </w:r>
      <w:r>
        <w:t xml:space="preserve"> </w:t>
      </w:r>
      <w:r>
        <w:t xml:space="preserve">chance in all twelve of its DAVIS cells (1.5–2.1×). So attention does carry coarse</w:t>
      </w:r>
      <w:r>
        <w:t xml:space="preserve"> </w:t>
      </w:r>
      <w:r>
        <w:t xml:space="preserve">information — it concentrates on the kinase domain and the pocket region — while missing the</w:t>
      </w:r>
      <w:r>
        <w:t xml:space="preserve"> </w:t>
      </w:r>
      <w:r>
        <w:t xml:space="preserve">annotated residues inside it.</w:t>
      </w:r>
      <w:r>
        <w:t xml:space="preserve"> </w:t>
      </w:r>
      <w:r>
        <w:rPr>
          <w:b/>
          <w:bCs/>
        </w:rPr>
        <w:t xml:space="preserve">Faithful and coarsely plausible, but not finely plausible</w:t>
      </w:r>
      <w:r>
        <w:t xml:space="preserve"> </w:t>
      </w:r>
      <w:r>
        <w:t xml:space="preserve">is the audit’s summary of the two 2021–2022 subjects.</w:t>
      </w:r>
    </w:p>
    <w:bookmarkEnd w:id="17"/>
    <w:bookmarkStart w:id="21" w:name="X4dc52c0f1034371038db12a277a049323e5cf48"/>
    <w:p>
      <w:pPr>
        <w:pStyle w:val="Heading3"/>
      </w:pPr>
      <w:r>
        <w:t xml:space="preserve">3.4 The attention is used — at the dose we specified</w:t>
      </w:r>
    </w:p>
    <w:p>
      <w:pPr>
        <w:pStyle w:val="CaptionedFigure"/>
      </w:pPr>
      <w:r>
        <w:drawing>
          <wp:inline>
            <wp:extent cx="5334000" cy="2175710"/>
            <wp:effectExtent b="0" l="0" r="0" t="0"/>
            <wp:docPr descr="Figure 4" title="" id="19" name="Picture"/>
            <a:graphic>
              <a:graphicData uri="http://schemas.openxmlformats.org/drawingml/2006/picture">
                <pic:pic>
                  <pic:nvPicPr>
                    <pic:cNvPr descr="../results/figures/fig4_faithfulnes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5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</w:t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Comprehensiveness minus a size-matched random-masking control. Above zero</w:t>
      </w:r>
      <w:r>
        <w:t xml:space="preserve"> </w:t>
      </w:r>
      <w:r>
        <w:t xml:space="preserve">means masking what the explanation points at moves the prediction more than masking</w:t>
      </w:r>
      <w:r>
        <w:t xml:space="preserve"> </w:t>
      </w:r>
      <w:r>
        <w:t xml:space="preserve">arbitrary input of the same size.</w:t>
      </w:r>
    </w:p>
    <w:p>
      <w:pPr>
        <w:pStyle w:val="BodyText"/>
      </w:pPr>
      <w:r>
        <w:t xml:space="preserve">Masking the ten attended residues moves the prediction more than masking ten random ones in</w:t>
      </w:r>
      <w:r>
        <w:t xml:space="preserve"> </w:t>
      </w:r>
      <w:r>
        <w:rPr>
          <w:b/>
          <w:bCs/>
        </w:rPr>
        <w:t xml:space="preserve">every cell of both datasets</w:t>
      </w:r>
      <w:r>
        <w:t xml:space="preserve"> </w:t>
      </w:r>
      <w:r>
        <w:t xml:space="preserve">for the three 2021–2022 models. Two caveats belong with that</w:t>
      </w:r>
      <w:r>
        <w:t xml:space="preserve"> </w:t>
      </w:r>
      <w:r>
        <w:t xml:space="preserve">claim, and both are in the paper: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unit must match the model.</w:t>
      </w:r>
      <w:r>
        <w:t xml:space="preserve"> </w:t>
      </w:r>
      <w:r>
        <w:t xml:space="preserve">MolTrans reads sub-word tokens, so masking ten residues</w:t>
      </w:r>
      <w:r>
        <w:t xml:space="preserve"> </w:t>
      </w:r>
      <w:r>
        <w:t xml:space="preserve">re-segments its protein: the attended set changes 48% of its tokens and ten random residues</w:t>
      </w:r>
      <w:r>
        <w:t xml:space="preserve"> </w:t>
      </w:r>
      <w:r>
        <w:t xml:space="preserve">change 95% — a factor of 124 for one protein. Under that mismatched test its delta was</w:t>
      </w:r>
      <w:r>
        <w:t xml:space="preserve"> </w:t>
      </w:r>
      <w:r>
        <w:t xml:space="preserve">negative in 11 of 12 cells, which would have read as</w:t>
      </w:r>
      <w:r>
        <w:t xml:space="preserve"> </w:t>
      </w:r>
      <w:r>
        <w:t xml:space="preserve">“its attention points at residues that</w:t>
      </w:r>
      <w:r>
        <w:t xml:space="preserve"> </w:t>
      </w:r>
      <w:r>
        <w:t xml:space="preserve">matter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than arbitrary ones”</w:t>
      </w:r>
      <w:r>
        <w:t xml:space="preserve">. Measured in token space with both arms removing the</w:t>
      </w:r>
      <w:r>
        <w:t xml:space="preserve"> </w:t>
      </w:r>
      <w:r>
        <w:t xml:space="preserve">same number of tokens, the sign reverses in all twelve.</w:t>
      </w:r>
      <w:r>
        <w:t xml:space="preserve"> </w:t>
      </w:r>
      <w:r>
        <w:rPr>
          <w:b/>
          <w:bCs/>
        </w:rPr>
        <w:t xml:space="preserve">A masking metric is only</w:t>
      </w:r>
      <w:r>
        <w:rPr>
          <w:b/>
          <w:bCs/>
        </w:rPr>
        <w:t xml:space="preserve"> </w:t>
      </w:r>
      <w:r>
        <w:rPr>
          <w:b/>
          <w:bCs/>
        </w:rPr>
        <w:t xml:space="preserve">interpretable when both arms are the same size of intervention.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dose matters.</w:t>
      </w:r>
      <w:r>
        <w:t xml:space="preserve"> </w:t>
      </w:r>
      <w:r>
        <w:t xml:space="preserve">At k = 50 instead of k = 10, HyperAttentionDTI’s margin survives only</w:t>
      </w:r>
      <w:r>
        <w:t xml:space="preserve"> </w:t>
      </w:r>
      <w:r>
        <w:t xml:space="preserve">at the random split. What is load-bearing under shift is its top ten residues, not its top</w:t>
      </w:r>
      <w:r>
        <w:t xml:space="preserve"> </w:t>
      </w:r>
      <w:r>
        <w:t xml:space="preserve">fifty.</w:t>
      </w:r>
    </w:p>
    <w:bookmarkEnd w:id="21"/>
    <w:bookmarkStart w:id="25" w:name="X3b04dda982fe539fa2586450d73ec005c192ac9"/>
    <w:p>
      <w:pPr>
        <w:pStyle w:val="Heading3"/>
      </w:pPr>
      <w:r>
        <w:t xml:space="preserve">3.5 A single training run cannot support the claim</w:t>
      </w:r>
    </w:p>
    <w:p>
      <w:pPr>
        <w:pStyle w:val="CaptionedFigure"/>
      </w:pPr>
      <w:r>
        <w:drawing>
          <wp:inline>
            <wp:extent cx="5334000" cy="5926666"/>
            <wp:effectExtent b="0" l="0" r="0" t="0"/>
            <wp:docPr descr="Figure 2" title="" id="23" name="Picture"/>
            <a:graphic>
              <a:graphicData uri="http://schemas.openxmlformats.org/drawingml/2006/picture">
                <pic:pic>
                  <pic:nvPicPr>
                    <pic:cNvPr descr="../results/figures/fig2_seed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All twenty-two three-seed cells as seed dots against their chance level.</w:t>
      </w:r>
    </w:p>
    <w:p>
      <w:pPr>
        <w:pStyle w:val="BodyText"/>
      </w:pPr>
      <w:r>
        <w:t xml:space="preserve">Counted over every cell rather than anecdotally:</w:t>
      </w:r>
      <w:r>
        <w:t xml:space="preserve"> </w:t>
      </w:r>
      <w:r>
        <w:rPr>
          <w:b/>
          <w:bCs/>
        </w:rPr>
        <w:t xml:space="preserve">in 12 of 22 cells the three seeds</w:t>
      </w:r>
      <w:r>
        <w:rPr>
          <w:b/>
          <w:bCs/>
        </w:rPr>
        <w:t xml:space="preserve"> </w:t>
      </w:r>
      <w:r>
        <w:rPr>
          <w:b/>
          <w:bCs/>
        </w:rPr>
        <w:t xml:space="preserve">disagree</w:t>
      </w:r>
      <w:r>
        <w:t xml:space="preserve"> </w:t>
      </w:r>
      <w:r>
        <w:t xml:space="preserve">about their own verdict, and in</w:t>
      </w:r>
      <w:r>
        <w:t xml:space="preserve"> </w:t>
      </w:r>
      <w:r>
        <w:rPr>
          <w:b/>
          <w:bCs/>
        </w:rPr>
        <w:t xml:space="preserve">21 of 22 the spread across seeds is larger than</w:t>
      </w:r>
      <w:r>
        <w:rPr>
          <w:b/>
          <w:bCs/>
        </w:rPr>
        <w:t xml:space="preserve"> </w:t>
      </w:r>
      <w:r>
        <w:rPr>
          <w:b/>
          <w:bCs/>
        </w:rPr>
        <w:t xml:space="preserve">the cell’s distance from chance</w:t>
      </w:r>
      <w:r>
        <w:t xml:space="preserve">. A paper reporting one training run would have had an</w:t>
      </w:r>
      <w:r>
        <w:t xml:space="preserve"> </w:t>
      </w:r>
      <w:r>
        <w:t xml:space="preserve">above-chance, uncorrected result available in twelve of these cells — including cells this</w:t>
      </w:r>
      <w:r>
        <w:t xml:space="preserve"> </w:t>
      </w:r>
      <w:r>
        <w:t xml:space="preserve">audit reports as null.</w:t>
      </w:r>
    </w:p>
    <w:p>
      <w:pPr>
        <w:pStyle w:val="BodyText"/>
      </w:pPr>
      <w:r>
        <w:t xml:space="preserve">There is a reassurance inside that number, and it belongs to the method. Exactly one cell has</w:t>
      </w:r>
      <w:r>
        <w:t xml:space="preserve"> </w:t>
      </w:r>
      <w:r>
        <w:t xml:space="preserve">all three seeds above α individually, and it is the same cell that survives Holm correction.</w:t>
      </w:r>
      <w:r>
        <w:t xml:space="preserve"> </w:t>
      </w:r>
      <w:r>
        <w:t xml:space="preserve">Agreement among replicate runs and family-wise error control were computed independently and</w:t>
      </w:r>
      <w:r>
        <w:t xml:space="preserve"> </w:t>
      </w:r>
      <w:r>
        <w:t xml:space="preserve">select the same cell.</w:t>
      </w:r>
    </w:p>
    <w:bookmarkEnd w:id="25"/>
    <w:bookmarkStart w:id="26" w:name="Xbbe69901a4b7b83b5a95336a50b6f2595896027"/>
    <w:p>
      <w:pPr>
        <w:pStyle w:val="Heading3"/>
      </w:pPr>
      <w:r>
        <w:t xml:space="preserve">3.6 The verdict can belong to the readout, not the model</w:t>
      </w:r>
    </w:p>
    <w:p>
      <w:pPr>
        <w:pStyle w:val="FirstParagraph"/>
      </w:pPr>
      <w:r>
        <w:t xml:space="preserve">Scoring the same checkpoints through readouts another author could reasonably have picked</w:t>
      </w:r>
      <w:r>
        <w:t xml:space="preserve"> </w:t>
      </w:r>
      <w:r>
        <w:t xml:space="preserve">(one documented choice changed at a time):</w:t>
      </w:r>
    </w:p>
    <w:p>
      <w:pPr>
        <w:pStyle w:val="Compact"/>
        <w:numPr>
          <w:ilvl w:val="0"/>
          <w:numId w:val="1003"/>
        </w:numPr>
      </w:pPr>
      <w:r>
        <w:t xml:space="preserve">The top-ten residues of an alternative readout overlap the published readout’s by</w:t>
      </w:r>
      <w:r>
        <w:t xml:space="preserve"> </w:t>
      </w:r>
      <w:r>
        <w:rPr>
          <w:b/>
          <w:bCs/>
        </w:rPr>
        <w:t xml:space="preserve">2–12%</w:t>
      </w:r>
      <w:r>
        <w:t xml:space="preserve">.</w:t>
      </w:r>
      <w:r>
        <w:t xml:space="preserve"> </w:t>
      </w:r>
      <w:r>
        <w:t xml:space="preserve">Two defensible readings of one checkpoint highlight almost disjoint residues.</w:t>
      </w:r>
    </w:p>
    <w:p>
      <w:pPr>
        <w:pStyle w:val="Compact"/>
        <w:numPr>
          <w:ilvl w:val="0"/>
          <w:numId w:val="1003"/>
        </w:numPr>
      </w:pPr>
      <w:r>
        <w:t xml:space="preserve">One choice moves a verdict across chance: HyperAttentionDTI against the pocket at</w:t>
      </w:r>
      <w:r>
        <w:t xml:space="preserve"> </w:t>
      </w:r>
      <w:r>
        <w:t xml:space="preserve">cold-target reads 0.367 (2.6× chance) under channel-max and</w:t>
      </w:r>
      <w:r>
        <w:t xml:space="preserve"> </w:t>
      </w:r>
      <w:r>
        <w:rPr>
          <w:b/>
          <w:bCs/>
        </w:rPr>
        <w:t xml:space="preserve">0.081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chance —</w:t>
      </w:r>
      <w:r>
        <w:t xml:space="preserve"> </w:t>
      </w:r>
      <w:r>
        <w:t xml:space="preserve">under a receptive-field projection, against 0.186 as published.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audit’s own verdicts survive this.</w:t>
      </w:r>
      <w:r>
        <w:t xml:space="preserve"> </w:t>
      </w:r>
      <w:r>
        <w:t xml:space="preserve">No readout of any model clears chance against</w:t>
      </w:r>
      <w:r>
        <w:t xml:space="preserve"> </w:t>
      </w:r>
      <w:r>
        <w:t xml:space="preserve">the annotated residues, and none lifts MolTrans above the pocket’s floor.</w:t>
      </w:r>
    </w:p>
    <w:bookmarkEnd w:id="26"/>
    <w:bookmarkStart w:id="27" w:name="X1506155695d41c10f87f227611339968d6ff902"/>
    <w:p>
      <w:pPr>
        <w:pStyle w:val="Heading3"/>
      </w:pPr>
      <w:r>
        <w:t xml:space="preserve">3.7 State which inputs the explanation is a function of</w:t>
      </w:r>
    </w:p>
    <w:p>
      <w:pPr>
        <w:pStyle w:val="FirstParagraph"/>
      </w:pPr>
      <w:r>
        <w:t xml:space="preserve">Whether an explanation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depend on the drug is a property of the computation graph, not</w:t>
      </w:r>
      <w:r>
        <w:t xml:space="preserve"> </w:t>
      </w:r>
      <w:r>
        <w:t xml:space="preserve">an empirical question — and it is checkable in a minute, before publication.</w:t>
      </w:r>
    </w:p>
    <w:p>
      <w:pPr>
        <w:pStyle w:val="BodyText"/>
      </w:pPr>
      <w:r>
        <w:rPr>
          <w:b/>
          <w:bCs/>
        </w:rPr>
        <w:t xml:space="preserve">EviDTI (2025,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Nature Communications</w:t>
      </w:r>
      <w:r>
        <w:rPr>
          <w:b/>
          <w:bCs/>
        </w:rPr>
        <w:t xml:space="preserve">)</w:t>
      </w:r>
      <w:r>
        <w:t xml:space="preserve"> </w:t>
      </w:r>
      <w:r>
        <w:t xml:space="preserve">presents per-residue attention for four</w:t>
      </w:r>
      <w:r>
        <w:t xml:space="preserve"> </w:t>
      </w:r>
      <w:r>
        <w:t xml:space="preserve">drug–target complexes and concludes that high-attention residues coincide with the binding</w:t>
      </w:r>
      <w:r>
        <w:t xml:space="preserve"> </w:t>
      </w:r>
      <w:r>
        <w:t xml:space="preserve">site. Its attention is computed from the protein’s language-model embedding alone; no drug</w:t>
      </w:r>
      <w:r>
        <w:t xml:space="preserve"> </w:t>
      </w:r>
      <w:r>
        <w:t xml:space="preserve">tensor reaches it. For a fixed protein,</w:t>
      </w:r>
      <w:r>
        <w:t xml:space="preserve"> </w:t>
      </w:r>
      <w:r>
        <w:rPr>
          <w:b/>
          <w:bCs/>
        </w:rPr>
        <w:t xml:space="preserve">every drug yields the identical map</w:t>
      </w:r>
      <w:r>
        <w:t xml:space="preserve">, for any</w:t>
      </w:r>
      <w:r>
        <w:t xml:space="preserve"> </w:t>
      </w:r>
      <w:r>
        <w:t xml:space="preserve">weights. The claim is not refuted by a better measurement — it is refuted by the source code.</w:t>
      </w:r>
    </w:p>
    <w:p>
      <w:pPr>
        <w:pStyle w:val="BodyText"/>
      </w:pPr>
      <w:r>
        <w:t xml:space="preserve">Applied to our own subjects by measurement (25 proteins, four drugs each, 150 drug pairs):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explanation</w:t>
            </w:r>
          </w:p>
        </w:tc>
        <w:tc>
          <w:tcPr/>
          <w:p>
            <w:pPr>
              <w:pStyle w:val="Compact"/>
            </w:pPr>
            <w:r>
              <w:t xml:space="preserve">top-10 residues shared between different drugs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MolTrans, interaction map</w:t>
            </w:r>
            <w:r>
              <w:t xml:space="preserve"> </w:t>
            </w:r>
            <w:r>
              <w:rPr>
                <w:i/>
                <w:iCs/>
              </w:rPr>
              <w:t xml:space="preserve">(its published artefact)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 /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DrugBAN</w:t>
            </w:r>
          </w:p>
        </w:tc>
        <w:tc>
          <w:tcPr/>
          <w:p>
            <w:pPr>
              <w:pStyle w:val="Compact"/>
            </w:pPr>
            <w:r>
              <w:t xml:space="preserve">4.5 /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HyperAttentionDTI</w:t>
            </w:r>
          </w:p>
        </w:tc>
        <w:tc>
          <w:tcPr/>
          <w:p>
            <w:pPr>
              <w:pStyle w:val="Compact"/>
            </w:pPr>
            <w:r>
              <w:t xml:space="preserve">9.7 /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MolTrans, encoder self-attention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10.0 / 10</w:t>
            </w:r>
            <w:r>
              <w:t xml:space="preserve"> </w:t>
            </w:r>
            <w:r>
              <w:t xml:space="preserve">(identical, always)</w:t>
            </w:r>
          </w:p>
        </w:tc>
      </w:tr>
    </w:tbl>
    <w:p>
      <w:pPr>
        <w:pStyle w:val="BodyText"/>
      </w:pPr>
      <w:r>
        <w:t xml:space="preserve">This check changed our own protocol. MolTrans’s paper visualises the drug × protein</w:t>
      </w:r>
      <w:r>
        <w:t xml:space="preserve"> </w:t>
      </w:r>
      <w:r>
        <w:rPr>
          <w:b/>
          <w:bCs/>
        </w:rPr>
        <w:t xml:space="preserve">interaction map</w:t>
      </w:r>
      <w:r>
        <w:t xml:space="preserve">, not the encoder attention we scored by default, so we implemented and</w:t>
      </w:r>
      <w:r>
        <w:t xml:space="preserve"> </w:t>
      </w:r>
      <w:r>
        <w:t xml:space="preserve">scored that map too: it is at chance in every cell of both datasets, so the MolTrans verdict</w:t>
      </w:r>
      <w:r>
        <w:t xml:space="preserve"> </w:t>
      </w:r>
      <w:r>
        <w:t xml:space="preserve">holds whichever map is read. The ordering above is also the paper’s sharpest architectural</w:t>
      </w:r>
      <w:r>
        <w:t xml:space="preserve"> </w:t>
      </w:r>
      <w:r>
        <w:t xml:space="preserve">result:</w:t>
      </w:r>
      <w:r>
        <w:t xml:space="preserve"> </w:t>
      </w:r>
      <w:r>
        <w:rPr>
          <w:b/>
          <w:bCs/>
        </w:rPr>
        <w:t xml:space="preserve">the two explanations that vary most with the drug agree least with where drugs</w:t>
      </w:r>
      <w:r>
        <w:rPr>
          <w:b/>
          <w:bCs/>
        </w:rPr>
        <w:t xml:space="preserve"> </w:t>
      </w:r>
      <w:r>
        <w:rPr>
          <w:b/>
          <w:bCs/>
        </w:rPr>
        <w:t xml:space="preserve">bind.</w:t>
      </w:r>
      <w:r>
        <w:t xml:space="preserve"> </w:t>
      </w:r>
      <w:r>
        <w:t xml:space="preserve">Conditioning an explanation on the drug is necessary for a per-pair claim and buys</w:t>
      </w:r>
      <w:r>
        <w:t xml:space="preserve"> </w:t>
      </w:r>
      <w:r>
        <w:t xml:space="preserve">nothing by itself.</w:t>
      </w:r>
    </w:p>
    <w:bookmarkEnd w:id="27"/>
    <w:bookmarkStart w:id="31" w:name="Xa1f55c72bddad07c1c9cb918e48b9b03ed35021"/>
    <w:p>
      <w:pPr>
        <w:pStyle w:val="Heading3"/>
      </w:pPr>
      <w:r>
        <w:t xml:space="preserve">3.8 The gradient finds what the attention misses</w:t>
      </w:r>
    </w:p>
    <w:p>
      <w:pPr>
        <w:pStyle w:val="CaptionedFigure"/>
      </w:pPr>
      <w:r>
        <w:drawing>
          <wp:inline>
            <wp:extent cx="5334000" cy="4324864"/>
            <wp:effectExtent b="0" l="0" r="0" t="0"/>
            <wp:docPr descr="Figure 3" title="" id="29" name="Picture"/>
            <a:graphic>
              <a:graphicData uri="http://schemas.openxmlformats.org/drawingml/2006/picture">
                <pic:pic>
                  <pic:nvPicPr>
                    <pic:cNvPr descr="../results/figures/fig3_attention_vs_ig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4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Attention (red) beside integrated gradients (blue) on identical trained</w:t>
      </w:r>
      <w:r>
        <w:t xml:space="preserve"> </w:t>
      </w:r>
      <w:r>
        <w:t xml:space="preserve">weights.</w:t>
      </w:r>
    </w:p>
    <w:p>
      <w:pPr>
        <w:pStyle w:val="BodyText"/>
      </w:pPr>
      <w:r>
        <w:t xml:space="preserve">Integrated gradients on the</w:t>
      </w:r>
      <w:r>
        <w:t xml:space="preserve"> </w:t>
      </w:r>
      <w:r>
        <w:rPr>
          <w:i/>
          <w:iCs/>
        </w:rPr>
        <w:t xml:space="preserve">same checkpoints</w:t>
      </w:r>
      <w:r>
        <w:t xml:space="preserve"> </w:t>
      </w:r>
      <w:r>
        <w:t xml:space="preserve">— same ground truth, same proteins, same test,</w:t>
      </w:r>
      <w:r>
        <w:t xml:space="preserve"> </w:t>
      </w:r>
      <w:r>
        <w:t xml:space="preserve">only the explanation changed — survive Holm in</w:t>
      </w:r>
      <w:r>
        <w:t xml:space="preserve"> </w:t>
      </w:r>
      <w:r>
        <w:rPr>
          <w:b/>
          <w:bCs/>
        </w:rPr>
        <w:t xml:space="preserve">7 of 12 DAVIS cells against 1 of 20 for the</w:t>
      </w:r>
      <w:r>
        <w:rPr>
          <w:b/>
          <w:bCs/>
        </w:rPr>
        <w:t xml:space="preserve"> </w:t>
      </w:r>
      <w:r>
        <w:rPr>
          <w:b/>
          <w:bCs/>
        </w:rPr>
        <w:t xml:space="preserve">attention</w:t>
      </w:r>
      <w:r>
        <w:t xml:space="preserve">, and in</w:t>
      </w:r>
      <w:r>
        <w:t xml:space="preserve"> </w:t>
      </w:r>
      <w:r>
        <w:rPr>
          <w:b/>
          <w:bCs/>
        </w:rPr>
        <w:t xml:space="preserve">3 of 4 KIBA cells against 0 of 8</w:t>
      </w:r>
      <w:r>
        <w:t xml:space="preserve">, reaching 1.9–4.1× chance at levels</w:t>
      </w:r>
      <w:r>
        <w:t xml:space="preserve"> </w:t>
      </w:r>
      <w:r>
        <w:t xml:space="preserve">where the attention is at chance. For two of the three models with a gradient arm, the</w:t>
      </w:r>
      <w:r>
        <w:t xml:space="preserve"> </w:t>
      </w:r>
      <w:r>
        <w:t xml:space="preserve">attention therefore</w:t>
      </w:r>
      <w:r>
        <w:t xml:space="preserve"> </w:t>
      </w:r>
      <w:r>
        <w:rPr>
          <w:b/>
          <w:bCs/>
        </w:rPr>
        <w:t xml:space="preserve">under-reports a binding site the model does represent</w:t>
      </w:r>
      <w:r>
        <w:t xml:space="preserve">. A weak</w:t>
      </w:r>
      <w:r>
        <w:t xml:space="preserve"> </w:t>
      </w:r>
      <w:r>
        <w:t xml:space="preserve">attention map often indicts the report rather than the model. (The third model is the control</w:t>
      </w:r>
      <w:r>
        <w:t xml:space="preserve"> </w:t>
      </w:r>
      <w:r>
        <w:t xml:space="preserve">for that claim: its gradient and attention agree at the floor, so its failure is the model.)</w:t>
      </w:r>
    </w:p>
    <w:bookmarkEnd w:id="31"/>
    <w:bookmarkStart w:id="32" w:name="Xdff024836cc9c251d6b26394377f96d3ce30a2a"/>
    <w:p>
      <w:pPr>
        <w:pStyle w:val="Heading3"/>
      </w:pPr>
      <w:r>
        <w:t xml:space="preserve">3.9 Does the verdict bind on a current model? DrugBAN (2023)</w:t>
      </w:r>
    </w:p>
    <w:p>
      <w:pPr>
        <w:pStyle w:val="FirstParagraph"/>
      </w:pPr>
      <w:r>
        <w:t xml:space="preserve">The other subjects are from 2021–2022, so the first question a reviewer asks is whether the</w:t>
      </w:r>
      <w:r>
        <w:t xml:space="preserve"> </w:t>
      </w:r>
      <w:r>
        <w:t xml:space="preserve">verdict applies to what people build now. DrugBAN is the answer: interpretability is in its</w:t>
      </w:r>
      <w:r>
        <w:t xml:space="preserve"> </w:t>
      </w:r>
      <w:r>
        <w:t xml:space="preserve">title, its bilinear attention is indexed by drug atom and protein position, and it is</w:t>
      </w:r>
      <w:r>
        <w:t xml:space="preserve"> </w:t>
      </w:r>
      <w:r>
        <w:t xml:space="preserve">maintained and MIT-licensed. Trained on the identical splits with its authors’ recipe, 12</w:t>
      </w:r>
      <w:r>
        <w:t xml:space="preserve"> </w:t>
      </w:r>
      <w:r>
        <w:t xml:space="preserve">DAVIS cells: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Plausibility:</w:t>
      </w:r>
      <w:r>
        <w:t xml:space="preserve"> </w:t>
      </w:r>
      <w:r>
        <w:t xml:space="preserve">at chance against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ground truths in all 12 cells. One seed-cell of</w:t>
      </w:r>
      <w:r>
        <w:t xml:space="preserve"> </w:t>
      </w:r>
      <w:r>
        <w:t xml:space="preserve">twelve clears α uncorrected against UniProt, none against the pocket. It is the only</w:t>
      </w:r>
      <w:r>
        <w:t xml:space="preserve"> </w:t>
      </w:r>
      <w:r>
        <w:t xml:space="preserve">subject without even the coarse signal (HyperAttentionDTI is above pocket chance in 9 of 12</w:t>
      </w:r>
      <w:r>
        <w:t xml:space="preserve"> </w:t>
      </w:r>
      <w:r>
        <w:t xml:space="preserve">seed-cells, ColdSite-DTI in 12 of 12, DrugBAN in 0 of 12).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Faithfulness:</w:t>
      </w:r>
      <w:r>
        <w:t xml:space="preserve"> </w:t>
      </w:r>
      <w:r>
        <w:t xml:space="preserve">not load-bearing — deltas within ±0.013 of zero, sign flipping between</w:t>
      </w:r>
      <w:r>
        <w:t xml:space="preserve"> </w:t>
      </w:r>
      <w:r>
        <w:t xml:space="preserve">seeds. At k = 50, where the test has three times the power, three of four levels stay at</w:t>
      </w:r>
      <w:r>
        <w:t xml:space="preserve"> </w:t>
      </w:r>
      <w:r>
        <w:t xml:space="preserve">zero and only cold-drug shows a small positive margin.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readout artefact:</w:t>
      </w:r>
      <w:r>
        <w:t xml:space="preserve"> </w:t>
      </w:r>
      <w:r>
        <w:t xml:space="preserve">its two attention heads have learned the same map, and</w:t>
      </w:r>
      <w:r>
        <w:t xml:space="preserve"> </w:t>
      </w:r>
      <w:r>
        <w:t xml:space="preserve">alternative reductions leave its top residues essentially unchanged.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Its map does move with the drug</w:t>
      </w:r>
      <w:r>
        <w:t xml:space="preserve"> </w:t>
      </w:r>
      <w:r>
        <w:t xml:space="preserve">(4.5/10), more than any other model’s except MolTrans’s</w:t>
      </w:r>
      <w:r>
        <w:t xml:space="preserve"> </w:t>
      </w:r>
      <w:r>
        <w:t xml:space="preserve">interaction map.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Controls:</w:t>
      </w:r>
      <w:r>
        <w:t xml:space="preserve"> </w:t>
      </w:r>
      <w:r>
        <w:t xml:space="preserve">no transfer off kinases (0.010–0.012 against its own kinase cells’</w:t>
      </w:r>
      <w:r>
        <w:t xml:space="preserve"> </w:t>
      </w:r>
      <w:r>
        <w:t xml:space="preserve">0.018–0.027). Its one above-chance seed-cell (cold-pair, seed 1) beats all four positional</w:t>
      </w:r>
      <w:r>
        <w:t xml:space="preserve"> </w:t>
      </w:r>
      <w:r>
        <w:t xml:space="preserve">nulls, while the other two seeds of that cell beat none — seed dependence reaching even a</w:t>
      </w:r>
      <w:r>
        <w:t xml:space="preserve"> </w:t>
      </w:r>
      <w:r>
        <w:t xml:space="preserve">model that is otherwise at chance. It is scored on 59 of the panel’s 60 proteins: one</w:t>
      </w:r>
      <w:r>
        <w:t xml:space="preserve"> </w:t>
      </w:r>
      <w:r>
        <w:t xml:space="preserve">ligand exceeds the 290-atom cap of DrugBAN’s own data loader, and that row is dropped and</w:t>
      </w:r>
      <w:r>
        <w:t xml:space="preserve"> </w:t>
      </w:r>
      <w:r>
        <w:t xml:space="preserve">reported.</w:t>
      </w:r>
    </w:p>
    <w:p>
      <w:pPr>
        <w:pStyle w:val="FirstParagraph"/>
      </w:pPr>
      <w:r>
        <w:rPr>
          <w:b/>
          <w:bCs/>
        </w:rPr>
        <w:t xml:space="preserve">What DrugBAN adds:</w:t>
      </w:r>
      <w:r>
        <w:t xml:space="preserve"> </w:t>
      </w:r>
      <w:r>
        <w:t xml:space="preserve">the audit’s verdict is not an artefact of older architectures. The</w:t>
      </w:r>
      <w:r>
        <w:t xml:space="preserve"> </w:t>
      </w:r>
      <w:r>
        <w:t xml:space="preserve">2023 model, with the strongest structural case for a per-pair explanation, agrees with</w:t>
      </w:r>
      <w:r>
        <w:t xml:space="preserve"> </w:t>
      </w:r>
      <w:r>
        <w:t xml:space="preserve">binding sites least of all, at every level of shift.</w:t>
      </w:r>
    </w:p>
    <w:bookmarkEnd w:id="32"/>
    <w:bookmarkStart w:id="33" w:name="the-replication-kiba"/>
    <w:p>
      <w:pPr>
        <w:pStyle w:val="Heading3"/>
      </w:pPr>
      <w:r>
        <w:t xml:space="preserve">3.10 The replication: KIBA</w:t>
      </w:r>
    </w:p>
    <w:p>
      <w:pPr>
        <w:pStyle w:val="FirstParagraph"/>
      </w:pPr>
      <w:r>
        <w:t xml:space="preserve">KIBA was trained and analysed after every DAVIS result was fixed, with the same code and no</w:t>
      </w:r>
      <w:r>
        <w:t xml:space="preserve"> </w:t>
      </w:r>
      <w:r>
        <w:t xml:space="preserve">parameter chosen by looking at KIBA.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DAVIS finding</w:t>
            </w:r>
          </w:p>
        </w:tc>
        <w:tc>
          <w:tcPr/>
          <w:p>
            <w:pPr>
              <w:pStyle w:val="Compact"/>
            </w:pPr>
            <w:r>
              <w:t xml:space="preserve">on KIBA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one residue-level survivor (1 of 20 cells)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does not replicate</w:t>
            </w:r>
            <w:r>
              <w:t xml:space="preserve"> </w:t>
            </w:r>
            <w:r>
              <w:t xml:space="preserve">— 0 of 8; that cell is above chance in one seed of three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finds the pocket region, including under shift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replicates</w:t>
            </w:r>
            <w:r>
              <w:t xml:space="preserve"> </w:t>
            </w:r>
            <w:r>
              <w:t xml:space="preserve">for HyperAttentionDTI at a 422-drug cold level;</w:t>
            </w:r>
            <w:r>
              <w:t xml:space="preserve"> </w:t>
            </w:r>
            <w:r>
              <w:rPr>
                <w:b/>
                <w:bCs/>
              </w:rPr>
              <w:t xml:space="preserve">seed-dependent</w:t>
            </w:r>
            <w:r>
              <w:t xml:space="preserve"> </w:t>
            </w:r>
            <w:r>
              <w:t xml:space="preserve">for ColdSite-DTI (3 of 6 seed-cells)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is load-bearing at every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replicates</w:t>
            </w:r>
            <w:r>
              <w:t xml:space="preserve"> </w:t>
            </w:r>
            <w:r>
              <w:t xml:space="preserve">for all three models (18 of 18 cells)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MolTrans sits at the uniform floor</w:t>
            </w:r>
          </w:p>
        </w:tc>
        <w:tc>
          <w:tcPr/>
          <w:p>
            <w:pPr>
              <w:pStyle w:val="Compact"/>
            </w:pPr>
            <w:r>
              <w:t xml:space="preserve">holds in 2 seeds of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Cold-drug collapses accuracy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does not replicate</w:t>
            </w:r>
            <w:r>
              <w:t xml:space="preserve"> </w:t>
            </w:r>
            <w:r>
              <w:t xml:space="preserve">— an artefact of DAVIS’s 13-drug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gradient beats the attention (7 of 12 cells)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replicates</w:t>
            </w:r>
            <w:r>
              <w:t xml:space="preserve"> </w:t>
            </w:r>
            <w:r>
              <w:t xml:space="preserve">(3 of 4 cells)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what-this-establishes"/>
    <w:p>
      <w:pPr>
        <w:pStyle w:val="Heading2"/>
      </w:pPr>
      <w:r>
        <w:t xml:space="preserve">4. What this establishes</w:t>
      </w:r>
    </w:p>
    <w:p>
      <w:pPr>
        <w:pStyle w:val="FirstParagraph"/>
      </w:pPr>
      <w:r>
        <w:rPr>
          <w:b/>
          <w:bCs/>
        </w:rPr>
        <w:t xml:space="preserve">For the field’s claims.</w:t>
      </w:r>
      <w:r>
        <w:t xml:space="preserve"> </w:t>
      </w:r>
      <w:r>
        <w:t xml:space="preserve">Across two datasets, four models and 84 trained cells, no</w:t>
      </w:r>
      <w:r>
        <w:t xml:space="preserve"> </w:t>
      </w:r>
      <w:r>
        <w:t xml:space="preserve">residue-level attention claim survives family-wise correction and replication. What survives</w:t>
      </w:r>
      <w:r>
        <w:t xml:space="preserve"> </w:t>
      </w:r>
      <w:r>
        <w:t xml:space="preserve">is weaker and worth stating plainly: attention in these models is</w:t>
      </w:r>
      <w:r>
        <w:t xml:space="preserve"> </w:t>
      </w:r>
      <w:r>
        <w:rPr>
          <w:b/>
          <w:bCs/>
        </w:rPr>
        <w:t xml:space="preserve">used</w:t>
      </w:r>
      <w:r>
        <w:t xml:space="preserve"> </w:t>
      </w:r>
      <w:r>
        <w:t xml:space="preserve">by the model, and</w:t>
      </w:r>
      <w:r>
        <w:t xml:space="preserve"> </w:t>
      </w:r>
      <w:r>
        <w:t xml:space="preserve">it concentrates on the</w:t>
      </w:r>
      <w:r>
        <w:t xml:space="preserve"> </w:t>
      </w:r>
      <w:r>
        <w:rPr>
          <w:b/>
          <w:bCs/>
        </w:rPr>
        <w:t xml:space="preserve">pocket region</w:t>
      </w:r>
      <w:r>
        <w:t xml:space="preserve"> </w:t>
      </w:r>
      <w:r>
        <w:t xml:space="preserve">rather than on binding residues. A published figure</w:t>
      </w:r>
      <w:r>
        <w:t xml:space="preserve"> </w:t>
      </w:r>
      <w:r>
        <w:t xml:space="preserve">showing attention peaks at annotated residues, from one seed on a random split, is not</w:t>
      </w:r>
      <w:r>
        <w:t xml:space="preserve"> </w:t>
      </w:r>
      <w:r>
        <w:t xml:space="preserve">evidence for the claim it illustrates.</w:t>
      </w:r>
    </w:p>
    <w:p>
      <w:pPr>
        <w:pStyle w:val="BodyText"/>
      </w:pPr>
      <w:r>
        <w:rPr>
          <w:b/>
          <w:bCs/>
        </w:rPr>
        <w:t xml:space="preserve">For interpretability measurement, beyond DTI.</w:t>
      </w:r>
      <w:r>
        <w:t xml:space="preserve"> </w:t>
      </w:r>
      <w:r>
        <w:t xml:space="preserve">Three findings generalise:</w:t>
      </w:r>
      <w:r>
        <w:t xml:space="preserve"> </w:t>
      </w:r>
      <w:r>
        <w:t xml:space="preserve">1. Attention-based plausibility is largely a property of an</w:t>
      </w:r>
      <w:r>
        <w:t xml:space="preserve"> </w:t>
      </w:r>
      <w:r>
        <w:rPr>
          <w:b/>
          <w:bCs/>
        </w:rPr>
        <w:t xml:space="preserve">unreported readout choice</w:t>
      </w:r>
      <w:r>
        <w:t xml:space="preserve">.</w:t>
      </w:r>
      <w:r>
        <w:t xml:space="preserve"> </w:t>
      </w:r>
      <w:r>
        <w:t xml:space="preserve">2. Masking-based faithfulness</w:t>
      </w:r>
      <w:r>
        <w:t xml:space="preserve"> </w:t>
      </w:r>
      <w:r>
        <w:rPr>
          <w:b/>
          <w:bCs/>
        </w:rPr>
        <w:t xml:space="preserve">does not transfer across tokenisations</w:t>
      </w:r>
      <w:r>
        <w:t xml:space="preserve"> </w:t>
      </w:r>
      <w:r>
        <w:t xml:space="preserve">— and can invert its</w:t>
      </w:r>
      <w:r>
        <w:t xml:space="preserve"> </w:t>
      </w:r>
      <w:r>
        <w:t xml:space="preserve">own sign when the two arms are not size-matched.</w:t>
      </w:r>
      <w:r>
        <w:t xml:space="preserve"> </w:t>
      </w:r>
      <w:r>
        <w:t xml:space="preserve">3. The</w:t>
      </w:r>
      <w:r>
        <w:t xml:space="preserve"> </w:t>
      </w:r>
      <w:r>
        <w:rPr>
          <w:b/>
          <w:bCs/>
        </w:rPr>
        <w:t xml:space="preserve">gradient of the same weights</w:t>
      </w:r>
      <w:r>
        <w:t xml:space="preserve"> </w:t>
      </w:r>
      <w:r>
        <w:t xml:space="preserve">recovers what the attention misses, so a weak</w:t>
      </w:r>
      <w:r>
        <w:t xml:space="preserve"> </w:t>
      </w:r>
      <w:r>
        <w:t xml:space="preserve">attention map often indicts the report rather than the model.</w:t>
      </w:r>
    </w:p>
    <w:p>
      <w:pPr>
        <w:pStyle w:val="BodyText"/>
      </w:pPr>
      <w:r>
        <w:rPr>
          <w:b/>
          <w:bCs/>
        </w:rPr>
        <w:t xml:space="preserve">A cheap check the field can adopt:</w:t>
      </w:r>
      <w:r>
        <w:t xml:space="preserve"> </w:t>
      </w:r>
      <w:r>
        <w:t xml:space="preserve">state which inputs the explanation is a function of.</w:t>
      </w:r>
      <w:r>
        <w:t xml:space="preserve"> </w:t>
      </w:r>
      <w:r>
        <w:t xml:space="preserve">One published claim (EviDTI) fails it on inspection; one of our own readouts failed it too,</w:t>
      </w:r>
      <w:r>
        <w:t xml:space="preserve"> </w:t>
      </w:r>
      <w:r>
        <w:t xml:space="preserve">which is how we caught it.</w:t>
      </w:r>
    </w:p>
    <w:p>
      <w:r>
        <w:pict>
          <v:rect style="width:0;height:1.5pt" o:hralign="center" o:hrstd="t" o:hr="t"/>
        </w:pict>
      </w:r>
    </w:p>
    <w:bookmarkEnd w:id="35"/>
    <w:bookmarkStart w:id="36" w:name="limitations-stated-not-hidden"/>
    <w:p>
      <w:pPr>
        <w:pStyle w:val="Heading2"/>
      </w:pPr>
      <w:r>
        <w:t xml:space="preserve">5. Limitations (stated, not hidden)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Both benchmarks are kinase panels</w:t>
      </w:r>
      <w:r>
        <w:t xml:space="preserve">, so the family confound cannot be stratified away</w:t>
      </w:r>
      <w:r>
        <w:t xml:space="preserve"> </w:t>
      </w:r>
      <w:r>
        <w:t xml:space="preserve">inside them. The 60-protein non-kinase panel is the substitute, and it shows no transfer.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DAVIS’s sequence problems</w:t>
      </w:r>
      <w:r>
        <w:t xml:space="preserve"> </w:t>
      </w:r>
      <w:r>
        <w:t xml:space="preserve">(mutants carrying wild-type sequences) affect every model;</w:t>
      </w:r>
      <w:r>
        <w:t xml:space="preserve"> </w:t>
      </w:r>
      <w:r>
        <w:t xml:space="preserve">cold-level accuracy is re-scored on genuinely unseen targets, and explanation metrics drop</w:t>
      </w:r>
      <w:r>
        <w:t xml:space="preserve"> </w:t>
      </w:r>
      <w:r>
        <w:t xml:space="preserve">seen-by-sequence and pocketless targets.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“Load-bearing”</w:t>
      </w:r>
      <w:r>
        <w:rPr>
          <w:b/>
          <w:bCs/>
        </w:rPr>
        <w:t xml:space="preserve"> </w:t>
      </w:r>
      <w:r>
        <w:rPr>
          <w:b/>
          <w:bCs/>
        </w:rPr>
        <w:t xml:space="preserve">is a statement at k = 10</w:t>
      </w:r>
      <w:r>
        <w:t xml:space="preserve">, the pre-specified dose; at k = 50 the margins</w:t>
      </w:r>
      <w:r>
        <w:t xml:space="preserve"> </w:t>
      </w:r>
      <w:r>
        <w:t xml:space="preserve">shrink under shift.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MolTrans is scored through two readouts</w:t>
      </w:r>
      <w:r>
        <w:t xml:space="preserve"> </w:t>
      </w:r>
      <w:r>
        <w:t xml:space="preserve">and neither is privileged; faithfulness and the</w:t>
      </w:r>
      <w:r>
        <w:t xml:space="preserve"> </w:t>
      </w:r>
      <w:r>
        <w:t xml:space="preserve">per-pair contact analysis use the default (encoder) readout only.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DrugBAN is DAVIS-only</w:t>
      </w:r>
      <w:r>
        <w:t xml:space="preserve"> </w:t>
      </w:r>
      <w:r>
        <w:t xml:space="preserve">and has no integrated-gradient arm (its drug side is a graph).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ColdSite-DTI’s KIBA cells were added after</w:t>
      </w:r>
      <w:r>
        <w:t xml:space="preserve"> </w:t>
      </w:r>
      <w:r>
        <w:t xml:space="preserve">the rest of the KIBA arm, and are reported as</w:t>
      </w:r>
      <w:r>
        <w:t xml:space="preserve"> </w:t>
      </w:r>
      <w:r>
        <w:t xml:space="preserve">an addition rather than as part of the pre-specified scope. Its pocket signal does not</w:t>
      </w:r>
      <w:r>
        <w:t xml:space="preserve"> </w:t>
      </w:r>
      <w:r>
        <w:t xml:space="preserve">replicate cleanly there — a result against our own 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Three seeds per cell</w:t>
      </w:r>
      <w:r>
        <w:t xml:space="preserve"> </w:t>
      </w:r>
      <w:r>
        <w:t xml:space="preserve">is enough to show instability, not to quantify it precisely.</w:t>
      </w:r>
    </w:p>
    <w:p>
      <w:r>
        <w:pict>
          <v:rect style="width:0;height:1.5pt" o:hralign="center" o:hrstd="t" o:hr="t"/>
        </w:pict>
      </w:r>
    </w:p>
    <w:bookmarkEnd w:id="36"/>
    <w:bookmarkStart w:id="37" w:name="status-and-open-decisions-for-discussion"/>
    <w:p>
      <w:pPr>
        <w:pStyle w:val="Heading2"/>
      </w:pPr>
      <w:r>
        <w:t xml:space="preserve">6. Status and open decisions for discussion</w:t>
      </w:r>
    </w:p>
    <w:p>
      <w:pPr>
        <w:pStyle w:val="FirstParagraph"/>
      </w:pPr>
      <w:r>
        <w:rPr>
          <w:b/>
          <w:bCs/>
        </w:rPr>
        <w:t xml:space="preserve">Complete:</w:t>
      </w:r>
      <w:r>
        <w:t xml:space="preserve"> </w:t>
      </w:r>
      <w:r>
        <w:t xml:space="preserve">all training (84 cells across two datasets), the full analysis pipeline,</w:t>
      </w:r>
      <w:r>
        <w:t xml:space="preserve"> </w:t>
      </w:r>
      <w:r>
        <w:t xml:space="preserve">both audits with Holm correction, the replication, the controls and nulls, the readout and</w:t>
      </w:r>
      <w:r>
        <w:t xml:space="preserve"> </w:t>
      </w:r>
      <w:r>
        <w:t xml:space="preserve">seed analyses, the figures, and a test suite that passes in both environments. Every number</w:t>
      </w:r>
      <w:r>
        <w:t xml:space="preserve"> </w:t>
      </w:r>
      <w:r>
        <w:t xml:space="preserve">in this draft traces to a committed file, and re-computing the audits on different hardware</w:t>
      </w:r>
      <w:r>
        <w:t xml:space="preserve"> </w:t>
      </w:r>
      <w:r>
        <w:t xml:space="preserve">reproduced every p-value exactly.</w:t>
      </w:r>
    </w:p>
    <w:p>
      <w:pPr>
        <w:pStyle w:val="BodyText"/>
      </w:pPr>
      <w:r>
        <w:rPr>
          <w:b/>
          <w:bCs/>
        </w:rPr>
        <w:t xml:space="preserve">Open, for your guidance: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Venue.</w:t>
      </w:r>
      <w:r>
        <w:t xml:space="preserve"> </w:t>
      </w:r>
      <w:r>
        <w:t xml:space="preserve">Not chosen. The candidates are</w:t>
      </w:r>
      <w:r>
        <w:t xml:space="preserve"> </w:t>
      </w:r>
      <w:r>
        <w:rPr>
          <w:i/>
          <w:iCs/>
        </w:rPr>
        <w:t xml:space="preserve">Briefings in Bioinformatics</w:t>
      </w:r>
      <w:r>
        <w:t xml:space="preserve"> </w:t>
      </w:r>
      <w:r>
        <w:t xml:space="preserve">(benchmarking and</w:t>
      </w:r>
      <w:r>
        <w:t xml:space="preserve"> </w:t>
      </w:r>
      <w:r>
        <w:t xml:space="preserve">critical-assessment papers, flexible length),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(needs heavy condensing) and</w:t>
      </w:r>
      <w:r>
        <w:t xml:space="preserve"> </w:t>
      </w:r>
      <w:r>
        <w:t xml:space="preserve">ISMB (most competitive, tightest page limit). The choice sets the target length and the</w:t>
      </w:r>
      <w:r>
        <w:t xml:space="preserve"> </w:t>
      </w:r>
      <w:r>
        <w:t xml:space="preserve">citation style, both of which are still open.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Length.</w:t>
      </w:r>
      <w:r>
        <w:t xml:space="preserve"> </w:t>
      </w:r>
      <w:r>
        <w:t xml:space="preserve">The full section drafts are ~27,600 words; a journal main text is roughly</w:t>
      </w:r>
      <w:r>
        <w:t xml:space="preserve"> </w:t>
      </w:r>
      <w:r>
        <w:t xml:space="preserve">5,000–8,000. What belongs in the main text versus a supplement is the largest remaining</w:t>
      </w:r>
      <w:r>
        <w:t xml:space="preserve"> </w:t>
      </w:r>
      <w:r>
        <w:t xml:space="preserve">decision.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Framing.</w:t>
      </w:r>
      <w:r>
        <w:t xml:space="preserve"> </w:t>
      </w:r>
      <w:r>
        <w:t xml:space="preserve">Is the paper best presented as an audit of published claims (current framing),</w:t>
      </w:r>
      <w:r>
        <w:t xml:space="preserve"> </w:t>
      </w:r>
      <w:r>
        <w:t xml:space="preserve">or as a benchmark-and-protocol contribution with the audit as its demonstration?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Remaining work items:</w:t>
      </w:r>
      <w:r>
        <w:t xml:space="preserve"> </w:t>
      </w:r>
      <w:r>
        <w:t xml:space="preserve">a repository DOI for release, and — optional, not required for</w:t>
      </w:r>
      <w:r>
        <w:t xml:space="preserve"> </w:t>
      </w:r>
      <w:r>
        <w:t xml:space="preserve">the claims — integrated gradients for DrugBAN, DrugBAN on KIBA, and readout variants on</w:t>
      </w:r>
      <w:r>
        <w:t xml:space="preserve"> </w:t>
      </w:r>
      <w:r>
        <w:t xml:space="preserve">KIBA. All analyses the claims rest on are complete.</w:t>
      </w:r>
    </w:p>
    <w:p>
      <w:r>
        <w:pict>
          <v:rect style="width:0;height:1.5pt" o:hralign="center" o:hrstd="t" o:hr="t"/>
        </w:pict>
      </w:r>
    </w:p>
    <w:bookmarkEnd w:id="37"/>
    <w:bookmarkStart w:id="38" w:name="X5d05c12d5a2e4d09ad1f2f085d1ecef12c3fcae"/>
    <w:p>
      <w:pPr>
        <w:pStyle w:val="Heading2"/>
      </w:pPr>
      <w:r>
        <w:t xml:space="preserve">References (selected; full verified list in</w:t>
      </w:r>
      <w:r>
        <w:t xml:space="preserve"> </w:t>
      </w:r>
      <w:r>
        <w:rPr>
          <w:rStyle w:val="VerbatimChar"/>
        </w:rPr>
        <w:t xml:space="preserve">paper/references.md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Öztürk H, Özgür A, Ozkirimli E. DeepDTA.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34:i821–i829 (2018).</w:t>
      </w:r>
    </w:p>
    <w:p>
      <w:pPr>
        <w:pStyle w:val="Compact"/>
        <w:numPr>
          <w:ilvl w:val="0"/>
          <w:numId w:val="1006"/>
        </w:numPr>
      </w:pPr>
      <w:r>
        <w:t xml:space="preserve">Huang K, et al. MolTrans.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37:830–836 (2021).</w:t>
      </w:r>
    </w:p>
    <w:p>
      <w:pPr>
        <w:pStyle w:val="Compact"/>
        <w:numPr>
          <w:ilvl w:val="0"/>
          <w:numId w:val="1006"/>
        </w:numPr>
      </w:pPr>
      <w:r>
        <w:t xml:space="preserve">Zhao Q, et al. HyperAttentionDTI.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38:655–662 (2022).</w:t>
      </w:r>
    </w:p>
    <w:p>
      <w:pPr>
        <w:pStyle w:val="Compact"/>
        <w:numPr>
          <w:ilvl w:val="0"/>
          <w:numId w:val="1006"/>
        </w:numPr>
      </w:pPr>
      <w:r>
        <w:t xml:space="preserve">Bai P, et al. Interpretable bilinear attention network with domain adaptation improves</w:t>
      </w:r>
      <w:r>
        <w:t xml:space="preserve"> </w:t>
      </w:r>
      <w:r>
        <w:t xml:space="preserve">drug–target prediction (DrugBAN).</w:t>
      </w:r>
      <w:r>
        <w:t xml:space="preserve"> </w:t>
      </w:r>
      <w:r>
        <w:rPr>
          <w:i/>
          <w:iCs/>
        </w:rPr>
        <w:t xml:space="preserve">Nature Machine Intelligence</w:t>
      </w:r>
      <w:r>
        <w:t xml:space="preserve"> </w:t>
      </w:r>
      <w:r>
        <w:t xml:space="preserve">5:126–136 (2023).</w:t>
      </w:r>
    </w:p>
    <w:p>
      <w:pPr>
        <w:pStyle w:val="Compact"/>
        <w:numPr>
          <w:ilvl w:val="0"/>
          <w:numId w:val="1006"/>
        </w:numPr>
      </w:pPr>
      <w:r>
        <w:t xml:space="preserve">Zhao Y, et al. Evidential deep learning-based drug-target interaction prediction (EviDTI).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16:6915 (2025).</w:t>
      </w:r>
    </w:p>
    <w:p>
      <w:pPr>
        <w:pStyle w:val="Compact"/>
        <w:numPr>
          <w:ilvl w:val="0"/>
          <w:numId w:val="1006"/>
        </w:numPr>
      </w:pPr>
      <w:r>
        <w:t xml:space="preserve">Davis MI, et al. Comprehensive analysis of kinase inhibitor selectivity.</w:t>
      </w:r>
      <w:r>
        <w:t xml:space="preserve"> </w:t>
      </w:r>
      <w:r>
        <w:rPr>
          <w:i/>
          <w:iCs/>
        </w:rPr>
        <w:t xml:space="preserve">Nature</w:t>
      </w:r>
      <w:r>
        <w:rPr>
          <w:i/>
          <w:iCs/>
        </w:rPr>
        <w:t xml:space="preserve"> </w:t>
      </w:r>
      <w:r>
        <w:rPr>
          <w:i/>
          <w:iCs/>
        </w:rPr>
        <w:t xml:space="preserve">Biotechnology</w:t>
      </w:r>
      <w:r>
        <w:t xml:space="preserve"> </w:t>
      </w:r>
      <w:r>
        <w:t xml:space="preserve">29:1046–1051 (2011).</w:t>
      </w:r>
    </w:p>
    <w:p>
      <w:pPr>
        <w:pStyle w:val="Compact"/>
        <w:numPr>
          <w:ilvl w:val="0"/>
          <w:numId w:val="1006"/>
        </w:numPr>
      </w:pPr>
      <w:r>
        <w:t xml:space="preserve">Tang J, et al. Making sense of large-scale kinase inhibitor bioactivity data sets (KIBA).</w:t>
      </w:r>
      <w:r>
        <w:t xml:space="preserve"> </w:t>
      </w:r>
      <w:r>
        <w:rPr>
          <w:i/>
          <w:iCs/>
        </w:rPr>
        <w:t xml:space="preserve">J. Chem. Inf. Model.</w:t>
      </w:r>
      <w:r>
        <w:t xml:space="preserve"> </w:t>
      </w:r>
      <w:r>
        <w:t xml:space="preserve">54:735–743 (2014).</w:t>
      </w:r>
    </w:p>
    <w:p>
      <w:pPr>
        <w:pStyle w:val="Compact"/>
        <w:numPr>
          <w:ilvl w:val="0"/>
          <w:numId w:val="1006"/>
        </w:numPr>
      </w:pPr>
      <w:r>
        <w:t xml:space="preserve">van Linden OPJ, et al. KLIFS.</w:t>
      </w:r>
      <w:r>
        <w:t xml:space="preserve"> </w:t>
      </w:r>
      <w:r>
        <w:rPr>
          <w:i/>
          <w:iCs/>
        </w:rPr>
        <w:t xml:space="preserve">J. Med. Chem.</w:t>
      </w:r>
      <w:r>
        <w:t xml:space="preserve"> </w:t>
      </w:r>
      <w:r>
        <w:t xml:space="preserve">57:249–277 (2014); Kanev GK, et al. KLIFS:</w:t>
      </w:r>
      <w:r>
        <w:t xml:space="preserve"> </w:t>
      </w:r>
      <w:r>
        <w:t xml:space="preserve">an overhaul after the first 5 years.</w:t>
      </w:r>
      <w:r>
        <w:t xml:space="preserve"> </w:t>
      </w:r>
      <w:r>
        <w:rPr>
          <w:i/>
          <w:iCs/>
        </w:rPr>
        <w:t xml:space="preserve">Nucleic Acids Res.</w:t>
      </w:r>
      <w:r>
        <w:t xml:space="preserve"> </w:t>
      </w:r>
      <w:r>
        <w:t xml:space="preserve">49:D562–D569 (2021).</w:t>
      </w:r>
    </w:p>
    <w:p>
      <w:pPr>
        <w:pStyle w:val="Compact"/>
        <w:numPr>
          <w:ilvl w:val="0"/>
          <w:numId w:val="1006"/>
        </w:numPr>
      </w:pPr>
      <w:r>
        <w:t xml:space="preserve">The UniProt Consortium. UniProt in 2025.</w:t>
      </w:r>
      <w:r>
        <w:t xml:space="preserve"> </w:t>
      </w:r>
      <w:r>
        <w:rPr>
          <w:i/>
          <w:iCs/>
        </w:rPr>
        <w:t xml:space="preserve">Nucleic Acids Res.</w:t>
      </w:r>
      <w:r>
        <w:t xml:space="preserve"> </w:t>
      </w:r>
      <w:r>
        <w:t xml:space="preserve">53:D609–D617 (2025).</w:t>
      </w:r>
    </w:p>
    <w:p>
      <w:pPr>
        <w:pStyle w:val="Compact"/>
        <w:numPr>
          <w:ilvl w:val="0"/>
          <w:numId w:val="1006"/>
        </w:numPr>
      </w:pPr>
      <w:r>
        <w:t xml:space="preserve">Jain S, Wallace BC. Attention is not Explanation.</w:t>
      </w:r>
      <w:r>
        <w:t xml:space="preserve"> </w:t>
      </w:r>
      <w:r>
        <w:rPr>
          <w:i/>
          <w:iCs/>
        </w:rPr>
        <w:t xml:space="preserve">NAACL-HLT</w:t>
      </w:r>
      <w:r>
        <w:t xml:space="preserve"> </w:t>
      </w:r>
      <w:r>
        <w:t xml:space="preserve">3543–3556 (2019);</w:t>
      </w:r>
      <w:r>
        <w:t xml:space="preserve"> </w:t>
      </w:r>
      <w:r>
        <w:t xml:space="preserve">Wiegreffe S, Pinter Y. Attention is not not Explanation.</w:t>
      </w:r>
      <w:r>
        <w:t xml:space="preserve"> </w:t>
      </w:r>
      <w:r>
        <w:rPr>
          <w:i/>
          <w:iCs/>
        </w:rPr>
        <w:t xml:space="preserve">EMNLP-IJCNLP</w:t>
      </w:r>
      <w:r>
        <w:t xml:space="preserve"> </w:t>
      </w:r>
      <w:r>
        <w:t xml:space="preserve">11–20 (2019).</w:t>
      </w:r>
    </w:p>
    <w:p>
      <w:pPr>
        <w:pStyle w:val="Compact"/>
        <w:numPr>
          <w:ilvl w:val="0"/>
          <w:numId w:val="1006"/>
        </w:numPr>
      </w:pPr>
      <w:r>
        <w:t xml:space="preserve">DeYoung J, et al. ERASER.</w:t>
      </w:r>
      <w:r>
        <w:t xml:space="preserve"> </w:t>
      </w:r>
      <w:r>
        <w:rPr>
          <w:i/>
          <w:iCs/>
        </w:rPr>
        <w:t xml:space="preserve">ACL</w:t>
      </w:r>
      <w:r>
        <w:t xml:space="preserve"> </w:t>
      </w:r>
      <w:r>
        <w:t xml:space="preserve">4443–4458 (2020) — comprehensiveness and sufficiency.</w:t>
      </w:r>
    </w:p>
    <w:p>
      <w:pPr>
        <w:pStyle w:val="Compact"/>
        <w:numPr>
          <w:ilvl w:val="0"/>
          <w:numId w:val="1006"/>
        </w:numPr>
      </w:pPr>
      <w:r>
        <w:t xml:space="preserve">Sundararajan M, Taly A, Yan Q. Axiomatic Attribution for Deep Networks.</w:t>
      </w:r>
      <w:r>
        <w:t xml:space="preserve"> </w:t>
      </w:r>
      <w:r>
        <w:rPr>
          <w:i/>
          <w:iCs/>
        </w:rPr>
        <w:t xml:space="preserve">ICML</w:t>
      </w:r>
      <w:r>
        <w:t xml:space="preserve"> </w:t>
      </w:r>
      <w:r>
        <w:t xml:space="preserve">(2017).</w:t>
      </w:r>
    </w:p>
    <w:p>
      <w:pPr>
        <w:pStyle w:val="Compact"/>
        <w:numPr>
          <w:ilvl w:val="0"/>
          <w:numId w:val="1006"/>
        </w:numPr>
      </w:pPr>
      <w:r>
        <w:t xml:space="preserve">Holm S. A simple sequentially rejective multiple test procedure.</w:t>
      </w:r>
      <w:r>
        <w:t xml:space="preserve"> </w:t>
      </w:r>
      <w:r>
        <w:rPr>
          <w:i/>
          <w:iCs/>
        </w:rPr>
        <w:t xml:space="preserve">Scand. J. Stat.</w:t>
      </w:r>
      <w:r>
        <w:t xml:space="preserve"> </w:t>
      </w:r>
      <w:r>
        <w:t xml:space="preserve">6:65–70 (1979).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2026-09-20T11:44:55Z</dcterms:created>
  <dcterms:modified xsi:type="dcterms:W3CDTF">2026-09-20T11:44:55Z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