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ldsite-dti-project-report"/>
    <w:p>
      <w:pPr>
        <w:pStyle w:val="Heading1"/>
      </w:pPr>
      <w:r>
        <w:t xml:space="preserve">ColdSite-DTI — Project Report</w:t>
      </w:r>
    </w:p>
    <w:p>
      <w:pPr>
        <w:pStyle w:val="FirstParagraph"/>
      </w:pPr>
      <w:r>
        <w:rPr>
          <w:b/>
          <w:bCs/>
        </w:rPr>
        <w:t xml:space="preserve">Mahim Agarwal</w:t>
      </w:r>
      <w:r>
        <w:t xml:space="preserve"> </w:t>
      </w:r>
      <w:r>
        <w:t xml:space="preserve">· Supervisor:</w:t>
      </w:r>
      <w:r>
        <w:t xml:space="preserve"> </w:t>
      </w:r>
      <w:r>
        <w:rPr>
          <w:b/>
          <w:bCs/>
        </w:rPr>
        <w:t xml:space="preserve">Dr. Chandra Mohan Dasari</w:t>
      </w:r>
      <w:r>
        <w:t xml:space="preserve"> </w:t>
      </w:r>
      <w:r>
        <w:t xml:space="preserve">Report date: 20 September 2026 · Work period: 31 July – 20 September 2026</w:t>
      </w:r>
    </w:p>
    <w:p>
      <w:pPr>
        <w:pStyle w:val="BodyText"/>
      </w:pPr>
      <w:r>
        <w:rPr>
          <w:i/>
          <w:iCs/>
        </w:rPr>
        <w:t xml:space="preserve">Companion document: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draft_for_supervisor.docx</w:t>
      </w:r>
      <w:r>
        <w:rPr>
          <w:i/>
          <w:iCs/>
        </w:rPr>
        <w:t xml:space="preserve"> </w:t>
      </w:r>
      <w:r>
        <w:rPr>
          <w:i/>
          <w:iCs/>
        </w:rPr>
        <w:t xml:space="preserve">— the condensed paper draft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figures. This report covers the project as a whole: what was built, what was run, what went</w:t>
      </w:r>
      <w:r>
        <w:rPr>
          <w:i/>
          <w:iCs/>
        </w:rPr>
        <w:t xml:space="preserve"> </w:t>
      </w:r>
      <w:r>
        <w:rPr>
          <w:i/>
          <w:iCs/>
        </w:rPr>
        <w:t xml:space="preserve">wrong, how we know the numbers are right, and what is left.</w:t>
      </w:r>
    </w:p>
    <w:p>
      <w:r>
        <w:pict>
          <v:rect style="width:0;height:1.5pt" o:hralign="center" o:hrstd="t" o:hr="t"/>
        </w:pict>
      </w:r>
    </w:p>
    <w:bookmarkStart w:id="9" w:name="the-project-in-one-page"/>
    <w:p>
      <w:pPr>
        <w:pStyle w:val="Heading2"/>
      </w:pPr>
      <w:r>
        <w:t xml:space="preserve">1. The project in one page</w:t>
      </w:r>
    </w:p>
    <w:p>
      <w:pPr>
        <w:pStyle w:val="FirstParagraph"/>
      </w:pPr>
      <w:r>
        <w:rPr>
          <w:b/>
          <w:bCs/>
        </w:rPr>
        <w:t xml:space="preserve">The question.</w:t>
      </w:r>
      <w:r>
        <w:t xml:space="preserve"> </w:t>
      </w:r>
      <w:r>
        <w:t xml:space="preserve">Papers on drug–target interaction (DTI) prediction routinely show a plot</w:t>
      </w:r>
      <w:r>
        <w:t xml:space="preserve"> </w:t>
      </w:r>
      <w:r>
        <w:t xml:space="preserve">of the model’s attention over a protein and conclude that the model has found the binding</w:t>
      </w:r>
      <w:r>
        <w:t xml:space="preserve"> </w:t>
      </w:r>
      <w:r>
        <w:t xml:space="preserve">site. That claim is usually made on a random split, from one training run, by eye, and</w:t>
      </w:r>
      <w:r>
        <w:t xml:space="preserve"> </w:t>
      </w:r>
      <w:r>
        <w:t xml:space="preserve">without a chance level.</w:t>
      </w:r>
      <w:r>
        <w:t xml:space="preserve"> </w:t>
      </w:r>
      <w:r>
        <w:rPr>
          <w:b/>
          <w:bCs/>
        </w:rPr>
        <w:t xml:space="preserve">Does it survive a realistic evaluation?</w:t>
      </w:r>
    </w:p>
    <w:p>
      <w:pPr>
        <w:pStyle w:val="BodyText"/>
      </w:pPr>
      <w:r>
        <w:rPr>
          <w:b/>
          <w:bCs/>
        </w:rPr>
        <w:t xml:space="preserve">What we did.</w:t>
      </w:r>
      <w:r>
        <w:t xml:space="preserve"> </w:t>
      </w:r>
      <w:r>
        <w:t xml:space="preserve">We retrained four attention-based DTI models — three published (MolTrans</w:t>
      </w:r>
      <w:r>
        <w:t xml:space="preserve"> </w:t>
      </w:r>
      <w:r>
        <w:t xml:space="preserve">2021, HyperAttentionDTI 2022, DrugBAN 2023) and our own ColdSite-DTI — plus a no-attention</w:t>
      </w:r>
      <w:r>
        <w:t xml:space="preserve"> </w:t>
      </w:r>
      <w:r>
        <w:t xml:space="preserve">accuracy anchor (DeepDTA), on identical data splits at four levels of difficulty, three</w:t>
      </w:r>
      <w:r>
        <w:t xml:space="preserve"> </w:t>
      </w:r>
      <w:r>
        <w:t xml:space="preserve">times each, on two benchmarks. We then scored their explanations against experimentally</w:t>
      </w:r>
      <w:r>
        <w:t xml:space="preserve"> </w:t>
      </w:r>
      <w:r>
        <w:t xml:space="preserve">annotated binding sites, with a chance level, a ceiling, a uniform-attention floor, a</w:t>
      </w:r>
      <w:r>
        <w:t xml:space="preserve"> </w:t>
      </w:r>
      <w:r>
        <w:t xml:space="preserve">positive control and several nulls, and applied one statistical correction across the whole</w:t>
      </w:r>
      <w:r>
        <w:t xml:space="preserve"> </w:t>
      </w:r>
      <w:r>
        <w:t xml:space="preserve">family of tests.</w:t>
      </w:r>
    </w:p>
    <w:p>
      <w:pPr>
        <w:pStyle w:val="BodyText"/>
      </w:pPr>
      <w:r>
        <w:rPr>
          <w:b/>
          <w:bCs/>
        </w:rPr>
        <w:t xml:space="preserve">What we found.</w:t>
      </w:r>
      <w:r>
        <w:t xml:space="preserve"> </w:t>
      </w:r>
      <w:r>
        <w:t xml:space="preserve">Of twenty DAVIS cells,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supports the residue-level claim after</w:t>
      </w:r>
      <w:r>
        <w:t xml:space="preserve"> </w:t>
      </w:r>
      <w:r>
        <w:t xml:space="preserve">correction, and it does not replicate on KIBA. In twelve of twenty-two cells the three</w:t>
      </w:r>
      <w:r>
        <w:t xml:space="preserve"> </w:t>
      </w:r>
      <w:r>
        <w:t xml:space="preserve">training seeds disagree about their own verdict. What does survive is coarser and worth</w:t>
      </w:r>
      <w:r>
        <w:t xml:space="preserve"> </w:t>
      </w:r>
      <w:r>
        <w:t xml:space="preserve">reporting: the attention is genuinely used by the model, and it concentrates on the binding</w:t>
      </w:r>
      <w:r>
        <w:t xml:space="preserve"> </w:t>
      </w:r>
      <w:r>
        <w:rPr>
          <w:i/>
          <w:iCs/>
        </w:rPr>
        <w:t xml:space="preserve">pocket region</w:t>
      </w:r>
      <w:r>
        <w:t xml:space="preserve"> </w:t>
      </w:r>
      <w:r>
        <w:t xml:space="preserve">rather than on the annotated residues. Three findings about the measurement</w:t>
      </w:r>
      <w:r>
        <w:t xml:space="preserve"> </w:t>
      </w:r>
      <w:r>
        <w:t xml:space="preserve">itself generalise beyond DTI (§5).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t xml:space="preserve">All training and analysis are complete: 84 trained cells, both audits, the</w:t>
      </w:r>
      <w:r>
        <w:t xml:space="preserve"> </w:t>
      </w:r>
      <w:r>
        <w:t xml:space="preserve">replication, the controls, the figures. The paper’s sections are drafted. What remains is</w:t>
      </w:r>
      <w:r>
        <w:t xml:space="preserve"> </w:t>
      </w:r>
      <w:r>
        <w:t xml:space="preserve">editorial — condensing to a venue’s length, the citation style, and a DOI for the code</w:t>
      </w:r>
      <w:r>
        <w:t xml:space="preserve"> </w:t>
      </w:r>
      <w:r>
        <w:t xml:space="preserve">release. Nothing in the scientific plan is outstanding.</w:t>
      </w:r>
    </w:p>
    <w:p>
      <w:r>
        <w:pict>
          <v:rect style="width:0;height:1.5pt" o:hralign="center" o:hrstd="t" o:hr="t"/>
        </w:pict>
      </w:r>
    </w:p>
    <w:bookmarkEnd w:id="9"/>
    <w:bookmarkStart w:id="10" w:name="X1f54acf4f0bf28169e0a332225cbf4452036a14"/>
    <w:p>
      <w:pPr>
        <w:pStyle w:val="Heading2"/>
      </w:pPr>
      <w:r>
        <w:t xml:space="preserve">2. Why an audit, and why this is not a model paper</w:t>
      </w:r>
    </w:p>
    <w:p>
      <w:pPr>
        <w:pStyle w:val="FirstParagraph"/>
      </w:pPr>
      <w:r>
        <w:t xml:space="preserve">The easy version of this project would have been</w:t>
      </w:r>
      <w:r>
        <w:t xml:space="preserve"> </w:t>
      </w:r>
      <w:r>
        <w:t xml:space="preserve">“our model gets a better AUROC”</w:t>
      </w:r>
      <w:r>
        <w:t xml:space="preserve">. We</w:t>
      </w:r>
      <w:r>
        <w:t xml:space="preserve"> </w:t>
      </w:r>
      <w:r>
        <w:t xml:space="preserve">deliberately did not do that, for three reasons: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gap is real and unfilled.</w:t>
      </w:r>
      <w:r>
        <w:t xml:space="preserve"> </w:t>
      </w:r>
      <w:r>
        <w:t xml:space="preserve">The NLP community established in 2019 that attention</w:t>
      </w:r>
      <w:r>
        <w:t xml:space="preserve"> </w:t>
      </w:r>
      <w:r>
        <w:t xml:space="preserve">weights need not be explanations. DTI papers continued to present attention as binding-site</w:t>
      </w:r>
      <w:r>
        <w:t xml:space="preserve"> </w:t>
      </w:r>
      <w:r>
        <w:t xml:space="preserve">evidence, and nobody had tested those claims under the distribution shift the models are</w:t>
      </w:r>
      <w:r>
        <w:t xml:space="preserve"> </w:t>
      </w:r>
      <w:r>
        <w:t xml:space="preserve">built for.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audit can be wrong in a way a model paper cannot.</w:t>
      </w:r>
      <w:r>
        <w:t xml:space="preserve"> </w:t>
      </w:r>
      <w:r>
        <w:t xml:space="preserve">If we report a null, the first</w:t>
      </w:r>
      <w:r>
        <w:t xml:space="preserve"> </w:t>
      </w:r>
      <w:r>
        <w:t xml:space="preserve">objection is</w:t>
      </w:r>
      <w:r>
        <w:t xml:space="preserve"> </w:t>
      </w:r>
      <w:r>
        <w:t xml:space="preserve">“your test is too weak”</w:t>
      </w:r>
      <w:r>
        <w:t xml:space="preserve">. That forced the protocol to carry its own evidence:</w:t>
      </w:r>
      <w:r>
        <w:t xml:space="preserve"> </w:t>
      </w:r>
      <w:r>
        <w:t xml:space="preserve">a positive control that says at what strength a real signal would have been detected, a</w:t>
      </w:r>
      <w:r>
        <w:t xml:space="preserve"> </w:t>
      </w:r>
      <w:r>
        <w:t xml:space="preserve">uniform-attention floor, and nulls that a spurious signal would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Our own model is a subject, not a hero.</w:t>
      </w:r>
      <w:r>
        <w:t xml:space="preserve"> </w:t>
      </w:r>
      <w:r>
        <w:t xml:space="preserve">ColdSite-DTI is audited on exactly the same</w:t>
      </w:r>
      <w:r>
        <w:t xml:space="preserve"> </w:t>
      </w:r>
      <w:r>
        <w:t xml:space="preserve">terms, and the report includes results that are unfavourable to it (§5, §6).</w:t>
      </w:r>
    </w:p>
    <w:p>
      <w:r>
        <w:pict>
          <v:rect style="width:0;height:1.5pt" o:hralign="center" o:hrstd="t" o:hr="t"/>
        </w:pict>
      </w:r>
    </w:p>
    <w:bookmarkEnd w:id="10"/>
    <w:bookmarkStart w:id="11" w:name="what-was-built"/>
    <w:p>
      <w:pPr>
        <w:pStyle w:val="Heading2"/>
      </w:pPr>
      <w:r>
        <w:t xml:space="preserve">3. What was built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pipeline</w:t>
            </w:r>
          </w:p>
        </w:tc>
        <w:tc>
          <w:tcPr/>
          <w:p>
            <w:pPr>
              <w:pStyle w:val="Compact"/>
            </w:pPr>
            <w:r>
              <w:t xml:space="preserve">DAVIS and KIBA loading, four split levels per dataset, binary thresholds, a non-kinase transfer panel (60 BindingDB proteins), an antiviral subset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 truth</w:t>
            </w:r>
          </w:p>
        </w:tc>
        <w:tc>
          <w:tcPr/>
          <w:p>
            <w:pPr>
              <w:pStyle w:val="Compact"/>
            </w:pPr>
            <w:r>
              <w:t xml:space="preserve">UniProt binding-site residues re-numbered onto each dataset’s own sequences; the 85-residue KLIFS ATP pocket; per-pair crystallographic contacts from KLIFS interaction fingerprints</w:t>
            </w:r>
          </w:p>
        </w:tc>
        <w:tc>
          <w:tcPr/>
          <w:p>
            <w:pPr>
              <w:pStyle w:val="Compact"/>
            </w:pPr>
            <w:r>
              <w:t xml:space="preserve">3 independent ground truths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Trainers</w:t>
            </w:r>
          </w:p>
        </w:tc>
        <w:tc>
          <w:tcPr/>
          <w:p>
            <w:pPr>
              <w:pStyle w:val="Compact"/>
            </w:pPr>
            <w:r>
              <w:t xml:space="preserve">One per model, each using its authors’ own recipe and tokeniser from the vendored repository, with only data loading replaced; epoch-level resume so an 11-hour cloud session can continue</w:t>
            </w:r>
          </w:p>
        </w:tc>
        <w:tc>
          <w:tcPr/>
          <w:p>
            <w:pPr>
              <w:pStyle w:val="Compact"/>
            </w:pPr>
            <w:r>
              <w:t xml:space="preserve">5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adapters</w:t>
            </w:r>
          </w:p>
        </w:tc>
        <w:tc>
          <w:tcPr/>
          <w:p>
            <w:pPr>
              <w:pStyle w:val="Compact"/>
            </w:pPr>
            <w:r>
              <w:t xml:space="preserve">A uniform interface (</w:t>
            </w:r>
            <w:r>
              <w:rPr>
                <w:rStyle w:val="VerbatimChar"/>
              </w:rPr>
              <w:t xml:space="preserve">predict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explain</w:t>
            </w:r>
            <w:r>
              <w:t xml:space="preserve">) over five very different architectures, so every metric runs unchanged on each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Plausibility ladders, faithfulness, the audit grid with Holm correction, positional and residue-identity nulls, the non-kinase control, the positive control, readout variants, integrated gradients, seed agreement, drug-dependence, clean accuracy</w:t>
            </w:r>
          </w:p>
        </w:tc>
        <w:tc>
          <w:tcPr/>
          <w:p>
            <w:pPr>
              <w:pStyle w:val="Compact"/>
            </w:pPr>
            <w:r>
              <w:t xml:space="preserve">33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run_all</w:t>
            </w:r>
            <w:r>
              <w:t xml:space="preserve"> </w:t>
            </w:r>
            <w:r>
              <w:t xml:space="preserve">— one command that runs the whole analysis for a dataset and writes a summary; resumable</w:t>
            </w:r>
          </w:p>
        </w:tc>
        <w:tc>
          <w:tcPr/>
          <w:p>
            <w:pPr>
              <w:pStyle w:val="Compact"/>
            </w:pPr>
            <w:r>
              <w:t xml:space="preserve">1 entry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notebooks</w:t>
            </w:r>
          </w:p>
        </w:tc>
        <w:tc>
          <w:tcPr/>
          <w:p>
            <w:pPr>
              <w:pStyle w:val="Compact"/>
            </w:pPr>
            <w:r>
              <w:t xml:space="preserve">Kaggle notebooks for each training grid, with self-stop before the platform’s time limit, restore-from-previous-commit, and pre-flight checks that refuse to start if the splits do not match the record</w:t>
            </w:r>
          </w:p>
        </w:tc>
        <w:tc>
          <w:tcPr/>
          <w:p>
            <w:pPr>
              <w:pStyle w:val="Compact"/>
            </w:pPr>
            <w:r>
              <w:t xml:space="preserve">20 notebooks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Unit and integration tests, including tests on planted cases where the right answer is known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938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Totals:</w:t>
      </w:r>
      <w:r>
        <w:t xml:space="preserve"> </w:t>
      </w:r>
      <w:r>
        <w:t xml:space="preserve">67 Python modules, ~17,300 lines, 200 commits over eight weeks.</w:t>
      </w:r>
    </w:p>
    <w:p>
      <w:r>
        <w:pict>
          <v:rect style="width:0;height:1.5pt" o:hralign="center" o:hrstd="t" o:hr="t"/>
        </w:pict>
      </w:r>
    </w:p>
    <w:bookmarkEnd w:id="11"/>
    <w:bookmarkStart w:id="12" w:name="what-was-run"/>
    <w:p>
      <w:pPr>
        <w:pStyle w:val="Heading2"/>
      </w:pPr>
      <w:r>
        <w:t xml:space="preserve">4. What was run</w:t>
      </w:r>
    </w:p>
    <w:p>
      <w:pPr>
        <w:pStyle w:val="FirstParagraph"/>
      </w:pPr>
      <w:r>
        <w:rPr>
          <w:b/>
          <w:bCs/>
        </w:rPr>
        <w:t xml:space="preserve">Training — 84 cells, each a full training run with its own checkpoint and test pass: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levels</w:t>
            </w:r>
          </w:p>
        </w:tc>
        <w:tc>
          <w:tcPr/>
          <w:p>
            <w:pPr>
              <w:pStyle w:val="Compact"/>
            </w:pPr>
            <w:r>
              <w:t xml:space="preserve">seeds</w:t>
            </w:r>
          </w:p>
        </w:tc>
        <w:tc>
          <w:tcPr/>
          <w:p>
            <w:pPr>
              <w:pStyle w:val="Compact"/>
            </w:pPr>
            <w:r>
              <w:t xml:space="preserve">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DeepDTA, ColdSite-DTI, HyperAttentionDTI, MolTrans</w:t>
            </w:r>
          </w:p>
        </w:tc>
        <w:tc>
          <w:tcPr/>
          <w:p>
            <w:pPr>
              <w:pStyle w:val="Compact"/>
            </w:pPr>
            <w:r>
              <w:t xml:space="preserve">random, cold-drug, cold-target, cold-pair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</w:t>
            </w:r>
          </w:p>
        </w:tc>
        <w:tc>
          <w:tcPr/>
          <w:p>
            <w:pPr>
              <w:pStyle w:val="Compact"/>
            </w:pPr>
            <w:r>
              <w:t xml:space="preserve">DrugBAN (added Sept 18)</w:t>
            </w:r>
          </w:p>
        </w:tc>
        <w:tc>
          <w:tcPr/>
          <w:p>
            <w:pPr>
              <w:pStyle w:val="Compact"/>
            </w:pPr>
            <w:r>
              <w:t xml:space="preserve">all four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DeepDTA, HyperAttentionDTI, MolTrans</w:t>
            </w:r>
          </w:p>
        </w:tc>
        <w:tc>
          <w:tcPr/>
          <w:p>
            <w:pPr>
              <w:pStyle w:val="Compact"/>
            </w:pPr>
            <w:r>
              <w:t xml:space="preserve">random, cold-drug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KIBA</w:t>
            </w:r>
          </w:p>
        </w:tc>
        <w:tc>
          <w:tcPr/>
          <w:p>
            <w:pPr>
              <w:pStyle w:val="Compact"/>
            </w:pPr>
            <w:r>
              <w:t xml:space="preserve">ColdSite-DTI (added Sept 19)</w:t>
            </w:r>
          </w:p>
        </w:tc>
        <w:tc>
          <w:tcPr/>
          <w:p>
            <w:pPr>
              <w:pStyle w:val="Compact"/>
            </w:pPr>
            <w:r>
              <w:t xml:space="preserve">random, cold-drug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pPr>
        <w:pStyle w:val="BodyText"/>
      </w:pPr>
      <w:r>
        <w:t xml:space="preserve">All training ran on free cloud GPUs (Kaggle T4s), because the work does not fit on a laptop:</w:t>
      </w:r>
      <w:r>
        <w:t xml:space="preserve"> </w:t>
      </w:r>
      <w:r>
        <w:t xml:space="preserve">the KIBA arm alone took about</w:t>
      </w:r>
      <w:r>
        <w:t xml:space="preserve"> </w:t>
      </w:r>
      <w:r>
        <w:rPr>
          <w:b/>
          <w:bCs/>
        </w:rPr>
        <w:t xml:space="preserve">101 GPU-hours</w:t>
      </w:r>
      <w:r>
        <w:t xml:space="preserve"> </w:t>
      </w:r>
      <w:r>
        <w:t xml:space="preserve">across four accounts. Checkpoints total 4.6 GB</w:t>
      </w:r>
      <w:r>
        <w:t xml:space="preserve"> </w:t>
      </w:r>
      <w:r>
        <w:t xml:space="preserve">and are backed up outside the machine.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 </w:t>
      </w:r>
      <w:r>
        <w:t xml:space="preserve">runs locally on CPU: plausibility ladders against two ground truths, faithfulness,</w:t>
      </w:r>
      <w:r>
        <w:t xml:space="preserve"> </w:t>
      </w:r>
      <w:r>
        <w:t xml:space="preserve">both audits, the nulls and controls, integrated gradients, readout variants, and the figures.</w:t>
      </w:r>
    </w:p>
    <w:p>
      <w:r>
        <w:pict>
          <v:rect style="width:0;height:1.5pt" o:hralign="center" o:hrstd="t" o:hr="t"/>
        </w:pict>
      </w:r>
    </w:p>
    <w:bookmarkEnd w:id="12"/>
    <w:bookmarkStart w:id="13" w:name="what-we-found"/>
    <w:p>
      <w:pPr>
        <w:pStyle w:val="Heading2"/>
      </w:pPr>
      <w:r>
        <w:t xml:space="preserve">5. What we found</w:t>
      </w:r>
    </w:p>
    <w:p>
      <w:pPr>
        <w:pStyle w:val="FirstParagraph"/>
      </w:pPr>
      <w:r>
        <w:t xml:space="preserve">Full numbers, tables and figures are in the companion draft. In brief: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cell of twenty survives correction</w:t>
      </w:r>
      <w:r>
        <w:t xml:space="preserve"> </w:t>
      </w:r>
      <w:r>
        <w:t xml:space="preserve">(HyperAttentionDTI, random split, 1.7× chance),</w:t>
      </w:r>
      <w:r>
        <w:t xml:space="preserve"> </w:t>
      </w:r>
      <w:r>
        <w:t xml:space="preserve">and it beats every null. It</w:t>
      </w:r>
      <w:r>
        <w:t xml:space="preserve"> </w:t>
      </w:r>
      <w:r>
        <w:rPr>
          <w:b/>
          <w:bCs/>
        </w:rPr>
        <w:t xml:space="preserve">does not replicate on KIBA</w:t>
      </w:r>
      <w:r>
        <w:t xml:space="preserve">, where none of eight survives.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Attention is used but coarse.</w:t>
      </w:r>
      <w:r>
        <w:t xml:space="preserve"> </w:t>
      </w:r>
      <w:r>
        <w:t xml:space="preserve">Masking the attended residues moves the prediction more</w:t>
      </w:r>
      <w:r>
        <w:t xml:space="preserve"> </w:t>
      </w:r>
      <w:r>
        <w:t xml:space="preserve">than masking random ones in every cell of both datasets (for the three 2021–2022 models),</w:t>
      </w:r>
      <w:r>
        <w:t xml:space="preserve"> </w:t>
      </w:r>
      <w:r>
        <w:t xml:space="preserve">and attention concentrates on the ATP pocket at 1.3–2.1× chance — while missing the</w:t>
      </w:r>
      <w:r>
        <w:t xml:space="preserve"> </w:t>
      </w:r>
      <w:r>
        <w:t xml:space="preserve">annotated residues inside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single training run cannot support the claim.</w:t>
      </w:r>
      <w:r>
        <w:t xml:space="preserve"> </w:t>
      </w:r>
      <w:r>
        <w:t xml:space="preserve">In 12 of 22 cells the three seeds</w:t>
      </w:r>
      <w:r>
        <w:t xml:space="preserve"> </w:t>
      </w:r>
      <w:r>
        <w:t xml:space="preserve">disagree about their own verdict; in 21 of 22 the seed spread exceeds the cell’s distance</w:t>
      </w:r>
      <w:r>
        <w:t xml:space="preserve"> </w:t>
      </w:r>
      <w:r>
        <w:t xml:space="preserve">from chance.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verdict can belong to the readout.</w:t>
      </w:r>
      <w:r>
        <w:t xml:space="preserve"> </w:t>
      </w:r>
      <w:r>
        <w:t xml:space="preserve">Alternative, equally defensible ways of reducing</w:t>
      </w:r>
      <w:r>
        <w:t xml:space="preserve"> </w:t>
      </w:r>
      <w:r>
        <w:t xml:space="preserve">the same attention tensor share only 2–12% of their top-ten residues, and one choice moves a</w:t>
      </w:r>
      <w:r>
        <w:t xml:space="preserve"> </w:t>
      </w:r>
      <w:r>
        <w:t xml:space="preserve">pocket-level verdict from 2.6× chance to below chance.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gradient finds what the attention misses.</w:t>
      </w:r>
      <w:r>
        <w:t xml:space="preserve"> </w:t>
      </w:r>
      <w:r>
        <w:t xml:space="preserve">Integrated gradients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checkpoints survive correction in 7 of 12 DAVIS cells against 1 of 20 for attention. A weak</w:t>
      </w:r>
      <w:r>
        <w:t xml:space="preserve"> </w:t>
      </w:r>
      <w:r>
        <w:t xml:space="preserve">attention map often indicts the report, not the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newest model is the clearest failure.</w:t>
      </w:r>
      <w:r>
        <w:t xml:space="preserve"> </w:t>
      </w:r>
      <w:r>
        <w:t xml:space="preserve">DrugBAN (2023) is at chance against both</w:t>
      </w:r>
      <w:r>
        <w:t xml:space="preserve"> </w:t>
      </w:r>
      <w:r>
        <w:t xml:space="preserve">ground truths in all 12 cells and its attention is not load-bearing — while being the only</w:t>
      </w:r>
      <w:r>
        <w:t xml:space="preserve"> </w:t>
      </w:r>
      <w:r>
        <w:t xml:space="preserve">model whose map genuinely changes with the drug.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check the field can adopt before publishing:</w:t>
      </w:r>
      <w:r>
        <w:t xml:space="preserve"> </w:t>
      </w:r>
      <w:r>
        <w:t xml:space="preserve">state which inputs the explanation is a</w:t>
      </w:r>
      <w:r>
        <w:t xml:space="preserve"> </w:t>
      </w:r>
      <w:r>
        <w:t xml:space="preserve">function of. A 2025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model’s residue attention cannot depend on the</w:t>
      </w:r>
      <w:r>
        <w:t xml:space="preserve"> </w:t>
      </w:r>
      <w:r>
        <w:t xml:space="preserve">drug at all — visible in its source code, no experiment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benchmark finding:</w:t>
      </w:r>
      <w:r>
        <w:t xml:space="preserve"> </w:t>
      </w:r>
      <w:r>
        <w:t xml:space="preserve">in the DAVIS protein file this literature uses, all 54 mutant</w:t>
      </w:r>
      <w:r>
        <w:t xml:space="preserve"> </w:t>
      </w:r>
      <w:r>
        <w:t xml:space="preserve">targets carry the wild-type sequence, so</w:t>
      </w:r>
      <w:r>
        <w:t xml:space="preserve"> </w:t>
      </w:r>
      <w:r>
        <w:t xml:space="preserve">“unseen”</w:t>
      </w:r>
      <w:r>
        <w:t xml:space="preserve"> </w:t>
      </w:r>
      <w:r>
        <w:t xml:space="preserve">targets are partly seen. Leakage inflated</w:t>
      </w:r>
      <w:r>
        <w:t xml:space="preserve"> </w:t>
      </w:r>
      <w:r>
        <w:t xml:space="preserve">cold-target accuracy for every model.</w:t>
      </w:r>
    </w:p>
    <w:p>
      <w:r>
        <w:pict>
          <v:rect style="width:0;height:1.5pt" o:hralign="center" o:hrstd="t" o:hr="t"/>
        </w:pict>
      </w:r>
    </w:p>
    <w:bookmarkEnd w:id="13"/>
    <w:bookmarkStart w:id="14" w:name="X7b9efa824c52d3183f03d37107473a89826f612"/>
    <w:p>
      <w:pPr>
        <w:pStyle w:val="Heading2"/>
      </w:pPr>
      <w:r>
        <w:t xml:space="preserve">6. Problems found during the work, and how each was handled</w:t>
      </w:r>
    </w:p>
    <w:p>
      <w:pPr>
        <w:pStyle w:val="FirstParagraph"/>
      </w:pPr>
      <w:r>
        <w:t xml:space="preserve">This section is the honest core of the project: most of the effort went into catching</w:t>
      </w:r>
      <w:r>
        <w:t xml:space="preserve"> </w:t>
      </w:r>
      <w:r>
        <w:t xml:space="preserve">mistakes that would have produced confident wrong numbers.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Consequence if missed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DAVIS mutants carry wild-type sequences</w:t>
            </w:r>
            <w:r>
              <w:t xml:space="preserve"> </w:t>
            </w:r>
            <w:r>
              <w:t xml:space="preserve">(found while building the KLIFS ground truth)</w:t>
            </w:r>
          </w:p>
        </w:tc>
        <w:tc>
          <w:tcPr/>
          <w:p>
            <w:pPr>
              <w:pStyle w:val="Compact"/>
            </w:pPr>
            <w:r>
              <w:t xml:space="preserve">“Unseen”</w:t>
            </w:r>
            <w:r>
              <w:t xml:space="preserve"> </w:t>
            </w:r>
            <w:r>
              <w:t xml:space="preserve">targets are seen; cold-target accuracy inflated for every model</w:t>
            </w:r>
          </w:p>
        </w:tc>
        <w:tc>
          <w:tcPr/>
          <w:p>
            <w:pPr>
              <w:pStyle w:val="Compact"/>
            </w:pPr>
            <w:r>
              <w:t xml:space="preserve">Re-scored all cold cells on genuinely unseen targets; explanation metrics exclude seen-by-sequence targets; reported as a benchmark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MolTrans seed bug</w:t>
            </w:r>
            <w:r>
              <w:t xml:space="preserve"> </w:t>
            </w:r>
            <w:r>
              <w:t xml:space="preserve">— its vendored code reseeds PyTorch on import, so three</w:t>
            </w:r>
            <w:r>
              <w:t xml:space="preserve"> </w:t>
            </w:r>
            <w:r>
              <w:t xml:space="preserve">“seeds”</w:t>
            </w:r>
            <w:r>
              <w:t xml:space="preserve"> </w:t>
            </w:r>
            <w:r>
              <w:t xml:space="preserve">trained identically</w:t>
            </w:r>
          </w:p>
        </w:tc>
        <w:tc>
          <w:tcPr/>
          <w:p>
            <w:pPr>
              <w:pStyle w:val="Compact"/>
            </w:pPr>
            <w:r>
              <w:t xml:space="preserve">Three copies of one run reported as a seed spread</w:t>
            </w:r>
          </w:p>
        </w:tc>
        <w:tc>
          <w:tcPr/>
          <w:p>
            <w:pPr>
              <w:pStyle w:val="Compact"/>
            </w:pPr>
            <w:r>
              <w:t xml:space="preserve">Fixed; seeds 2 and 3 retrained; seed 1 verified bit-for-bit identical, so it stands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Masking arms not the same size</w:t>
            </w:r>
            <w:r>
              <w:t xml:space="preserve"> </w:t>
            </w:r>
            <w:r>
              <w:t xml:space="preserve">for a sub-word model</w:t>
            </w:r>
          </w:p>
        </w:tc>
        <w:tc>
          <w:tcPr/>
          <w:p>
            <w:pPr>
              <w:pStyle w:val="Compact"/>
            </w:pPr>
            <w:r>
              <w:t xml:space="preserve">Its faithfulness delta was negative in 11 of 12 cells — would have read as</w:t>
            </w:r>
            <w:r>
              <w:t xml:space="preserve"> </w:t>
            </w:r>
            <w:r>
              <w:t xml:space="preserve">“anti-faithful attention”</w:t>
            </w:r>
          </w:p>
        </w:tc>
        <w:tc>
          <w:tcPr/>
          <w:p>
            <w:pPr>
              <w:pStyle w:val="Compact"/>
            </w:pPr>
            <w:r>
              <w:t xml:space="preserve">Measured the asymmetry (48% vs 95% of tokens changed), built a size-matched control, re-ran in token space; sign reverses in all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 were scoring the wrong MolTrans map</w:t>
            </w:r>
          </w:p>
        </w:tc>
        <w:tc>
          <w:tcPr/>
          <w:p>
            <w:pPr>
              <w:pStyle w:val="Compact"/>
            </w:pPr>
            <w:r>
              <w:t xml:space="preserve">The audit’s MolTrans verdict would not have been about the map its paper actually shows</w:t>
            </w:r>
          </w:p>
        </w:tc>
        <w:tc>
          <w:tcPr/>
          <w:p>
            <w:pPr>
              <w:pStyle w:val="Compact"/>
            </w:pPr>
            <w:r>
              <w:t xml:space="preserve">Read their paper’s full text, implemented their interaction map as a second readout, scored both; at chance either way, so the verdict 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Permutation resolution capped the p-values</w:t>
            </w:r>
            <w:r>
              <w:t xml:space="preserve"> </w:t>
            </w:r>
            <w:r>
              <w:t xml:space="preserve">at 1/501</w:t>
            </w:r>
          </w:p>
        </w:tc>
        <w:tc>
          <w:tcPr/>
          <w:p>
            <w:pPr>
              <w:pStyle w:val="Compact"/>
            </w:pPr>
            <w:r>
              <w:t xml:space="preserve">The one surviving result looked marginal (0.0020 vs a 0.0025 threshold)</w:t>
            </w:r>
          </w:p>
        </w:tc>
        <w:tc>
          <w:tcPr/>
          <w:p>
            <w:pPr>
              <w:pStyle w:val="Compact"/>
            </w:pPr>
            <w:r>
              <w:t xml:space="preserve">Re-ran both audits at 10,000 permutations: p = 0.0001, a 25-fold margin, no verdict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vendored repositories both define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models.py</w:t>
            </w:r>
          </w:p>
        </w:tc>
        <w:tc>
          <w:tcPr/>
          <w:p>
            <w:pPr>
              <w:pStyle w:val="Compact"/>
            </w:pPr>
            <w:r>
              <w:t xml:space="preserve">The audit crashed when it loaded both models in one process</w:t>
            </w:r>
          </w:p>
        </w:tc>
        <w:tc>
          <w:tcPr/>
          <w:p>
            <w:pPr>
              <w:pStyle w:val="Compact"/>
            </w:pPr>
            <w:r>
              <w:t xml:space="preserve">Isolated module loading, with a test that loads both in either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run_all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skips finished outputs</w:t>
            </w:r>
            <w:r>
              <w:t xml:space="preserve"> </w:t>
            </w:r>
            <w:r>
              <w:t xml:space="preserve">— running it on a partial grid would silently freeze partial results</w:t>
            </w:r>
          </w:p>
        </w:tc>
        <w:tc>
          <w:tcPr/>
          <w:p>
            <w:pPr>
              <w:pStyle w:val="Compact"/>
            </w:pPr>
            <w:r>
              <w:t xml:space="preserve">A level trained later would never be scored, with no error</w:t>
            </w:r>
          </w:p>
        </w:tc>
        <w:tc>
          <w:tcPr/>
          <w:p>
            <w:pPr>
              <w:pStyle w:val="Compact"/>
            </w:pPr>
            <w:r>
              <w:t xml:space="preserve">Rule and guard: probe partial grids into a scratch folder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control crashed on one molecule of 16,033</w:t>
            </w:r>
            <w:r>
              <w:t xml:space="preserve"> </w:t>
            </w:r>
            <w:r>
              <w:t xml:space="preserve">— DrugBAN’s loader caps a drug at 290 atoms</w:t>
            </w:r>
          </w:p>
        </w:tc>
        <w:tc>
          <w:tcPr/>
          <w:p>
            <w:pPr>
              <w:pStyle w:val="Compact"/>
            </w:pPr>
            <w:r>
              <w:t xml:space="preserve">Every DrugBAN control run aborted; the easy response would have been to drop the panel</w:t>
            </w:r>
          </w:p>
        </w:tc>
        <w:tc>
          <w:tcPr/>
          <w:p>
            <w:pPr>
              <w:pStyle w:val="Compact"/>
            </w:pPr>
            <w:r>
              <w:t xml:space="preserve">The collector skips such a row, reports it, and refuses to continue if more than 1% of rows are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Faithfulness depends on the dose</w:t>
            </w:r>
            <w:r>
              <w:t xml:space="preserve"> </w:t>
            </w:r>
            <w:r>
              <w:t xml:space="preserve">(k = 10 vs k = 50)</w:t>
            </w:r>
          </w:p>
        </w:tc>
        <w:tc>
          <w:tcPr/>
          <w:p>
            <w:pPr>
              <w:pStyle w:val="Compact"/>
            </w:pPr>
            <w:r>
              <w:t xml:space="preserve">“Load-bearing at every level”</w:t>
            </w:r>
            <w:r>
              <w:t xml:space="preserve"> </w:t>
            </w:r>
            <w:r>
              <w:t xml:space="preserve">was broader than the evidence</w:t>
            </w:r>
          </w:p>
        </w:tc>
        <w:tc>
          <w:tcPr/>
          <w:p>
            <w:pPr>
              <w:pStyle w:val="Compact"/>
            </w:pPr>
            <w:r>
              <w:t xml:space="preserve">Ran the sensitivity; the claim is now stated at its pre-specified k, with the k = 50 result 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plausible but wrong interpretation</w:t>
            </w:r>
            <w:r>
              <w:t xml:space="preserve"> </w:t>
            </w:r>
            <w:r>
              <w:t xml:space="preserve">— we had attributed leakage sensitivity to model size</w:t>
            </w:r>
          </w:p>
        </w:tc>
        <w:tc>
          <w:tcPr/>
          <w:p>
            <w:pPr>
              <w:pStyle w:val="Compact"/>
            </w:pPr>
            <w:r>
              <w:t xml:space="preserve">An unsupported causal story in the paper</w:t>
            </w:r>
          </w:p>
        </w:tc>
        <w:tc>
          <w:tcPr/>
          <w:p>
            <w:pPr>
              <w:pStyle w:val="Compact"/>
            </w:pPr>
            <w:r>
              <w:t xml:space="preserve">DrugBAN contradicted it; the claim was removed rather than defended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how-we-know-the-numbers-are-right"/>
    <w:p>
      <w:pPr>
        <w:pStyle w:val="Heading2"/>
      </w:pPr>
      <w:r>
        <w:t xml:space="preserve">7. How we know the numbers are right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938 automated tests</w:t>
      </w:r>
      <w:r>
        <w:t xml:space="preserve">, including tests on</w:t>
      </w:r>
      <w:r>
        <w:t xml:space="preserve"> </w:t>
      </w:r>
      <w:r>
        <w:rPr>
          <w:i/>
          <w:iCs/>
        </w:rPr>
        <w:t xml:space="preserve">planted</w:t>
      </w:r>
      <w:r>
        <w:t xml:space="preserve"> </w:t>
      </w:r>
      <w:r>
        <w:t xml:space="preserve">cases — synthetic data where the</w:t>
      </w:r>
      <w:r>
        <w:t xml:space="preserve"> </w:t>
      </w:r>
      <w:r>
        <w:t xml:space="preserve">correct answer is known — for every metric that produces a headline number.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positive control for the metric itself</w:t>
      </w:r>
      <w:r>
        <w:t xml:space="preserve">: synthetic explanations of known quality,</w:t>
      </w:r>
      <w:r>
        <w:t xml:space="preserve"> </w:t>
      </w:r>
      <w:r>
        <w:t xml:space="preserve">scored by the audit’s own code on the real splits. It detects a signal as weak as 2% of</w:t>
      </w:r>
      <w:r>
        <w:t xml:space="preserve"> </w:t>
      </w:r>
      <w:r>
        <w:t xml:space="preserve">true sites, so our nulls are nulls and not weak tests. It also</w:t>
      </w:r>
      <w:r>
        <w:t xml:space="preserve"> </w:t>
      </w:r>
      <w:r>
        <w:rPr>
          <w:i/>
          <w:iCs/>
        </w:rPr>
        <w:t xml:space="preserve">fails</w:t>
      </w:r>
      <w:r>
        <w:t xml:space="preserve"> </w:t>
      </w:r>
      <w:r>
        <w:t xml:space="preserve">on the pre-correction</w:t>
      </w:r>
      <w:r>
        <w:t xml:space="preserve"> </w:t>
      </w:r>
      <w:r>
        <w:t xml:space="preserve">ground truth, which proves it can catch that class of bug.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Exact reproduction across machines.</w:t>
      </w:r>
      <w:r>
        <w:t xml:space="preserve"> </w:t>
      </w:r>
      <w:r>
        <w:t xml:space="preserve">The DAVIS audit was first computed on cloud GPUs and</w:t>
      </w:r>
      <w:r>
        <w:t xml:space="preserve"> </w:t>
      </w:r>
      <w:r>
        <w:t xml:space="preserve">later recomputed on the laptop with a fourth model added: all sixteen original p-values</w:t>
      </w:r>
      <w:r>
        <w:t xml:space="preserve"> </w:t>
      </w:r>
      <w:r>
        <w:t xml:space="preserve">reproduced to the last digit. The KIBA audit reproduced the same way.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number traces to a committed file.</w:t>
      </w:r>
      <w:r>
        <w:t xml:space="preserve"> </w:t>
      </w:r>
      <w:r>
        <w:t xml:space="preserve">The paper’s sections cite the file each number</w:t>
      </w:r>
      <w:r>
        <w:t xml:space="preserve"> </w:t>
      </w:r>
      <w:r>
        <w:t xml:space="preserve">comes from, and the figure captions name their sources; no number is typed by hand into a</w:t>
      </w:r>
      <w:r>
        <w:t xml:space="preserve"> </w:t>
      </w:r>
      <w:r>
        <w:t xml:space="preserve">figure.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Protocol decisions are recorded, not implicit</w:t>
      </w:r>
      <w:r>
        <w:t xml:space="preserve"> </w:t>
      </w:r>
      <w:r>
        <w:t xml:space="preserve">— including the ones we later revisited</w:t>
      </w:r>
      <w:r>
        <w:t xml:space="preserve"> </w:t>
      </w:r>
      <w:r>
        <w:t xml:space="preserve">(§6, item 4).</w:t>
      </w:r>
    </w:p>
    <w:p>
      <w:r>
        <w:pict>
          <v:rect style="width:0;height:1.5pt" o:hralign="center" o:hrstd="t" o:hr="t"/>
        </w:pict>
      </w:r>
    </w:p>
    <w:bookmarkEnd w:id="15"/>
    <w:bookmarkStart w:id="16" w:name="where-the-project-stands"/>
    <w:p>
      <w:pPr>
        <w:pStyle w:val="Heading2"/>
      </w:pPr>
      <w:r>
        <w:t xml:space="preserve">8. Where the project stands</w:t>
      </w:r>
    </w:p>
    <w:p>
      <w:pPr>
        <w:pStyle w:val="FirstParagraph"/>
      </w:pPr>
      <w:r>
        <w:rPr>
          <w:b/>
          <w:bCs/>
        </w:rPr>
        <w:t xml:space="preserve">Done:</w:t>
      </w:r>
      <w:r>
        <w:t xml:space="preserve"> </w:t>
      </w:r>
      <w:r>
        <w:t xml:space="preserve">data pipeline, three ground truths, five trainers, five adapters, the full analysis</w:t>
      </w:r>
      <w:r>
        <w:t xml:space="preserve"> </w:t>
      </w:r>
      <w:r>
        <w:t xml:space="preserve">suite, 84 trained cells, both audits with correction, the KIBA replication, all controls and</w:t>
      </w:r>
      <w:r>
        <w:t xml:space="preserve"> </w:t>
      </w:r>
      <w:r>
        <w:t xml:space="preserve">nulls, integrated gradients, readout variants, the seed analysis, four figures, and drafts of</w:t>
      </w:r>
      <w:r>
        <w:t xml:space="preserve"> </w:t>
      </w:r>
      <w:r>
        <w:t xml:space="preserve">every paper section (~27,600 words).</w:t>
      </w:r>
    </w:p>
    <w:p>
      <w:pPr>
        <w:pStyle w:val="BodyText"/>
      </w:pPr>
      <w:r>
        <w:rPr>
          <w:b/>
          <w:bCs/>
        </w:rPr>
        <w:t xml:space="preserve">Completed since this report was drafted:</w:t>
      </w:r>
      <w:r>
        <w:t xml:space="preserve"> </w:t>
      </w:r>
      <w:r>
        <w:t xml:space="preserve">DrugBAN’s last two controls. Its own data</w:t>
      </w:r>
      <w:r>
        <w:t xml:space="preserve"> </w:t>
      </w:r>
      <w:r>
        <w:t xml:space="preserve">loader refuses one ligand in the non-kinase panel (322 atoms against its 290-atom cap), and</w:t>
      </w:r>
      <w:r>
        <w:t xml:space="preserve"> </w:t>
      </w:r>
      <w:r>
        <w:t xml:space="preserve">that single molecule out of 16,033 was aborting the run; the collector now drops such a row,</w:t>
      </w:r>
      <w:r>
        <w:t xml:space="preserve"> </w:t>
      </w:r>
      <w:r>
        <w:t xml:space="preserve">names it, and fails the cell if more than 1% of rows would be lost. DrugBAN shows no transfer</w:t>
      </w:r>
      <w:r>
        <w:t xml:space="preserve"> </w:t>
      </w:r>
      <w:r>
        <w:t xml:space="preserve">off kinases, and its one above-chance seed-cell beats all four positional nulls while the</w:t>
      </w:r>
      <w:r>
        <w:t xml:space="preserve"> </w:t>
      </w:r>
      <w:r>
        <w:t xml:space="preserve">other two seeds of that cell beat none — the seed-dependence finding reaching even the model</w:t>
      </w:r>
      <w:r>
        <w:t xml:space="preserve"> </w:t>
      </w:r>
      <w:r>
        <w:t xml:space="preserve">that is at chance everywhere.</w:t>
      </w:r>
    </w:p>
    <w:p>
      <w:pPr>
        <w:pStyle w:val="BodyText"/>
      </w:pPr>
      <w:r>
        <w:rPr>
          <w:b/>
          <w:bCs/>
        </w:rPr>
        <w:t xml:space="preserve">Remaining, editorial: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Condense</w:t>
      </w:r>
      <w:r>
        <w:t xml:space="preserve"> </w:t>
      </w:r>
      <w:r>
        <w:t xml:space="preserve">the ~27,600 words of section drafts into a main text (a journal allows roughly</w:t>
      </w:r>
      <w:r>
        <w:t xml:space="preserve"> </w:t>
      </w:r>
      <w:r>
        <w:t xml:space="preserve">5,000–8,000) plus a supplement. This is the largest remaining task and depends on the venue.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Citation style</w:t>
      </w:r>
      <w:r>
        <w:t xml:space="preserve">, which follows the venue.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 DOI for the code release</w:t>
      </w:r>
      <w:r>
        <w:t xml:space="preserve"> </w:t>
      </w:r>
      <w:r>
        <w:t xml:space="preserve">(Zenodo) and the repository URL in the paper.</w:t>
      </w:r>
    </w:p>
    <w:p>
      <w:pPr>
        <w:pStyle w:val="BodyText"/>
      </w:pPr>
      <w:r>
        <w:rPr>
          <w:b/>
          <w:bCs/>
        </w:rPr>
        <w:t xml:space="preserve">Optional, not required for any claim:</w:t>
      </w:r>
      <w:r>
        <w:t xml:space="preserve"> </w:t>
      </w:r>
      <w:r>
        <w:t xml:space="preserve">integrated gradients for DrugBAN, DrugBAN on KIBA,</w:t>
      </w:r>
      <w:r>
        <w:t xml:space="preserve"> </w:t>
      </w:r>
      <w:r>
        <w:t xml:space="preserve">readout variants on KIBA. Each is currently stated as a limitation, which is how papers</w:t>
      </w:r>
      <w:r>
        <w:t xml:space="preserve"> </w:t>
      </w:r>
      <w:r>
        <w:t xml:space="preserve">handle scope.</w:t>
      </w:r>
    </w:p>
    <w:p>
      <w:r>
        <w:pict>
          <v:rect style="width:0;height:1.5pt" o:hralign="center" o:hrstd="t" o:hr="t"/>
        </w:pict>
      </w:r>
    </w:p>
    <w:bookmarkEnd w:id="16"/>
    <w:bookmarkStart w:id="17" w:name="questions-for-you"/>
    <w:p>
      <w:pPr>
        <w:pStyle w:val="Heading2"/>
      </w:pPr>
      <w:r>
        <w:t xml:space="preserve">9. Questions for you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Venue.</w:t>
      </w:r>
      <w:r>
        <w:t xml:space="preserve"> </w:t>
      </w:r>
      <w:r>
        <w:t xml:space="preserve">Undecided. Candidates:</w:t>
      </w:r>
      <w:r>
        <w:t xml:space="preserve"> </w:t>
      </w:r>
      <w:r>
        <w:rPr>
          <w:i/>
          <w:iCs/>
        </w:rPr>
        <w:t xml:space="preserve">Briefings in Bioinformatics</w:t>
      </w:r>
      <w:r>
        <w:t xml:space="preserve"> </w:t>
      </w:r>
      <w:r>
        <w:t xml:space="preserve">(publishes benchmarking and</w:t>
      </w:r>
      <w:r>
        <w:t xml:space="preserve"> </w:t>
      </w:r>
      <w:r>
        <w:t xml:space="preserve">critical-assessment work, flexible length — our best fit),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(needs heavy</w:t>
      </w:r>
      <w:r>
        <w:t xml:space="preserve"> </w:t>
      </w:r>
      <w:r>
        <w:t xml:space="preserve">condensing), ISMB (most competitive, tightest limit). The choice fixes the length target</w:t>
      </w:r>
      <w:r>
        <w:t xml:space="preserve"> </w:t>
      </w:r>
      <w:r>
        <w:t xml:space="preserve">and the citation style.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Framing.</w:t>
      </w:r>
      <w:r>
        <w:t xml:space="preserve"> </w:t>
      </w:r>
      <w:r>
        <w:t xml:space="preserve">An audit of published claims (current), or a benchmark-and-protocol</w:t>
      </w:r>
      <w:r>
        <w:t xml:space="preserve"> </w:t>
      </w:r>
      <w:r>
        <w:t xml:space="preserve">contribution with the audit as the demonstration?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Is the current evidence sufficient, or would you want DrugBAN on KIBA as well</w:t>
      </w:r>
      <w:r>
        <w:t xml:space="preserve"> </w:t>
      </w:r>
      <w:r>
        <w:t xml:space="preserve">(about 20–30 GPU-hours) before submission?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Our own model’s role.</w:t>
      </w:r>
      <w:r>
        <w:t xml:space="preserve"> </w:t>
      </w:r>
      <w:r>
        <w:t xml:space="preserve">ColdSite-DTI is currently a subject audited on the same terms,</w:t>
      </w:r>
      <w:r>
        <w:t xml:space="preserve"> </w:t>
      </w:r>
      <w:r>
        <w:t xml:space="preserve">named only in Methods and Limitations. Should it stay that way?</w:t>
      </w:r>
    </w:p>
    <w:p>
      <w:r>
        <w:pict>
          <v:rect style="width:0;height:1.5pt" o:hralign="center" o:hrstd="t" o:hr="t"/>
        </w:pict>
      </w:r>
    </w:p>
    <w:bookmarkEnd w:id="17"/>
    <w:bookmarkStart w:id="18" w:name="appendix-where-everything-lives"/>
    <w:p>
      <w:pPr>
        <w:pStyle w:val="Heading2"/>
      </w:pPr>
      <w:r>
        <w:t xml:space="preserve">Appendix — where everything lives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sections (full)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paper/introduction.md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methods_data_and_evaluation.md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methods_track_b.md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discussion.md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limitations.md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abstract.md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Condensed draft + 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paper/DRAFT_FOR_SUPERVISOR.md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results/figures/</w:t>
            </w:r>
            <w:r>
              <w:t xml:space="preserve"> </w:t>
            </w:r>
            <w:r>
              <w:t xml:space="preserve">(PDF and PNG) with</w:t>
            </w:r>
            <w:r>
              <w:t xml:space="preserve"> </w:t>
            </w:r>
            <w:r>
              <w:rPr>
                <w:rStyle w:val="VerbatimChar"/>
              </w:rPr>
              <w:t xml:space="preserve">CAPTIONS.md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outputs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results/analysis_davis_policyA*/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results/analysis_kiba_policyA*/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checkpoints</w:t>
            </w:r>
          </w:p>
        </w:tc>
        <w:tc>
          <w:tcPr/>
          <w:p>
            <w:pPr>
              <w:pStyle w:val="Compact"/>
            </w:pPr>
            <w:r>
              <w:t xml:space="preserve">outside the repository (4.6 GB), backed up to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src/model/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src/evaluation/</w:t>
            </w:r>
            <w:r>
              <w:t xml:space="preserve">; tests in</w:t>
            </w:r>
            <w:r>
              <w:t xml:space="preserve"> </w:t>
            </w:r>
            <w:r>
              <w:rPr>
                <w:rStyle w:val="VerbatimChar"/>
              </w:rPr>
              <w:t xml:space="preserve">tests/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notebooks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notebooks/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citations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paper/references.md</w:t>
            </w:r>
            <w:r>
              <w:t xml:space="preserve"> </w:t>
            </w:r>
            <w:r>
              <w:t xml:space="preserve">— every entry checked against Crossref or arXiv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status and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</w:p>
        </w:tc>
      </w:tr>
    </w:tbl>
    <w:p>
      <w:pPr>
        <w:pStyle w:val="BodyText"/>
      </w:pPr>
      <w:r>
        <w:rPr>
          <w:b/>
          <w:bCs/>
        </w:rPr>
        <w:t xml:space="preserve">Reproducing the analysis:</w:t>
      </w:r>
      <w:r>
        <w:t xml:space="preserve"> </w:t>
      </w:r>
      <w:r>
        <w:t xml:space="preserve">with the checkpoints in place, one command per dataset —</w:t>
      </w:r>
      <w:r>
        <w:t xml:space="preserve"> </w:t>
      </w:r>
      <w:r>
        <w:rPr>
          <w:rStyle w:val="VerbatimChar"/>
        </w:rPr>
        <w:t xml:space="preserve">python -m src.evaluation.run_all --dataset davis --checkpoint-dir &lt;checkpoints&gt;</w:t>
      </w:r>
      <w:r>
        <w:t xml:space="preserve"> </w:t>
      </w:r>
      <w:r>
        <w:t xml:space="preserve">— runs</w:t>
      </w:r>
      <w:r>
        <w:t xml:space="preserve"> </w:t>
      </w:r>
      <w:r>
        <w:t xml:space="preserve">faithfulness, the ladders, the audit, the controls and the summary, and is resumable.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2026-09-20T11:45:06Z</dcterms:created>
  <dcterms:modified xsi:type="dcterms:W3CDTF">2026-09-20T11:45:06Z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