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p>
      <w:r>
        <w:t>The Editors, Molecular Informatics (Wiley-VCH)</w:t>
      </w:r>
    </w:p>
    <w:p/>
    <w:p>
      <w:r>
        <w:t>Dear Editors,</w:t>
      </w:r>
    </w:p>
    <w:p/>
    <w:p>
      <w:r>
        <w:t>We submit the Full Paper "Computational Design of 106 Novel, Brain-Penetrant Acetylcholinesterase Inhibitor Candidates with Computed Synthetic Routes" for consideration in Molecular Informatics.</w:t>
      </w:r>
    </w:p>
    <w:p>
      <w:r>
        <w:t>Computational AChE papers usually stop at a predicted potency. Here 383,752 one- and two-edit analogues of 2,225 potent published inhibitors are reduced at the design stage to 2,700 designs, which are carried through activity, brain-penetration, drug-likeness, toxicity, docking, protonation, tautomer and stereochemistry gates, a four-source novelty search (PubChem exact and same-connectivity, ChEMBL flexmatch, SureChEMBL) and a computed retrosynthesis to purchasable starting materials. 106 molecules clear every gate; each has a computed route of one to six steps, and a synthesis dossier lists structure, route, predicted values with margins and the flags that decide what to measure first.</w:t>
      </w:r>
    </w:p>
    <w:p>
      <w:r>
        <w:t>What we think is of interest to readers of this journal: the models behind every gate are reported with held-out-scaffold performance and simple baselines, including the places where a component is weak (the docking score separates binders from matched decoys only weakly; the P-gp term did not separate BBB-permeable from non-permeable compounds; the activity model matches nearest-neighbor lookup on chemistry unlike its training data, a result we report together with the in-domain result, where it ranks later-published compounds clearly better than the baselines). We also anchor the design to measured data: the substitutions used are tested in real AChE compound pairs, each molecule is tied to a measured potent parent, and a blind re-discovery test, which does not favour our edit library over random edits, is reported as it came out. An independent audit script re-reads every gate from the delivered file, and it found, and we corrected, a gate that had not been applied to part of the candidate pool. A novelty search found nine otherwise eligible candidates in a series whose parents are covered by earlier patent and literature disclosures, and we excluded them.</w:t>
      </w:r>
    </w:p>
    <w:p>
      <w:r>
        <w:t>The paper also reports a priority tier of 63 molecules (margin of 10 % or more on every gate) and a shortlist of 20 for a first synthesis batch, chosen by ranking under 5,000 random weightings of eight checks so that the choice does not hinge on one set of weights. Because no assay data exist, the Discussion states falsifiable predictions for the first experiment: in particular, that molecules which keep the Trp86 interaction should be markedly more potent than those that lose it, a point on which the ligand-based models and the structure-based reading disagree.</w:t>
      </w:r>
    </w:p>
    <w:p>
      <w:r>
        <w:t>We state plainly that none of the molecules has been synthesized or assayed, that every property is a prediction, and that novelty and freedom to operate need expert assessment. The work has not been published elsewhere and is not under consideration by another journal. All authors have approved the submission.</w:t>
      </w:r>
    </w:p>
    <w:p>
      <w:r>
        <w:t>Suggested referees: [to be completed by the authors]. Excluded referees: [to be completed by the authors].</w:t>
      </w:r>
    </w:p>
    <w:p>
      <w:r>
        <w:t>Sincerely,</w:t>
      </w:r>
    </w:p>
    <w:p>
      <w:r>
        <w:t>Chandra Mohan Dasari (corresponding author), on behalf of all authors</w:t>
      </w:r>
    </w:p>
    <w:p>
      <w:r>
        <w:t>chandramohan.d@iiitk.ac.in</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