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kept the poses of 16 of 17 simulated shortlist molecules; and the weak components (docking score, efflux term, hERG) are reported. The substitutions used preserve potency to within 0.5 log units in 64.5 % of measured AChE compound pairs (51.6 % for other exchanges), every molecule is tied to a measured potent parent, and inside its applicability domain the activity model ranks later-published compounds with ROC-AUC 0.81 (0.68 for nearest-neighbour similarity).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10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9: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to 0.47); at the 2018 cutoff the design-stage edits generated 345,702 analogues from 1,531 earlier potent parents and reproduced 6 of the 1,819 later compounds exactly (3 of the 393 later potent compounds), against 4 to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10.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Me\tocPr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Ph\toMe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Me\toCH2cPr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OMe\toMe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Et\toPr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OMe\toSMe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OMe\toCl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Cl\toF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CH2Cl\toCH2OH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Et\toMe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Me\toCl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cPr\toEt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Ph\toMe, Me\tocPr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Me\toCH2Cl, CH2Cl\toCH2OH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Ph\toMe, Me\toCH2cPr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Ph\toMe, Me\tocPr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OMe\toMe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Ph\toMe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Ph\toMe, Me\toCH2cPr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Ph\to2-F-Ph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Ph\toMe, Et\toPr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OMe\toMe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Ph\toMe, Et\toPr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Ph\toMe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Of the 17 shortlisted molecules simulated, 16 kept their pose by the criterion and 1 did not (Shortlist 12, RMSD 4.16 Å). Shortlist 18, 19 and 20 were not simulated because the time budget of the Kaggle session was used. One 2 ns replica is a short and single test,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(one replica).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10;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9). These were reduced at the design stage in the order of Table 9: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10). That an edit can be made is supported differently: each delivered molecule has a computed route of one to six steps from purchasable materials, found by retrosynthesis and independent of the transformation library (Section 4.7).</w:t>
      </w:r>
    </w:p>
    <w:p>
      <w:r>
        <w:rPr>
          <w:b/>
        </w:rPr>
        <w:t xml:space="preserve">Table 9. </w:t>
      </w:r>
      <w:r>
        <w:rPr>
          <w:b w:val="0"/>
          <w:i w:val="0"/>
          <w:sz w:val="19"/>
        </w:rPr>
        <w:t>Generation of the stored designs: from the potent published parents to the 2,700 designs that enter the gates of Table 10.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10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10.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One replica was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