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enumerated 383,752 analogues of 2,225 potent published inhibitors by one or two matched-pair edits, kept 2,700 that passed design-stage filters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kept the poses of 16 of 17 simulated shortlist molecules; and the weak components (docking score, efflux term, hERG) are reported.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three. First, a gated design cascade whose components are each tested on held-out scaffolds against simple baselines, with the weak components named. Second, a delivered set of 106 candidates, complete for the gates used, each with a computed route and a four-source novelty check, with a priority tier of 63 and a shortlist of 20. Third, falsifiable predictions for the first assay (Section 2.6),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8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7: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2.6.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2.7. Temporal validation and pose stability of the shortlist</w:t>
      </w:r>
    </w:p>
    <w:p>
      <w:r>
        <w:rPr>
          <w:b w:val="0"/>
          <w:i w:val="0"/>
        </w:rPr>
        <w:t>Time-split validation (Table 5).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5.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6). Donepezil from its crystal pose stayed in the gorge (mean RMSD over the second half 2.12 Å), so the protocol is valid. Of the 17 shortlisted molecules simulated, 16 kept their pose by the criterion and 1 did not (Shortlist 12, RMSD 4.16 Å). Shortlist 18, 19 and 20 were not simulated because the time budget of the Kaggle session was used. One 2 ns replica is a short and single test, so this is a screen for gross pose instability and not a free-energy or residence-time result; no molecule's potency can be inferred from it.</w:t>
      </w:r>
    </w:p>
    <w:p>
      <w:r>
        <w:rPr>
          <w:b/>
        </w:rPr>
        <w:t xml:space="preserve">Table 6. </w:t>
      </w:r>
      <w:r>
        <w:rPr>
          <w:b w:val="0"/>
          <w:i w:val="0"/>
          <w:sz w:val="19"/>
        </w:rPr>
        <w:t>Pose stability in 2 ns of explicit-solvent dynamics (one replica).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pPr>
        <w:pStyle w:val="Heading2"/>
      </w:pPr>
      <w:r>
        <w:t>2.8.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2.7),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8;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turned 2,700 designed analogues of potent AChE inhibitors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7). These were reduced at the design stage in the order of Table 7: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8). That an edit can be made is supported differently: each delivered molecule has a computed route of one to six steps from purchasable materials, found by retrosynthesis and independent of the transformation library (Section 4.7).</w:t>
      </w:r>
    </w:p>
    <w:p>
      <w:r>
        <w:rPr>
          <w:b/>
        </w:rPr>
        <w:t xml:space="preserve">Table 7. </w:t>
      </w:r>
      <w:r>
        <w:rPr>
          <w:b w:val="0"/>
          <w:i w:val="0"/>
          <w:sz w:val="19"/>
        </w:rPr>
        <w:t>Generation of the stored designs: from the potent published parents to the 2,700 designs that enter the gates of Table 8.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8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8.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One replica was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pPr>
        <w:pStyle w:val="Heading2"/>
      </w:pPr>
      <w:r>
        <w:t>Statement of Contribution</w:t>
      </w:r>
    </w:p>
    <w:p>
      <w:r>
        <w:rPr>
          <w:b w:val="0"/>
          <w:i w:val="0"/>
        </w:rPr>
        <w:t>All authors contributed to the design of the study and the writing of the manuscript. [Individual contributions to be completed by the authors.]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