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552"/>
        <w:gridCol w:w="98"/>
      </w:tblGrid>
      <w:tr w:rsidR="0087217B" w:rsidRPr="00361A53" w14:paraId="5CEA9C0D" w14:textId="77777777" w:rsidTr="001D625A">
        <w:trPr>
          <w:trHeight w:val="705"/>
        </w:trPr>
        <w:tc>
          <w:tcPr>
            <w:tcW w:w="11194" w:type="dxa"/>
            <w:gridSpan w:val="6"/>
            <w:tcBorders>
              <w:bottom w:val="single" w:sz="8" w:space="0" w:color="1D3B62"/>
            </w:tcBorders>
          </w:tcPr>
          <w:p w14:paraId="3DFAE331" w14:textId="72AF2B0B" w:rsidR="0087217B" w:rsidRPr="006018CE" w:rsidRDefault="00337DA0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>Richard Williams</w:t>
            </w:r>
          </w:p>
        </w:tc>
      </w:tr>
      <w:tr w:rsidR="005B44F0" w:rsidRPr="00361A53" w14:paraId="7D75104B" w14:textId="77777777" w:rsidTr="001D625A">
        <w:trPr>
          <w:trHeight w:val="984"/>
        </w:trPr>
        <w:tc>
          <w:tcPr>
            <w:tcW w:w="11194" w:type="dxa"/>
            <w:gridSpan w:val="6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2EFF591A" w14:textId="77777777" w:rsidR="005D175A" w:rsidRPr="00EA421A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3665 Margaret Street, Houston, TX 47587</w:t>
            </w:r>
          </w:p>
          <w:p w14:paraId="7C77F187" w14:textId="77777777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(770) 625-9669</w:t>
            </w:r>
          </w:p>
          <w:p w14:paraId="47FE2F9A" w14:textId="5935B545" w:rsidR="005B44F0" w:rsidRPr="00361A53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RichardWilliams@gmail.com</w:t>
            </w:r>
          </w:p>
        </w:tc>
      </w:tr>
      <w:tr w:rsidR="0087217B" w:rsidRPr="00361A53" w14:paraId="30BA8C02" w14:textId="77777777" w:rsidTr="001D625A">
        <w:trPr>
          <w:trHeight w:val="142"/>
        </w:trPr>
        <w:tc>
          <w:tcPr>
            <w:tcW w:w="11194" w:type="dxa"/>
            <w:gridSpan w:val="6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1D625A">
        <w:trPr>
          <w:trHeight w:val="954"/>
        </w:trPr>
        <w:tc>
          <w:tcPr>
            <w:tcW w:w="11194" w:type="dxa"/>
            <w:gridSpan w:val="6"/>
          </w:tcPr>
          <w:p w14:paraId="238D51C0" w14:textId="58A86B5F" w:rsidR="00417C0F" w:rsidRPr="00EA421A" w:rsidRDefault="00D40EE6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</w:rPr>
              <w:t>Financial Advisor with 7+ years of experience delivering financial/investment advisory services to high value clients. Proven success in managing multi-</w:t>
            </w:r>
            <w:proofErr w:type="gramStart"/>
            <w:r w:rsidRPr="00EA421A">
              <w:rPr>
                <w:rFonts w:ascii="STIX Two Text" w:eastAsia="Noto Sans JP" w:hAnsi="STIX Two Text" w:cs="Noto Sans"/>
                <w:i/>
                <w:iCs/>
              </w:rPr>
              <w:t>million dollar</w:t>
            </w:r>
            <w:proofErr w:type="gram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portfolios, driving profitability, and increasing ROI through </w:t>
            </w:r>
            <w:proofErr w:type="spellStart"/>
            <w:r w:rsidRPr="00EA421A">
              <w:rPr>
                <w:rFonts w:ascii="STIX Two Text" w:eastAsia="Noto Sans JP" w:hAnsi="STIX Two Text" w:cs="Noto Sans"/>
                <w:i/>
                <w:iCs/>
              </w:rPr>
              <w:t>skillful</w:t>
            </w:r>
            <w:proofErr w:type="spell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strategic planning, consulting, and financial advisory services.</w:t>
            </w:r>
          </w:p>
        </w:tc>
      </w:tr>
      <w:tr w:rsidR="0087217B" w:rsidRPr="00361A53" w14:paraId="70A2A714" w14:textId="77777777" w:rsidTr="001D625A">
        <w:trPr>
          <w:trHeight w:val="116"/>
        </w:trPr>
        <w:tc>
          <w:tcPr>
            <w:tcW w:w="11194" w:type="dxa"/>
            <w:gridSpan w:val="6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1D625A">
        <w:tc>
          <w:tcPr>
            <w:tcW w:w="11194" w:type="dxa"/>
            <w:gridSpan w:val="6"/>
            <w:tcBorders>
              <w:bottom w:val="single" w:sz="8" w:space="0" w:color="1D3B62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1D625A">
        <w:tc>
          <w:tcPr>
            <w:tcW w:w="11194" w:type="dxa"/>
            <w:gridSpan w:val="6"/>
            <w:tcBorders>
              <w:top w:val="single" w:sz="8" w:space="0" w:color="1D3B62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1D625A">
        <w:trPr>
          <w:trHeight w:val="672"/>
        </w:trPr>
        <w:tc>
          <w:tcPr>
            <w:tcW w:w="8364" w:type="dxa"/>
          </w:tcPr>
          <w:p w14:paraId="12EE4E88" w14:textId="6FC6876B" w:rsidR="005B44F0" w:rsidRPr="00EA421A" w:rsidRDefault="005B44F0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WELLS FARGO ADVISORS,</w:t>
            </w:r>
          </w:p>
          <w:p w14:paraId="34919419" w14:textId="6134FB1A" w:rsidR="005B44F0" w:rsidRPr="00EA421A" w:rsidRDefault="005B44F0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Senior Financial Advisor</w:t>
            </w:r>
          </w:p>
        </w:tc>
        <w:tc>
          <w:tcPr>
            <w:tcW w:w="2830" w:type="dxa"/>
            <w:gridSpan w:val="5"/>
          </w:tcPr>
          <w:p w14:paraId="7EF4288D" w14:textId="77777777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Houston,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1738F09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August 2020–Present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1D625A">
        <w:trPr>
          <w:trHeight w:val="2258"/>
        </w:trPr>
        <w:tc>
          <w:tcPr>
            <w:tcW w:w="11194" w:type="dxa"/>
            <w:gridSpan w:val="6"/>
          </w:tcPr>
          <w:p w14:paraId="68ED1088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business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estate planning with minimal risk</w:t>
            </w:r>
          </w:p>
          <w:p w14:paraId="69A01F79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3EE45EA4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47188FA1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361A53" w14:paraId="31E7EA80" w14:textId="77777777" w:rsidTr="001D625A">
        <w:tc>
          <w:tcPr>
            <w:tcW w:w="11194" w:type="dxa"/>
            <w:gridSpan w:val="6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1D625A">
        <w:trPr>
          <w:trHeight w:val="721"/>
        </w:trPr>
        <w:tc>
          <w:tcPr>
            <w:tcW w:w="8472" w:type="dxa"/>
            <w:gridSpan w:val="2"/>
          </w:tcPr>
          <w:p w14:paraId="59F53C40" w14:textId="1C1AF4EB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SUNTRUST INVESTMENT SERVICES, INC.</w:t>
            </w:r>
          </w:p>
          <w:p w14:paraId="266846C3" w14:textId="2E753312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722" w:type="dxa"/>
            <w:gridSpan w:val="4"/>
          </w:tcPr>
          <w:p w14:paraId="09CC68D4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00E033E" w14:textId="490354E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2017–August 2020</w:t>
            </w:r>
          </w:p>
        </w:tc>
      </w:tr>
      <w:tr w:rsidR="00566AEF" w:rsidRPr="00361A53" w14:paraId="08BDF917" w14:textId="77777777" w:rsidTr="001D625A">
        <w:trPr>
          <w:trHeight w:val="1659"/>
        </w:trPr>
        <w:tc>
          <w:tcPr>
            <w:tcW w:w="11194" w:type="dxa"/>
            <w:gridSpan w:val="6"/>
          </w:tcPr>
          <w:p w14:paraId="09AFC891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37AE0EA9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Devised and applied a new training and accountability program that increased productivity from #10 to #3 in the region in less than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2 year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period</w:t>
            </w:r>
          </w:p>
          <w:p w14:paraId="17789A23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361A53" w14:paraId="71B1FD96" w14:textId="77777777" w:rsidTr="001D625A">
        <w:tc>
          <w:tcPr>
            <w:tcW w:w="11194" w:type="dxa"/>
            <w:gridSpan w:val="6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1D625A">
        <w:trPr>
          <w:trHeight w:val="775"/>
        </w:trPr>
        <w:tc>
          <w:tcPr>
            <w:tcW w:w="8544" w:type="dxa"/>
            <w:gridSpan w:val="4"/>
          </w:tcPr>
          <w:p w14:paraId="3863A785" w14:textId="0E557A23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MAVERICK CAPITAL MANAGEMENT</w:t>
            </w:r>
          </w:p>
          <w:p w14:paraId="327557D6" w14:textId="2D86FBC3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650" w:type="dxa"/>
            <w:gridSpan w:val="2"/>
          </w:tcPr>
          <w:p w14:paraId="1A4E85D7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733FD3D" w14:textId="0469A10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2014–August 2017</w:t>
            </w:r>
          </w:p>
        </w:tc>
      </w:tr>
      <w:tr w:rsidR="00566AEF" w:rsidRPr="00361A53" w14:paraId="6F5AF877" w14:textId="77777777" w:rsidTr="001D625A">
        <w:trPr>
          <w:trHeight w:val="750"/>
        </w:trPr>
        <w:tc>
          <w:tcPr>
            <w:tcW w:w="11194" w:type="dxa"/>
            <w:gridSpan w:val="6"/>
          </w:tcPr>
          <w:p w14:paraId="246E7B5F" w14:textId="76ACA643" w:rsidR="00566AEF" w:rsidRPr="00EA421A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the primary point of contact for over 15 clients</w:t>
            </w:r>
          </w:p>
          <w:p w14:paraId="09E9F4A4" w14:textId="77777777" w:rsidR="00566AEF" w:rsidRPr="00361A53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Managed the portfolios of several major clients with over $8.5M in total assets</w:t>
            </w:r>
            <w:r w:rsidRPr="00361A53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87217B" w:rsidRPr="00361A53" w14:paraId="586CAB48" w14:textId="77777777" w:rsidTr="001D625A">
        <w:tc>
          <w:tcPr>
            <w:tcW w:w="11194" w:type="dxa"/>
            <w:gridSpan w:val="6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1D625A">
        <w:tc>
          <w:tcPr>
            <w:tcW w:w="11194" w:type="dxa"/>
            <w:gridSpan w:val="6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1D625A">
        <w:tc>
          <w:tcPr>
            <w:tcW w:w="11194" w:type="dxa"/>
            <w:gridSpan w:val="6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1D625A">
        <w:trPr>
          <w:trHeight w:val="914"/>
        </w:trPr>
        <w:tc>
          <w:tcPr>
            <w:tcW w:w="8500" w:type="dxa"/>
            <w:gridSpan w:val="3"/>
          </w:tcPr>
          <w:p w14:paraId="7DFB9D2B" w14:textId="2B591229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LOUISIANA STATE UNIVERSITY</w:t>
            </w:r>
          </w:p>
          <w:p w14:paraId="38C98670" w14:textId="786313CE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Business Administration (concentration: finance), </w:t>
            </w:r>
          </w:p>
          <w:p w14:paraId="37650B19" w14:textId="677A007D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proofErr w:type="spellStart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: cum laude (GPA: 3.7/4.0)</w:t>
            </w:r>
          </w:p>
        </w:tc>
        <w:tc>
          <w:tcPr>
            <w:tcW w:w="2694" w:type="dxa"/>
            <w:gridSpan w:val="3"/>
          </w:tcPr>
          <w:p w14:paraId="34B6B0CC" w14:textId="77777777" w:rsidR="0077553F" w:rsidRPr="00EA421A" w:rsidRDefault="0077553F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Baton Rouge, LA</w:t>
            </w:r>
          </w:p>
          <w:p w14:paraId="340CC106" w14:textId="2DDE1F27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2014</w:t>
            </w:r>
          </w:p>
        </w:tc>
      </w:tr>
      <w:tr w:rsidR="004D4A58" w:rsidRPr="00361A53" w14:paraId="0F5D8D60" w14:textId="77777777" w:rsidTr="001D625A">
        <w:trPr>
          <w:trHeight w:val="120"/>
        </w:trPr>
        <w:tc>
          <w:tcPr>
            <w:tcW w:w="11194" w:type="dxa"/>
            <w:gridSpan w:val="6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1D625A">
        <w:trPr>
          <w:trHeight w:val="371"/>
        </w:trPr>
        <w:tc>
          <w:tcPr>
            <w:tcW w:w="11194" w:type="dxa"/>
            <w:gridSpan w:val="6"/>
            <w:tcBorders>
              <w:bottom w:val="single" w:sz="8" w:space="0" w:color="1D3B62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1D625A">
        <w:trPr>
          <w:trHeight w:val="228"/>
        </w:trPr>
        <w:tc>
          <w:tcPr>
            <w:tcW w:w="11194" w:type="dxa"/>
            <w:gridSpan w:val="6"/>
            <w:tcBorders>
              <w:top w:val="single" w:sz="8" w:space="0" w:color="1D3B62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1D625A">
        <w:trPr>
          <w:trHeight w:val="371"/>
        </w:trPr>
        <w:tc>
          <w:tcPr>
            <w:tcW w:w="11194" w:type="dxa"/>
            <w:gridSpan w:val="6"/>
          </w:tcPr>
          <w:p w14:paraId="5656ADFD" w14:textId="77777777" w:rsidR="0077553F" w:rsidRPr="00EA421A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Proficient in MS Office (Word, Excel, PowerPoint) Outlook, MS Project, Salesforce, TFS Project Management</w:t>
            </w:r>
          </w:p>
          <w:p w14:paraId="5A9BD653" w14:textId="0E7C6C62" w:rsidR="0077553F" w:rsidRPr="00361A53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English, Spanish, and French</w:t>
            </w:r>
          </w:p>
        </w:tc>
      </w:tr>
      <w:tr w:rsidR="001D625A" w14:paraId="6AD09112" w14:textId="77777777" w:rsidTr="001D6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FF1702A" w14:textId="77777777" w:rsidR="001D625A" w:rsidRPr="00D704BB" w:rsidRDefault="001D625A" w:rsidP="001D625A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E935B3F" wp14:editId="662050F5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8FB62" w14:textId="77777777" w:rsidR="001D625A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280CFD2" w14:textId="77777777" w:rsidR="001D625A" w:rsidRPr="00D704BB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72B17072" w14:textId="77777777" w:rsidR="001D625A" w:rsidRPr="00D704BB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1C33B85B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0734471D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7B98E505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3396E794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3F3EEEDC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6C5E3C72" w14:textId="77777777" w:rsidR="001D625A" w:rsidRPr="00892528" w:rsidRDefault="001D625A" w:rsidP="001D625A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7641C909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54CA6690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3CD8BBC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2F769AF1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7422DBE6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85B0A47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7A62C38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1CFB45E0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EB45A92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180375B9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7C7F639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D3DD581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83485D0" w14:textId="77777777" w:rsidR="001D625A" w:rsidRPr="001D5369" w:rsidRDefault="001D625A" w:rsidP="001D625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1FE4F22" w14:textId="77777777" w:rsidR="001D625A" w:rsidRPr="001D5369" w:rsidRDefault="001D625A" w:rsidP="001D625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42EABA3" w14:textId="77777777" w:rsidR="001D625A" w:rsidRPr="000A77C3" w:rsidRDefault="001D625A" w:rsidP="001D625A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0CEB561" wp14:editId="1510ECB5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B4F5A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E9FFFF1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B2AAF00" w14:textId="7648EFD2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72541AC" w14:textId="77777777" w:rsidR="000F4683" w:rsidRDefault="000F4683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F883C95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345761A" w14:textId="28891911" w:rsidR="001D625A" w:rsidRDefault="001D625A" w:rsidP="001D625A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6EC826DE" w:rsidR="00762384" w:rsidRPr="001D625A" w:rsidRDefault="00762384" w:rsidP="001D625A">
      <w:pPr>
        <w:rPr>
          <w:rFonts w:ascii="Poppins" w:hAnsi="Poppins" w:cs="Poppins"/>
          <w:sz w:val="2"/>
          <w:szCs w:val="2"/>
        </w:rPr>
      </w:pPr>
    </w:p>
    <w:sectPr w:rsidR="00762384" w:rsidRPr="001D625A" w:rsidSect="001D625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3EE8" w14:textId="77777777" w:rsidR="00473BBE" w:rsidRDefault="00473BBE" w:rsidP="00971807">
      <w:pPr>
        <w:spacing w:after="0" w:line="240" w:lineRule="auto"/>
      </w:pPr>
      <w:r>
        <w:separator/>
      </w:r>
    </w:p>
  </w:endnote>
  <w:endnote w:type="continuationSeparator" w:id="0">
    <w:p w14:paraId="328032E1" w14:textId="77777777" w:rsidR="00473BBE" w:rsidRDefault="00473BBE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1904" w14:textId="77777777" w:rsidR="00473BBE" w:rsidRDefault="00473BBE" w:rsidP="00971807">
      <w:pPr>
        <w:spacing w:after="0" w:line="240" w:lineRule="auto"/>
      </w:pPr>
      <w:r>
        <w:separator/>
      </w:r>
    </w:p>
  </w:footnote>
  <w:footnote w:type="continuationSeparator" w:id="0">
    <w:p w14:paraId="5302F446" w14:textId="77777777" w:rsidR="00473BBE" w:rsidRDefault="00473BBE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C52F9"/>
    <w:rsid w:val="000F4683"/>
    <w:rsid w:val="001033CA"/>
    <w:rsid w:val="001D625A"/>
    <w:rsid w:val="002B3DB6"/>
    <w:rsid w:val="002E6B51"/>
    <w:rsid w:val="00337DA0"/>
    <w:rsid w:val="00351F86"/>
    <w:rsid w:val="00361A53"/>
    <w:rsid w:val="003B7E48"/>
    <w:rsid w:val="003C5F8F"/>
    <w:rsid w:val="00417C0F"/>
    <w:rsid w:val="00421243"/>
    <w:rsid w:val="0044021C"/>
    <w:rsid w:val="00473BBE"/>
    <w:rsid w:val="004A5C1C"/>
    <w:rsid w:val="004D4A58"/>
    <w:rsid w:val="00517284"/>
    <w:rsid w:val="00566AEF"/>
    <w:rsid w:val="005B44F0"/>
    <w:rsid w:val="005D175A"/>
    <w:rsid w:val="006018CE"/>
    <w:rsid w:val="00717445"/>
    <w:rsid w:val="00762384"/>
    <w:rsid w:val="0077553F"/>
    <w:rsid w:val="008425DD"/>
    <w:rsid w:val="00847A30"/>
    <w:rsid w:val="0087217B"/>
    <w:rsid w:val="008A6594"/>
    <w:rsid w:val="00951BB2"/>
    <w:rsid w:val="00971807"/>
    <w:rsid w:val="009E486D"/>
    <w:rsid w:val="00A035F2"/>
    <w:rsid w:val="00AB2574"/>
    <w:rsid w:val="00B53F10"/>
    <w:rsid w:val="00BF249B"/>
    <w:rsid w:val="00C7402E"/>
    <w:rsid w:val="00CD48FB"/>
    <w:rsid w:val="00D00CB9"/>
    <w:rsid w:val="00D40EE6"/>
    <w:rsid w:val="00D54FE4"/>
    <w:rsid w:val="00D625CA"/>
    <w:rsid w:val="00DD0EE9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43</cp:revision>
  <cp:lastPrinted>2021-08-19T05:28:00Z</cp:lastPrinted>
  <dcterms:created xsi:type="dcterms:W3CDTF">2021-08-11T18:38:00Z</dcterms:created>
  <dcterms:modified xsi:type="dcterms:W3CDTF">2021-12-27T12:43:00Z</dcterms:modified>
</cp:coreProperties>
</file>