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pPr>
      <w:r>
        <w:rPr>
          <w:rFonts w:ascii="Arial" w:hAnsi="Arial"/>
          <w:b/>
          <w:color w:val="0F172A"/>
          <w:sz w:val="44"/>
        </w:rPr>
        <w:t>B2B Data &amp; Lead Generation: How to Fuel Your Sales Pipeline with High-Quality Data</w:t>
      </w:r>
    </w:p>
    <w:p>
      <w:pPr>
        <w:spacing w:after="240"/>
      </w:pPr>
      <w:r>
        <w:rPr>
          <w:rFonts w:ascii="Arial" w:hAnsi="Arial"/>
          <w:b/>
          <w:color w:val="2563EB"/>
          <w:sz w:val="18"/>
        </w:rPr>
        <w:t xml:space="preserve">SLUG: </w:t>
      </w:r>
      <w:r>
        <w:rPr>
          <w:rFonts w:ascii="Consolas" w:hAnsi="Consolas"/>
          <w:color w:val="475569"/>
          <w:sz w:val="20"/>
        </w:rPr>
        <w:t>b2b-data-lead-generation-guide</w:t>
      </w:r>
    </w:p>
    <w:tbl>
      <w:tblPr>
        <w:tblW w:type="auto" w:w="0"/>
        <w:jc w:val="center"/>
        <w:tblLayout w:type="fixed"/>
        <w:tblLook w:firstColumn="1" w:firstRow="1" w:lastColumn="0" w:lastRow="0" w:noHBand="0" w:noVBand="1" w:val="04A0"/>
      </w:tblPr>
      <w:tblGrid>
        <w:gridCol w:w="9360"/>
      </w:tblGrid>
      <w:tr>
        <w:tc>
          <w:tcPr>
            <w:tcW w:type="dxa" w:w="9360"/>
            <w:shd w:fill="F1F5F9"/>
            <w:tcBorders>
              <w:top w:val="none"/>
              <w:left w:val="single" w:sz="24" w:space="0" w:color="0284C7"/>
              <w:bottom w:val="none"/>
              <w:right w:val="none"/>
            </w:tcBorders>
            <w:tcMar>
              <w:top w:w="140" w:type="dxa"/>
              <w:bottom w:w="140" w:type="dxa"/>
              <w:left w:w="200" w:type="dxa"/>
              <w:right w:w="200" w:type="dxa"/>
            </w:tcMar>
          </w:tcPr>
          <w:p>
            <w:pPr>
              <w:spacing w:before="0" w:after="80"/>
            </w:pPr>
            <w:r>
              <w:rPr>
                <w:rFonts w:ascii="Arial" w:hAnsi="Arial"/>
                <w:b/>
                <w:color w:val="1E3A8A"/>
                <w:sz w:val="22"/>
              </w:rPr>
              <w:t>DESCRIPTION / META SUMMARY</w:t>
            </w:r>
          </w:p>
          <w:p>
            <w:pPr>
              <w:spacing w:before="40" w:after="80"/>
            </w:pPr>
            <w:r>
              <w:rPr>
                <w:rFonts w:ascii="Arial" w:hAnsi="Arial"/>
                <w:color w:val="334155"/>
                <w:sz w:val="20"/>
              </w:rPr>
              <w:t>Discover how leveraging a reliable B2B database provider, verified email lists, and fresh leads can transform your outbound sales strategy, protect domain deliverability, and accelerate revenue growth.</w:t>
            </w:r>
          </w:p>
        </w:tc>
      </w:tr>
    </w:tbl>
    <w:p>
      <w:pPr>
        <w:spacing w:after="120"/>
      </w:pPr>
    </w:p>
    <w:p>
      <w:pPr>
        <w:pStyle w:val="Heading2"/>
        <w:spacing w:before="240" w:after="120"/>
      </w:pPr>
      <w:r>
        <w:rPr>
          <w:rFonts w:ascii="Arial" w:hAnsi="Arial"/>
          <w:b/>
          <w:color w:val="1E3A8A"/>
        </w:rPr>
        <w:t>Introduction</w:t>
      </w:r>
    </w:p>
    <w:p>
      <w:pPr>
        <w:spacing w:after="240" w:line="276" w:lineRule="auto"/>
      </w:pPr>
      <w:r>
        <w:rPr>
          <w:rFonts w:ascii="Arial" w:hAnsi="Arial"/>
          <w:color w:val="334155"/>
          <w:sz w:val="21"/>
        </w:rPr>
        <w:t>In today’s competitive B2B marketplace, scaling outbound revenue is no longer a volume game—it is a precision game. Modern sales organizations frequently face cold outreach friction, rising bounce rates, and deteriorating domain deliverability. The root cause of these challenges almost always traces back to poor data hygiene and outdated prospect contact info. To achieve consistent pipeline growth, B2B companies must shift from buying mass unverified contacts to partnering with a trustworthy b2b database provider. Sourcing verified leads and maintaining fresh leads ensures that every email sent reaches an active decision-maker, maximizes response rates, and drives sustainable sales growth.</w:t>
      </w:r>
    </w:p>
    <w:tbl>
      <w:tblPr>
        <w:tblW w:type="auto" w:w="0"/>
        <w:jc w:val="center"/>
        <w:tblLayout w:type="fixed"/>
        <w:tblLook w:firstColumn="1" w:firstRow="1" w:lastColumn="0" w:lastRow="0" w:noHBand="0" w:noVBand="1" w:val="04A0"/>
      </w:tblPr>
      <w:tblGrid>
        <w:gridCol w:w="9360"/>
      </w:tblGrid>
      <w:tr>
        <w:tc>
          <w:tcPr>
            <w:tcW w:type="dxa" w:w="9360"/>
            <w:shd w:fill="EFF6FF"/>
            <w:tcBorders>
              <w:top w:val="none"/>
              <w:left w:val="single" w:sz="24" w:space="0" w:color="2563EB"/>
              <w:bottom w:val="none"/>
              <w:right w:val="none"/>
            </w:tcBorders>
            <w:tcMar>
              <w:top w:w="140" w:type="dxa"/>
              <w:bottom w:w="140" w:type="dxa"/>
              <w:left w:w="200" w:type="dxa"/>
              <w:right w:w="200" w:type="dxa"/>
            </w:tcMar>
          </w:tcPr>
          <w:p>
            <w:pPr>
              <w:spacing w:before="0" w:after="80"/>
            </w:pPr>
            <w:r>
              <w:rPr>
                <w:rFonts w:ascii="Arial" w:hAnsi="Arial"/>
                <w:b/>
                <w:color w:val="1E3A8A"/>
                <w:sz w:val="22"/>
              </w:rPr>
              <w:t>KEY HIGHLIGHTS</w:t>
            </w:r>
          </w:p>
          <w:p>
            <w:pPr>
              <w:spacing w:before="40" w:after="80"/>
            </w:pPr>
            <w:r>
              <w:rPr>
                <w:rFonts w:ascii="Arial" w:hAnsi="Arial"/>
                <w:color w:val="334155"/>
                <w:sz w:val="20"/>
              </w:rPr>
              <w:t>• The High Cost of Data Decay: How stale contact lists cripple outbound sales ROI and damage email deliverability.</w:t>
            </w:r>
          </w:p>
          <w:p>
            <w:pPr>
              <w:spacing w:before="40" w:after="80"/>
            </w:pPr>
            <w:r>
              <w:rPr>
                <w:rFonts w:ascii="Arial" w:hAnsi="Arial"/>
                <w:color w:val="334155"/>
                <w:sz w:val="20"/>
              </w:rPr>
              <w:t>• Evaluating Lead Sources: What metrics to look for when choosing a dependable B2B database provider.</w:t>
            </w:r>
          </w:p>
          <w:p>
            <w:pPr>
              <w:spacing w:before="40" w:after="80"/>
            </w:pPr>
            <w:r>
              <w:rPr>
                <w:rFonts w:ascii="Arial" w:hAnsi="Arial"/>
                <w:color w:val="334155"/>
                <w:sz w:val="20"/>
              </w:rPr>
              <w:t>• Fresh Leads vs. Bulk Contact Data: Why real-time email verification drastically improves campaign open and reply rates.</w:t>
            </w:r>
          </w:p>
          <w:p>
            <w:pPr>
              <w:spacing w:before="40" w:after="80"/>
            </w:pPr>
            <w:r>
              <w:rPr>
                <w:rFonts w:ascii="Arial" w:hAnsi="Arial"/>
                <w:color w:val="334155"/>
                <w:sz w:val="20"/>
              </w:rPr>
              <w:t>• Strategic Segmentation: How targeted B2B contact lists streamline outbound workflows and accelerate deal velocity.</w:t>
            </w:r>
          </w:p>
        </w:tc>
      </w:tr>
    </w:tbl>
    <w:p>
      <w:pPr>
        <w:spacing w:after="120"/>
      </w:pPr>
    </w:p>
    <w:p>
      <w:pPr>
        <w:pStyle w:val="Heading2"/>
        <w:spacing w:before="320" w:after="80"/>
      </w:pPr>
      <w:r>
        <w:rPr>
          <w:rFonts w:ascii="Arial" w:hAnsi="Arial"/>
          <w:color w:val="1E3A8A"/>
        </w:rPr>
        <w:t>Heading: Understanding the Core Role of a B2B Database Provider</w:t>
      </w:r>
    </w:p>
    <w:p>
      <w:pPr>
        <w:spacing w:after="160"/>
      </w:pPr>
      <w:r>
        <w:rPr>
          <w:b/>
          <w:color w:val="2563EB"/>
          <w:sz w:val="20"/>
        </w:rPr>
        <w:t xml:space="preserve">Brief: </w:t>
      </w:r>
      <w:r>
        <w:rPr>
          <w:i/>
          <w:color w:val="475569"/>
          <w:sz w:val="20"/>
        </w:rPr>
        <w:t>An overview of how a top-tier B2B database provider serves as the foundational engine for sales team prospecting and outreach.</w:t>
      </w:r>
    </w:p>
    <w:p>
      <w:pPr>
        <w:spacing w:after="160" w:line="276" w:lineRule="auto"/>
      </w:pPr>
      <w:r>
        <w:rPr>
          <w:rFonts w:ascii="Arial" w:hAnsi="Arial"/>
          <w:color w:val="334155"/>
          <w:sz w:val="21"/>
        </w:rPr>
        <w:t>A reliable b2b database provider does far more than just supply names and email addresses; it acts as the backbone of your modern sales engine. When enterprise sales development reps (SDRs) spend hours searching for accurate contact details, team productivity drops and deal momentum stalls. By partnering with a verified data partner, growth teams gain access to structured intelligence including job titles, direct dials, company technographics, and verified leads that align perfectly with their Ideal Customer Profile (ICP). This structured data foundation enables sales teams to focus on meaningful conversations rather than tedious list cleaning.</w:t>
      </w:r>
    </w:p>
    <w:p>
      <w:pPr>
        <w:spacing w:after="80"/>
      </w:pPr>
      <w:r>
        <w:rPr>
          <w:b/>
          <w:color w:val="0F172A"/>
          <w:sz w:val="21"/>
        </w:rPr>
        <w:t>List in a paragraph (Key Capabilities of Premium Providers):</w:t>
      </w:r>
    </w:p>
    <w:p>
      <w:pPr>
        <w:pStyle w:val="ListBullet"/>
        <w:spacing w:before="20" w:after="60"/>
      </w:pPr>
      <w:r>
        <w:rPr>
          <w:rFonts w:ascii="Arial" w:hAnsi="Arial"/>
          <w:color w:val="334155"/>
          <w:sz w:val="20"/>
        </w:rPr>
        <w:t>Multi-Step Data Verification: Utilizing human verification and AI algorithms to filter out catch-all and invalid addresses.</w:t>
      </w:r>
    </w:p>
    <w:p>
      <w:pPr>
        <w:pStyle w:val="ListBullet"/>
        <w:spacing w:before="20" w:after="60"/>
      </w:pPr>
      <w:r>
        <w:rPr>
          <w:rFonts w:ascii="Arial" w:hAnsi="Arial"/>
          <w:color w:val="334155"/>
          <w:sz w:val="20"/>
        </w:rPr>
        <w:t>Granular ICP Filtering: Allowing filters by industry, revenue, employee headcounts, and specific technologies used.</w:t>
      </w:r>
    </w:p>
    <w:p>
      <w:pPr>
        <w:pStyle w:val="ListBullet"/>
        <w:spacing w:before="20" w:after="60"/>
      </w:pPr>
      <w:r>
        <w:rPr>
          <w:rFonts w:ascii="Arial" w:hAnsi="Arial"/>
          <w:color w:val="334155"/>
          <w:sz w:val="20"/>
        </w:rPr>
        <w:t>CRM &amp; Automation Integration: Direct synchronization with platforms like HubSpot, Salesforce, and Outreach for seamless lead delivery.</w:t>
      </w:r>
    </w:p>
    <w:p>
      <w:pPr>
        <w:pStyle w:val="ListBullet"/>
        <w:spacing w:before="20" w:after="60"/>
      </w:pPr>
      <w:r>
        <w:rPr>
          <w:rFonts w:ascii="Arial" w:hAnsi="Arial"/>
          <w:color w:val="334155"/>
          <w:sz w:val="20"/>
        </w:rPr>
        <w:t>Compliance Standards: Ensuring strict alignment with international privacy regulations such as GDPR, CCPA, and CAN-SPAM.</w:t>
      </w:r>
    </w:p>
    <w:p>
      <w:pPr>
        <w:pStyle w:val="Heading2"/>
        <w:spacing w:before="320" w:after="80"/>
      </w:pPr>
      <w:r>
        <w:rPr>
          <w:rFonts w:ascii="Arial" w:hAnsi="Arial"/>
          <w:color w:val="1E3A8A"/>
        </w:rPr>
        <w:t>Heading: The Power of a Verified Email List and Fresh Leads</w:t>
      </w:r>
    </w:p>
    <w:p>
      <w:pPr>
        <w:spacing w:after="160"/>
      </w:pPr>
      <w:r>
        <w:rPr>
          <w:b/>
          <w:color w:val="2563EB"/>
          <w:sz w:val="20"/>
        </w:rPr>
        <w:t xml:space="preserve">Brief: </w:t>
      </w:r>
      <w:r>
        <w:rPr>
          <w:i/>
          <w:color w:val="475569"/>
          <w:sz w:val="20"/>
        </w:rPr>
        <w:t>Why list recency and real-time verification are non-negotiable elements of successful B2B cold email campaigns.</w:t>
      </w:r>
    </w:p>
    <w:p>
      <w:pPr>
        <w:spacing w:after="160" w:line="276" w:lineRule="auto"/>
      </w:pPr>
      <w:r>
        <w:rPr>
          <w:rFonts w:ascii="Arial" w:hAnsi="Arial"/>
          <w:color w:val="334155"/>
          <w:sz w:val="21"/>
        </w:rPr>
        <w:t>B2B contact data decays at an alarming rate of nearly 30% per year due to job changes, company rebrands, and domain migrations. Sending cold campaigns to unverified lists inevitably leads to high bounce rates, landing your secondary and primary domains on global email blacklists. Investing in a verified email list guarantees that your outbound outreach reaches real inbox destinations. Furthermore, sourcing fresh leads—prospects whose details have been updated within the last 30 to 60 days—dramatically enhances engagement rate, click-through rates, and ultimately sales pipeline conversion.</w:t>
      </w:r>
    </w:p>
    <w:p>
      <w:pPr>
        <w:spacing w:after="80"/>
      </w:pPr>
      <w:r>
        <w:rPr>
          <w:b/>
          <w:color w:val="0F172A"/>
          <w:sz w:val="21"/>
        </w:rPr>
        <w:t>List in a paragraph (Benefits of Fresh &amp; Verified Contact Data):</w:t>
      </w:r>
    </w:p>
    <w:p>
      <w:pPr>
        <w:pStyle w:val="ListBullet"/>
        <w:spacing w:before="20" w:after="60"/>
      </w:pPr>
      <w:r>
        <w:rPr>
          <w:rFonts w:ascii="Arial" w:hAnsi="Arial"/>
          <w:color w:val="334155"/>
          <w:sz w:val="20"/>
        </w:rPr>
        <w:t>Domain Reputation Protection: Keeping hard bounce rates below 2% to ensure primary sending infrastructure remains healthy.</w:t>
      </w:r>
    </w:p>
    <w:p>
      <w:pPr>
        <w:pStyle w:val="ListBullet"/>
        <w:spacing w:before="20" w:after="60"/>
      </w:pPr>
      <w:r>
        <w:rPr>
          <w:rFonts w:ascii="Arial" w:hAnsi="Arial"/>
          <w:color w:val="334155"/>
          <w:sz w:val="20"/>
        </w:rPr>
        <w:t>Higher Open &amp; Conversion Rates: Reaching active decision-makers who are currently in-role and seeking solutions.</w:t>
      </w:r>
    </w:p>
    <w:p>
      <w:pPr>
        <w:pStyle w:val="ListBullet"/>
        <w:spacing w:before="20" w:after="60"/>
      </w:pPr>
      <w:r>
        <w:rPr>
          <w:rFonts w:ascii="Arial" w:hAnsi="Arial"/>
          <w:color w:val="334155"/>
          <w:sz w:val="20"/>
        </w:rPr>
        <w:t>Reduced SDR Burnout: Eliminating hours wasted on non-existent contacts, bounced emails, and dead phone lines.</w:t>
      </w:r>
    </w:p>
    <w:p>
      <w:pPr>
        <w:pStyle w:val="ListBullet"/>
        <w:spacing w:before="20" w:after="60"/>
      </w:pPr>
      <w:r>
        <w:rPr>
          <w:rFonts w:ascii="Arial" w:hAnsi="Arial"/>
          <w:color w:val="334155"/>
          <w:sz w:val="20"/>
        </w:rPr>
        <w:t>Maximized Ad &amp; Campaign ROI: Lowering cost-per-lead (CPL) by targeting verified leads with high purchase intent.</w:t>
      </w:r>
    </w:p>
    <w:p>
      <w:pPr>
        <w:pStyle w:val="Heading2"/>
        <w:spacing w:before="320" w:after="80"/>
      </w:pPr>
      <w:r>
        <w:rPr>
          <w:rFonts w:ascii="Arial" w:hAnsi="Arial"/>
          <w:color w:val="1E3A8A"/>
        </w:rPr>
        <w:t>Heading: Evaluating Your Primary Lead Source for Scalable Pipeline Growth</w:t>
      </w:r>
    </w:p>
    <w:p>
      <w:pPr>
        <w:spacing w:after="160"/>
      </w:pPr>
      <w:r>
        <w:rPr>
          <w:b/>
          <w:color w:val="2563EB"/>
          <w:sz w:val="20"/>
        </w:rPr>
        <w:t xml:space="preserve">Brief: </w:t>
      </w:r>
      <w:r>
        <w:rPr>
          <w:i/>
          <w:color w:val="475569"/>
          <w:sz w:val="20"/>
        </w:rPr>
        <w:t>A strategic framework for auditing data vendors and optimizing prospect acquisition channels.</w:t>
      </w:r>
    </w:p>
    <w:p>
      <w:pPr>
        <w:spacing w:after="160" w:line="276" w:lineRule="auto"/>
      </w:pPr>
      <w:r>
        <w:rPr>
          <w:rFonts w:ascii="Arial" w:hAnsi="Arial"/>
          <w:color w:val="334155"/>
          <w:sz w:val="21"/>
        </w:rPr>
        <w:t>Not every lead source is created equal. Many low-cost data brokers aggregate publicly scraped records without performing email verification, leaving businesses with high bounce rates and low-performing campaigns. To ensure long-term ROI, sales leaders must implement a rigorous evaluation process before committing to a vendor. Auditing a vendor's data sourcing methodologies, accuracy guarantees, and API capabilities will safeguard your sales team's time and protect your brand reputation across outbound channels.</w:t>
      </w:r>
    </w:p>
    <w:p>
      <w:pPr>
        <w:spacing w:after="80"/>
      </w:pPr>
      <w:r>
        <w:rPr>
          <w:b/>
          <w:color w:val="0F172A"/>
          <w:sz w:val="21"/>
        </w:rPr>
        <w:t>List in a paragraph (Vendor Audit Checklist):</w:t>
      </w:r>
    </w:p>
    <w:p>
      <w:pPr>
        <w:pStyle w:val="ListBullet"/>
        <w:spacing w:before="20" w:after="60"/>
      </w:pPr>
      <w:r>
        <w:rPr>
          <w:rFonts w:ascii="Arial" w:hAnsi="Arial"/>
          <w:color w:val="334155"/>
          <w:sz w:val="20"/>
        </w:rPr>
        <w:t>Sample Testing: Requesting a sample dataset of 100-200 leads to benchmark email bounce rates and direct dial accuracy.</w:t>
      </w:r>
    </w:p>
    <w:p>
      <w:pPr>
        <w:pStyle w:val="ListBullet"/>
        <w:spacing w:before="20" w:after="60"/>
      </w:pPr>
      <w:r>
        <w:rPr>
          <w:rFonts w:ascii="Arial" w:hAnsi="Arial"/>
          <w:color w:val="334155"/>
          <w:sz w:val="20"/>
        </w:rPr>
        <w:t>Verification Protocols: Inquiring whether the vendor uses real-time SMTP pinging or rely solely on static historical databases.</w:t>
      </w:r>
    </w:p>
    <w:p>
      <w:pPr>
        <w:pStyle w:val="ListBullet"/>
        <w:spacing w:before="20" w:after="60"/>
      </w:pPr>
      <w:r>
        <w:rPr>
          <w:rFonts w:ascii="Arial" w:hAnsi="Arial"/>
          <w:color w:val="334155"/>
          <w:sz w:val="20"/>
        </w:rPr>
        <w:t>Data Replacement Guarantees: Checking if the vendor provides credits or replacement contacts for any bounced records.</w:t>
      </w:r>
    </w:p>
    <w:p>
      <w:pPr>
        <w:pStyle w:val="ListBullet"/>
        <w:spacing w:before="20" w:after="60"/>
      </w:pPr>
      <w:r>
        <w:rPr>
          <w:rFonts w:ascii="Arial" w:hAnsi="Arial"/>
          <w:color w:val="334155"/>
          <w:sz w:val="20"/>
        </w:rPr>
        <w:t>Niche &amp; Depth Coverage: Verifying if the lead source covers specialized verticals, local geographies, or executive roles relevant to your product.</w:t>
      </w:r>
    </w:p>
    <w:tbl>
      <w:tblPr>
        <w:tblW w:type="auto" w:w="0"/>
        <w:jc w:val="center"/>
        <w:tblLayout w:type="fixed"/>
        <w:tblLook w:firstColumn="1" w:firstRow="1" w:lastColumn="0" w:lastRow="0" w:noHBand="0" w:noVBand="1" w:val="04A0"/>
      </w:tblPr>
      <w:tblGrid>
        <w:gridCol w:w="9360"/>
      </w:tblGrid>
      <w:tr>
        <w:tc>
          <w:tcPr>
            <w:tcW w:type="dxa" w:w="9360"/>
            <w:shd w:fill="F0FDF4"/>
            <w:tcBorders>
              <w:top w:val="none"/>
              <w:left w:val="single" w:sz="24" w:space="0" w:color="16A34A"/>
              <w:bottom w:val="none"/>
              <w:right w:val="none"/>
            </w:tcBorders>
            <w:tcMar>
              <w:top w:w="140" w:type="dxa"/>
              <w:bottom w:w="140" w:type="dxa"/>
              <w:left w:w="200" w:type="dxa"/>
              <w:right w:w="200" w:type="dxa"/>
            </w:tcMar>
          </w:tcPr>
          <w:p>
            <w:pPr>
              <w:spacing w:before="0" w:after="80"/>
            </w:pPr>
            <w:r>
              <w:rPr>
                <w:rFonts w:ascii="Arial" w:hAnsi="Arial"/>
                <w:b/>
                <w:color w:val="1E3A8A"/>
                <w:sz w:val="22"/>
              </w:rPr>
              <w:t>TAKEAWAY</w:t>
            </w:r>
          </w:p>
          <w:p>
            <w:pPr>
              <w:spacing w:before="40" w:after="80"/>
            </w:pPr>
            <w:r>
              <w:rPr>
                <w:rFonts w:ascii="Arial" w:hAnsi="Arial"/>
                <w:color w:val="334155"/>
                <w:sz w:val="20"/>
              </w:rPr>
              <w:t>High-performing B2B outbound engines are powered by quality, not sheer quantity. By aligning with a reputable b2b database provider, consistently acquiring a verified email list, and prioritizing fresh leads, your sales team can eliminate deliverability risks, boost response rates, and scale predictable revenue growth.</w:t>
            </w:r>
          </w:p>
        </w:tc>
      </w:tr>
    </w:tbl>
    <w:p>
      <w:pPr>
        <w:spacing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